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CA" w:rsidRPr="00DF0F40" w:rsidRDefault="00EC0958">
      <w:pPr>
        <w:rPr>
          <w:b/>
          <w:sz w:val="24"/>
          <w:szCs w:val="24"/>
        </w:rPr>
      </w:pPr>
      <w:r w:rsidRPr="00DF0F40">
        <w:rPr>
          <w:b/>
          <w:sz w:val="24"/>
          <w:szCs w:val="24"/>
        </w:rPr>
        <w:t xml:space="preserve">Impact of wait times </w:t>
      </w:r>
      <w:r w:rsidR="002C7DD0">
        <w:rPr>
          <w:b/>
          <w:sz w:val="24"/>
          <w:szCs w:val="24"/>
        </w:rPr>
        <w:t xml:space="preserve">for cardiac transplantation </w:t>
      </w:r>
      <w:r w:rsidR="0041575F">
        <w:rPr>
          <w:b/>
          <w:sz w:val="24"/>
          <w:szCs w:val="24"/>
        </w:rPr>
        <w:t xml:space="preserve">on </w:t>
      </w:r>
      <w:r w:rsidR="002C7DD0">
        <w:rPr>
          <w:b/>
          <w:sz w:val="24"/>
          <w:szCs w:val="24"/>
        </w:rPr>
        <w:t>outcomes</w:t>
      </w:r>
      <w:r w:rsidR="0012716E">
        <w:rPr>
          <w:b/>
          <w:sz w:val="24"/>
          <w:szCs w:val="24"/>
        </w:rPr>
        <w:t xml:space="preserve"> </w:t>
      </w:r>
      <w:r w:rsidRPr="00DF0F40">
        <w:rPr>
          <w:b/>
          <w:sz w:val="24"/>
          <w:szCs w:val="24"/>
        </w:rPr>
        <w:t xml:space="preserve">after implantation of left ventricular assist devices (LVAD) </w:t>
      </w:r>
    </w:p>
    <w:p w:rsidR="003C1A34" w:rsidRPr="00DF0F40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Background: The optimal timing for </w:t>
      </w:r>
      <w:proofErr w:type="spellStart"/>
      <w:r w:rsidR="008D586D" w:rsidRPr="00DF0F40">
        <w:rPr>
          <w:sz w:val="24"/>
          <w:szCs w:val="24"/>
        </w:rPr>
        <w:t>ortho</w:t>
      </w:r>
      <w:r w:rsidR="008D586D">
        <w:rPr>
          <w:sz w:val="24"/>
          <w:szCs w:val="24"/>
        </w:rPr>
        <w:t>topic</w:t>
      </w:r>
      <w:proofErr w:type="spellEnd"/>
      <w:r w:rsidR="0012716E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heart </w:t>
      </w:r>
      <w:r w:rsidR="00FF2EF4" w:rsidRPr="00DF0F40">
        <w:rPr>
          <w:sz w:val="24"/>
          <w:szCs w:val="24"/>
        </w:rPr>
        <w:t>transplant</w:t>
      </w:r>
      <w:r w:rsidR="00FF2EF4">
        <w:rPr>
          <w:sz w:val="24"/>
          <w:szCs w:val="24"/>
        </w:rPr>
        <w:t>ation</w:t>
      </w:r>
      <w:bookmarkStart w:id="0" w:name="_GoBack"/>
      <w:bookmarkEnd w:id="0"/>
      <w:r w:rsidR="0012716E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(OHT) after the implantation of left ventricular assist devices (LVAD) is unknown. </w:t>
      </w:r>
      <w:r w:rsidR="00225C92">
        <w:rPr>
          <w:sz w:val="24"/>
          <w:szCs w:val="24"/>
        </w:rPr>
        <w:t>In determining the optimal time for OHT after LVAD, t</w:t>
      </w:r>
      <w:r w:rsidRPr="00DF0F40">
        <w:rPr>
          <w:sz w:val="24"/>
          <w:szCs w:val="24"/>
        </w:rPr>
        <w:t xml:space="preserve">he need for clinical stability and time to recover from major surgery is balanced by the risk of LVAD complications and the formation of adhesions and scarring. </w:t>
      </w:r>
      <w:r w:rsidR="002C7DD0">
        <w:rPr>
          <w:sz w:val="24"/>
          <w:szCs w:val="24"/>
        </w:rPr>
        <w:t>Some have argued that performing OHT early after LVAD placement poses an increased risk of morbidity and mortality to patients</w:t>
      </w:r>
      <w:r w:rsidR="00C237E4">
        <w:rPr>
          <w:sz w:val="24"/>
          <w:szCs w:val="24"/>
        </w:rPr>
        <w:t>.</w:t>
      </w:r>
    </w:p>
    <w:p w:rsidR="0041575F" w:rsidRDefault="00EC0958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Methods: </w:t>
      </w:r>
      <w:r w:rsidR="0041575F">
        <w:rPr>
          <w:sz w:val="24"/>
          <w:szCs w:val="24"/>
        </w:rPr>
        <w:t>Using</w:t>
      </w:r>
      <w:r w:rsidR="0012716E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 xml:space="preserve">the Nationwide Inpatient Sample (NIS) from 1998 to 2011, we identified patients 18 years of age or greater who underwent implantation of a LVAD and for which </w:t>
      </w:r>
      <w:r w:rsidR="0041575F">
        <w:rPr>
          <w:sz w:val="24"/>
          <w:szCs w:val="24"/>
        </w:rPr>
        <w:t xml:space="preserve">the </w:t>
      </w:r>
      <w:r w:rsidRPr="00DF0F40">
        <w:rPr>
          <w:sz w:val="24"/>
          <w:szCs w:val="24"/>
        </w:rPr>
        <w:t>da</w:t>
      </w:r>
      <w:r w:rsidR="0041575F">
        <w:rPr>
          <w:sz w:val="24"/>
          <w:szCs w:val="24"/>
        </w:rPr>
        <w:t>te</w:t>
      </w:r>
      <w:r w:rsidRPr="00DF0F40">
        <w:rPr>
          <w:sz w:val="24"/>
          <w:szCs w:val="24"/>
        </w:rPr>
        <w:t xml:space="preserve"> of procedure</w:t>
      </w:r>
      <w:r w:rsidR="0012716E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was available. </w:t>
      </w:r>
      <w:r w:rsidR="0041575F">
        <w:rPr>
          <w:sz w:val="24"/>
          <w:szCs w:val="24"/>
        </w:rPr>
        <w:t xml:space="preserve">We calculated in hospital mortality for those patients who underwent OHT </w:t>
      </w:r>
      <w:r w:rsidR="0041575F" w:rsidRPr="00DF0F40">
        <w:rPr>
          <w:sz w:val="24"/>
          <w:szCs w:val="24"/>
        </w:rPr>
        <w:t>during the same hospitalization</w:t>
      </w:r>
      <w:r w:rsidR="0041575F">
        <w:rPr>
          <w:sz w:val="24"/>
          <w:szCs w:val="24"/>
        </w:rPr>
        <w:t xml:space="preserve"> as a function of time from LVAD to OHT, adjusting for </w:t>
      </w:r>
      <w:r w:rsidR="0041575F" w:rsidRPr="00DF0F40">
        <w:rPr>
          <w:sz w:val="24"/>
          <w:szCs w:val="24"/>
        </w:rPr>
        <w:t>age,</w:t>
      </w:r>
      <w:r w:rsidR="0041575F">
        <w:rPr>
          <w:sz w:val="24"/>
          <w:szCs w:val="24"/>
        </w:rPr>
        <w:t xml:space="preserve"> sex, race, household income, and</w:t>
      </w:r>
      <w:r w:rsidR="0041575F" w:rsidRPr="00DF0F40">
        <w:rPr>
          <w:sz w:val="24"/>
          <w:szCs w:val="24"/>
        </w:rPr>
        <w:t xml:space="preserve"> number of comorbid diagnoses</w:t>
      </w:r>
      <w:r w:rsidR="0041575F">
        <w:rPr>
          <w:sz w:val="24"/>
          <w:szCs w:val="24"/>
        </w:rPr>
        <w:t>. We also compared in hospital mortality for those patients who underwent LVAD placement without OHTto mortality for patients who underwent OHT after LVAD placement.</w:t>
      </w:r>
      <w:r w:rsidR="00C237E4">
        <w:rPr>
          <w:sz w:val="24"/>
          <w:szCs w:val="24"/>
        </w:rPr>
        <w:t xml:space="preserve"> Finally, we analyzed the effect of time to OHT after LVAD placement on the length of hospital stay.</w:t>
      </w:r>
    </w:p>
    <w:p w:rsidR="00910A55" w:rsidRPr="00DF0F40" w:rsidRDefault="0041575F" w:rsidP="00910A55">
      <w:pPr>
        <w:rPr>
          <w:rFonts w:eastAsia="Times New Roman" w:cs="Times New Roman"/>
          <w:color w:val="000000"/>
          <w:sz w:val="24"/>
          <w:szCs w:val="24"/>
        </w:rPr>
      </w:pPr>
      <w:r w:rsidRPr="00DF0F40">
        <w:rPr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2200 </w:t>
      </w:r>
      <w:r w:rsidR="002C7DD0">
        <w:rPr>
          <w:sz w:val="24"/>
          <w:szCs w:val="24"/>
        </w:rPr>
        <w:t>patients</w:t>
      </w:r>
      <w:r w:rsidR="0012716E">
        <w:rPr>
          <w:sz w:val="24"/>
          <w:szCs w:val="24"/>
        </w:rPr>
        <w:t xml:space="preserve"> </w:t>
      </w:r>
      <w:r w:rsidR="002C7DD0" w:rsidRPr="00DF0F40">
        <w:rPr>
          <w:sz w:val="24"/>
          <w:szCs w:val="24"/>
        </w:rPr>
        <w:t xml:space="preserve">underwent implantation of a LVAD </w:t>
      </w:r>
      <w:r w:rsidR="002C7DD0">
        <w:rPr>
          <w:sz w:val="24"/>
          <w:szCs w:val="24"/>
        </w:rPr>
        <w:t xml:space="preserve">in this cohort. </w:t>
      </w:r>
      <w:r>
        <w:rPr>
          <w:sz w:val="24"/>
          <w:szCs w:val="24"/>
        </w:rPr>
        <w:t>1</w:t>
      </w:r>
      <w:r w:rsidR="00EC0958" w:rsidRPr="00DF0F40">
        <w:rPr>
          <w:sz w:val="24"/>
          <w:szCs w:val="24"/>
        </w:rPr>
        <w:t xml:space="preserve">64 (7.5%) patients also underwent OHT during the same hospitalization, which occurred </w:t>
      </w:r>
      <w:r w:rsidR="002C7DD0">
        <w:rPr>
          <w:sz w:val="24"/>
          <w:szCs w:val="24"/>
        </w:rPr>
        <w:t xml:space="preserve">on average </w:t>
      </w:r>
      <w:r w:rsidR="00EC0958" w:rsidRPr="00DF0F40">
        <w:rPr>
          <w:sz w:val="24"/>
          <w:szCs w:val="24"/>
        </w:rPr>
        <w:t xml:space="preserve">32 days (IQR 7.75 - 66 days) after LVAD implantation. Of patients who underwent OHT, </w:t>
      </w:r>
      <w:r w:rsidR="002C7DD0" w:rsidRPr="00DF0F40">
        <w:rPr>
          <w:sz w:val="24"/>
          <w:szCs w:val="24"/>
        </w:rPr>
        <w:t xml:space="preserve">patients who underwent transplantation within 7 days of LVAD implantation </w:t>
      </w:r>
      <w:r w:rsidR="002C7DD0">
        <w:rPr>
          <w:sz w:val="24"/>
          <w:szCs w:val="24"/>
        </w:rPr>
        <w:t xml:space="preserve">experienced </w:t>
      </w:r>
      <w:r w:rsidR="00EC0958" w:rsidRPr="00DF0F40">
        <w:rPr>
          <w:sz w:val="24"/>
          <w:szCs w:val="24"/>
        </w:rPr>
        <w:t xml:space="preserve">increased in-hospital mortality compared to patients who underwent transplant after 8 days(26.8% vs. 12.2%, p = 0.0483). There was no statistically significant difference in patient demographics with regards to age, sex, race, household income, or number of comorbid diagnoses.  </w:t>
      </w:r>
      <w:r w:rsidR="00C237E4">
        <w:rPr>
          <w:rFonts w:eastAsia="Times New Roman" w:cs="Times New Roman"/>
          <w:color w:val="000000"/>
          <w:sz w:val="24"/>
          <w:szCs w:val="24"/>
        </w:rPr>
        <w:t xml:space="preserve">Compared to patients who underwent LVAD implantation but did not undergo OHT, patients who </w:t>
      </w:r>
      <w:r w:rsidR="00C237E4" w:rsidRPr="00910A55">
        <w:rPr>
          <w:sz w:val="24"/>
          <w:szCs w:val="24"/>
        </w:rPr>
        <w:t xml:space="preserve">underwent </w:t>
      </w:r>
      <w:r w:rsidR="00C237E4">
        <w:rPr>
          <w:sz w:val="24"/>
          <w:szCs w:val="24"/>
        </w:rPr>
        <w:t xml:space="preserve">late OHT after LVAD had decreased mortality (12.2% vs. 27.0% p &lt; 0.001). Patients who underwent early </w:t>
      </w:r>
      <w:r w:rsidR="00D47D29">
        <w:rPr>
          <w:sz w:val="24"/>
          <w:szCs w:val="24"/>
        </w:rPr>
        <w:t>OHT</w:t>
      </w:r>
      <w:r w:rsidR="00C237E4">
        <w:rPr>
          <w:sz w:val="24"/>
          <w:szCs w:val="24"/>
        </w:rPr>
        <w:t xml:space="preserve"> after LVAD did not show a similar mortality benefit (26.8% vs. 27.0%, p = 0.946). </w:t>
      </w:r>
      <w:r w:rsidR="00EC0958" w:rsidRPr="00DF0F40">
        <w:rPr>
          <w:sz w:val="24"/>
          <w:szCs w:val="24"/>
        </w:rPr>
        <w:t>Patients who waited longer after LVAD implantation for OHT had longer hospital stays (</w:t>
      </w:r>
      <w:r w:rsidR="00EC0958" w:rsidRPr="00DF0F40">
        <w:rPr>
          <w:rFonts w:eastAsia="Times New Roman" w:cs="Times New Roman"/>
          <w:color w:val="000000"/>
          <w:sz w:val="24"/>
          <w:szCs w:val="24"/>
        </w:rPr>
        <w:t>39.3 ± 33.2 days for the first quartile, 48.87 ± 25.6days for the second quartile, 85.8 ± 40.1 days for the third quartile, 151.2 ± 52.6 days for the fourth quartile</w:t>
      </w:r>
      <w:r w:rsidR="00910A55">
        <w:rPr>
          <w:rFonts w:eastAsia="Times New Roman" w:cs="Times New Roman"/>
          <w:color w:val="000000"/>
          <w:sz w:val="24"/>
          <w:szCs w:val="24"/>
        </w:rPr>
        <w:t>)</w:t>
      </w:r>
      <w:r w:rsidR="00EC0958" w:rsidRPr="00DF0F40">
        <w:rPr>
          <w:rFonts w:eastAsia="Times New Roman" w:cs="Times New Roman"/>
          <w:color w:val="000000"/>
          <w:sz w:val="24"/>
          <w:szCs w:val="24"/>
        </w:rPr>
        <w:t>.</w:t>
      </w:r>
    </w:p>
    <w:p w:rsidR="00BD2197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Conclusions: </w:t>
      </w:r>
      <w:r w:rsidR="00225C92">
        <w:rPr>
          <w:sz w:val="24"/>
          <w:szCs w:val="24"/>
        </w:rPr>
        <w:t xml:space="preserve">In </w:t>
      </w:r>
      <w:r w:rsidR="002C7DD0">
        <w:rPr>
          <w:sz w:val="24"/>
          <w:szCs w:val="24"/>
        </w:rPr>
        <w:t>this cohort of patients who received LVADs</w:t>
      </w:r>
      <w:r w:rsidR="00225C92">
        <w:rPr>
          <w:sz w:val="24"/>
          <w:szCs w:val="24"/>
        </w:rPr>
        <w:t xml:space="preserve">, </w:t>
      </w:r>
      <w:r w:rsidR="00B34A8F">
        <w:rPr>
          <w:sz w:val="24"/>
          <w:szCs w:val="24"/>
        </w:rPr>
        <w:t xml:space="preserve">the rate of in-hospital mortality </w:t>
      </w:r>
      <w:r w:rsidR="002C7DD0">
        <w:rPr>
          <w:sz w:val="24"/>
          <w:szCs w:val="24"/>
        </w:rPr>
        <w:t xml:space="preserve">after OHTwas lower </w:t>
      </w:r>
      <w:r w:rsidR="00B34A8F">
        <w:rPr>
          <w:sz w:val="24"/>
          <w:szCs w:val="24"/>
        </w:rPr>
        <w:t xml:space="preserve">for patients who underwent late OHT (greater than 8 days from LVAD implantation) </w:t>
      </w:r>
      <w:r w:rsidR="002C7DD0">
        <w:rPr>
          <w:sz w:val="24"/>
          <w:szCs w:val="24"/>
        </w:rPr>
        <w:t xml:space="preserve">when </w:t>
      </w:r>
      <w:r w:rsidR="00B34A8F">
        <w:rPr>
          <w:sz w:val="24"/>
          <w:szCs w:val="24"/>
        </w:rPr>
        <w:t xml:space="preserve">compared to patients who </w:t>
      </w:r>
      <w:r w:rsidR="002C7DD0">
        <w:rPr>
          <w:sz w:val="24"/>
          <w:szCs w:val="24"/>
        </w:rPr>
        <w:t>underwent</w:t>
      </w:r>
      <w:r w:rsidR="0012716E">
        <w:rPr>
          <w:sz w:val="24"/>
          <w:szCs w:val="24"/>
        </w:rPr>
        <w:t xml:space="preserve"> </w:t>
      </w:r>
      <w:r w:rsidR="00225C92">
        <w:rPr>
          <w:sz w:val="24"/>
          <w:szCs w:val="24"/>
        </w:rPr>
        <w:t>OHT</w:t>
      </w:r>
      <w:r w:rsidRPr="00DF0F40">
        <w:rPr>
          <w:sz w:val="24"/>
          <w:szCs w:val="24"/>
        </w:rPr>
        <w:t xml:space="preserve"> within 1 week of LVAD implantation</w:t>
      </w:r>
      <w:r w:rsidR="002C7DD0">
        <w:rPr>
          <w:sz w:val="24"/>
          <w:szCs w:val="24"/>
        </w:rPr>
        <w:t xml:space="preserve">, </w:t>
      </w:r>
      <w:r w:rsidR="007740DD">
        <w:rPr>
          <w:sz w:val="24"/>
          <w:szCs w:val="24"/>
        </w:rPr>
        <w:t>but a longer wait for OHT after LVAD placement correlated with longer hospital stays post OHT.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tbl>
      <w:tblPr>
        <w:tblpPr w:leftFromText="180" w:rightFromText="180" w:horzAnchor="margin" w:tblpXSpec="center" w:tblpY="-335"/>
        <w:tblW w:w="14160" w:type="dxa"/>
        <w:tblLook w:val="04A0"/>
      </w:tblPr>
      <w:tblGrid>
        <w:gridCol w:w="2380"/>
        <w:gridCol w:w="2260"/>
        <w:gridCol w:w="2260"/>
        <w:gridCol w:w="2260"/>
        <w:gridCol w:w="2260"/>
        <w:gridCol w:w="2740"/>
      </w:tblGrid>
      <w:tr w:rsidR="00813B63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 xml:space="preserve">Table 1. 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Baseline demographics for early and late in-hospital Orthostatic Heart Transplant (OHT) after Left Ventricular Assist Device (LVAD) Implantation</w:t>
            </w:r>
          </w:p>
        </w:tc>
      </w:tr>
      <w:tr w:rsidR="00813B63" w:rsidRPr="00813B63" w:rsidTr="00813B63">
        <w:trPr>
          <w:trHeight w:val="615"/>
        </w:trPr>
        <w:tc>
          <w:tcPr>
            <w:tcW w:w="23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0 - 7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8 - 31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32 - 65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66 days or more after LVAD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p-value (early group vs. pooled other groups)</w:t>
            </w:r>
          </w:p>
        </w:tc>
      </w:tr>
      <w:tr w:rsidR="00813B63" w:rsidRPr="00813B63" w:rsidTr="00813B63">
        <w:trPr>
          <w:trHeight w:val="330"/>
        </w:trPr>
        <w:tc>
          <w:tcPr>
            <w:tcW w:w="23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38)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LOS </w:t>
            </w:r>
            <w:r w:rsidR="00813B63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after OHT </w:t>
            </w:r>
            <w:r w:rsidR="00813B63"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(SD)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23.8 </w:t>
            </w:r>
            <w:r w:rsidR="00813B63"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21.4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21.7</w:t>
            </w:r>
            <w:r w:rsidR="00813B63"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15.8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27.6</w:t>
            </w:r>
            <w:r w:rsidR="00813B63"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37.1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27.1</w:t>
            </w:r>
            <w:r w:rsidR="00813B63"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 ±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22.8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p </w:t>
            </w:r>
            <w:r w:rsidR="00723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= </w:t>
            </w:r>
            <w:r w:rsidR="00723117" w:rsidRPr="00723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0.6571</w:t>
            </w:r>
          </w:p>
        </w:tc>
      </w:tr>
      <w:tr w:rsidR="00723117" w:rsidRPr="00813B63" w:rsidTr="00813B63">
        <w:trPr>
          <w:trHeight w:val="345"/>
          <w:ins w:id="1" w:author="David Ouyang" w:date="2015-10-29T15:05:00Z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Default="00723117" w:rsidP="00723117">
            <w:pPr>
              <w:spacing w:after="0" w:line="240" w:lineRule="auto"/>
              <w:rPr>
                <w:ins w:id="2" w:author="David Ouyang" w:date="2015-10-29T15:05:00Z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ins w:id="3" w:author="David Ouyang" w:date="2015-10-29T15:05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 xml:space="preserve">LOS </w:t>
              </w:r>
              <w:r w:rsidRPr="00813B6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after OHT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 xml:space="preserve"> (survivors)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 xml:space="preserve"> </w:t>
              </w:r>
              <w:r w:rsidRPr="00813B6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(SD)</w:t>
              </w:r>
            </w:ins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ins w:id="4" w:author="David Ouyang" w:date="2015-10-29T15:05:00Z"/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ins w:id="5" w:author="David Ouyang" w:date="2015-10-29T15:09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29.1</w:t>
              </w:r>
            </w:ins>
            <w:ins w:id="6" w:author="David Ouyang" w:date="2015-10-29T15:05:00Z">
              <w:r w:rsidRPr="00813B6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 xml:space="preserve"> ± </w:t>
              </w:r>
            </w:ins>
            <w:ins w:id="7" w:author="David Ouyang" w:date="2015-10-29T15:09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21.9</w:t>
              </w:r>
            </w:ins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ins w:id="8" w:author="David Ouyang" w:date="2015-10-29T15:05:00Z"/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ins w:id="9" w:author="David Ouyang" w:date="2015-10-29T15:10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 xml:space="preserve">20.2 </w:t>
              </w:r>
              <w:r w:rsidRPr="00813B6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 xml:space="preserve">± 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12.8</w:t>
              </w:r>
            </w:ins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ins w:id="10" w:author="David Ouyang" w:date="2015-10-29T15:05:00Z"/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ins w:id="11" w:author="David Ouyang" w:date="2015-10-29T15:10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23.4</w:t>
              </w:r>
            </w:ins>
            <w:ins w:id="12" w:author="David Ouyang" w:date="2015-10-29T15:05:00Z">
              <w:r w:rsidRPr="00813B6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 xml:space="preserve"> ± </w:t>
              </w:r>
            </w:ins>
            <w:ins w:id="13" w:author="David Ouyang" w:date="2015-10-29T15:10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20.6</w:t>
              </w:r>
            </w:ins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ins w:id="14" w:author="David Ouyang" w:date="2015-10-29T15:05:00Z"/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ins w:id="15" w:author="David Ouyang" w:date="2015-10-29T15:10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28.8</w:t>
              </w:r>
            </w:ins>
            <w:ins w:id="16" w:author="David Ouyang" w:date="2015-10-29T15:05:00Z">
              <w:r w:rsidRPr="00813B6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 xml:space="preserve">  ± </w:t>
              </w:r>
            </w:ins>
            <w:ins w:id="17" w:author="David Ouyang" w:date="2015-10-29T15:10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22.9</w:t>
              </w:r>
            </w:ins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ins w:id="18" w:author="David Ouyang" w:date="2015-10-29T15:05:00Z"/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ins w:id="19" w:author="David Ouyang" w:date="2015-10-29T15:05:00Z">
              <w:r w:rsidRPr="00813B6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n-US"/>
                </w:rPr>
                <w:t>p &lt; 0.001</w:t>
              </w:r>
            </w:ins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Mortality (%)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11 (26.8)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5 (11.9)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 = 0.0483</w:t>
            </w: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Age, mean (SD)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50.6 ± 12.6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48.6 ± 12.7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47.4 ± 15.3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46.3  ± 13.1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0.1667</w:t>
            </w:r>
          </w:p>
        </w:tc>
      </w:tr>
      <w:tr w:rsidR="00723117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Sex, n (%)</w:t>
            </w: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(15.8)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(16.7)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 (20.9)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ins w:id="20" w:author="David Ouyang" w:date="2015-10-29T15:21:00Z">
              <w:r w:rsidRPr="00813B6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p = 0.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9999</w:t>
              </w:r>
            </w:ins>
            <w:del w:id="21" w:author="David Ouyang" w:date="2015-10-29T15:21:00Z">
              <w:r w:rsidR="00723117" w:rsidRPr="00813B63" w:rsidDel="00886CD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delText>Not statistically significant</w:delText>
              </w:r>
            </w:del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33 (80.5)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 (84.2)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35 (83.3)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34 (79.1)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15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Race, n (%)</w:t>
            </w: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White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 (61.0)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 (50.0)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 (54.8)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22 (51.2)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ins w:id="22" w:author="David Ouyang" w:date="2015-10-29T15:22:00Z">
              <w:r w:rsidRPr="00813B6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p = 0.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4154</w:t>
              </w:r>
            </w:ins>
            <w:del w:id="23" w:author="David Ouyang" w:date="2015-10-29T15:22:00Z">
              <w:r w:rsidR="00723117" w:rsidRPr="00813B63" w:rsidDel="00886CD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delText>Not statistically significant</w:delText>
              </w:r>
            </w:del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Black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Hispanic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Asian/Pacific Islander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Native American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Other or 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13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income, n (%)</w:t>
            </w: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$1-24,999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(18.6)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117" w:rsidRPr="00813B63" w:rsidRDefault="00886CDC" w:rsidP="00886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ins w:id="24" w:author="David Ouyang" w:date="2015-10-29T15:23:00Z">
              <w:r w:rsidRPr="00813B6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p = 0.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t>2309</w:t>
              </w:r>
            </w:ins>
            <w:del w:id="25" w:author="David Ouyang" w:date="2015-10-29T15:23:00Z">
              <w:r w:rsidR="00723117" w:rsidRPr="00813B63" w:rsidDel="00886CD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US"/>
                </w:rPr>
                <w:delText>Not statistically significant</w:delText>
              </w:r>
            </w:del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$25,000-34,999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(24.4)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(26.3)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$35,000-44,999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 (30.2)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$45,000 or more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(31.6)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14 (33.3)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 (32.6)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723117" w:rsidRPr="00813B63" w:rsidTr="00813B63">
        <w:trPr>
          <w:trHeight w:val="63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Number of concomitant diagnosis, mean ± SD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11.9 ± 3.1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12.3 ± 3.0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117" w:rsidRPr="00813B63" w:rsidRDefault="00723117" w:rsidP="0072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0.2961</w:t>
            </w:r>
          </w:p>
        </w:tc>
      </w:tr>
    </w:tbl>
    <w:p w:rsidR="00813B63" w:rsidRDefault="00813B63">
      <w:pPr>
        <w:rPr>
          <w:sz w:val="24"/>
          <w:szCs w:val="24"/>
        </w:rPr>
      </w:pPr>
    </w:p>
    <w:p w:rsidR="00305687" w:rsidRDefault="00305687">
      <w:pPr>
        <w:rPr>
          <w:sz w:val="24"/>
          <w:szCs w:val="24"/>
        </w:rPr>
      </w:pPr>
    </w:p>
    <w:p w:rsidR="00305687" w:rsidRDefault="00305687">
      <w:pPr>
        <w:rPr>
          <w:sz w:val="24"/>
          <w:szCs w:val="24"/>
        </w:rPr>
      </w:pPr>
    </w:p>
    <w:p w:rsidR="00D83148" w:rsidRDefault="00D83148">
      <w:pPr>
        <w:rPr>
          <w:sz w:val="24"/>
          <w:szCs w:val="24"/>
        </w:rPr>
      </w:pPr>
    </w:p>
    <w:p w:rsidR="00D83148" w:rsidRPr="00DF0F40" w:rsidRDefault="00886CD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6310" cy="2761028"/>
            <wp:effectExtent l="0" t="0" r="1524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3148" w:rsidRPr="00DF0F40" w:rsidSect="00813B63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trackRevisions/>
  <w:defaultTabStop w:val="720"/>
  <w:drawingGridHorizontalSpacing w:val="110"/>
  <w:displayHorizontalDrawingGridEvery w:val="2"/>
  <w:characterSpacingControl w:val="doNotCompress"/>
  <w:compat>
    <w:useFELayout/>
  </w:compat>
  <w:rsids>
    <w:rsidRoot w:val="0047164F"/>
    <w:rsid w:val="0012716E"/>
    <w:rsid w:val="00150E55"/>
    <w:rsid w:val="001879CE"/>
    <w:rsid w:val="00225C92"/>
    <w:rsid w:val="00261958"/>
    <w:rsid w:val="0029381B"/>
    <w:rsid w:val="002C7DD0"/>
    <w:rsid w:val="00305687"/>
    <w:rsid w:val="003A4A10"/>
    <w:rsid w:val="003C1A34"/>
    <w:rsid w:val="004025CA"/>
    <w:rsid w:val="0041575F"/>
    <w:rsid w:val="00420447"/>
    <w:rsid w:val="0047164F"/>
    <w:rsid w:val="004C43B5"/>
    <w:rsid w:val="005024C0"/>
    <w:rsid w:val="00503E24"/>
    <w:rsid w:val="00523553"/>
    <w:rsid w:val="00526BE8"/>
    <w:rsid w:val="00551DF4"/>
    <w:rsid w:val="00592DA7"/>
    <w:rsid w:val="0061702F"/>
    <w:rsid w:val="00652086"/>
    <w:rsid w:val="00670432"/>
    <w:rsid w:val="00674704"/>
    <w:rsid w:val="006B21E9"/>
    <w:rsid w:val="006E641A"/>
    <w:rsid w:val="00723117"/>
    <w:rsid w:val="0077093C"/>
    <w:rsid w:val="007740DD"/>
    <w:rsid w:val="00813B63"/>
    <w:rsid w:val="00846B14"/>
    <w:rsid w:val="00886CDC"/>
    <w:rsid w:val="008D586D"/>
    <w:rsid w:val="00910A55"/>
    <w:rsid w:val="00944EB1"/>
    <w:rsid w:val="0098240A"/>
    <w:rsid w:val="009F101A"/>
    <w:rsid w:val="00A118CB"/>
    <w:rsid w:val="00A53B55"/>
    <w:rsid w:val="00B26373"/>
    <w:rsid w:val="00B34A8F"/>
    <w:rsid w:val="00BD2197"/>
    <w:rsid w:val="00C237E4"/>
    <w:rsid w:val="00C2537F"/>
    <w:rsid w:val="00CE15F8"/>
    <w:rsid w:val="00D10399"/>
    <w:rsid w:val="00D47D29"/>
    <w:rsid w:val="00D83148"/>
    <w:rsid w:val="00DE1472"/>
    <w:rsid w:val="00DF0F40"/>
    <w:rsid w:val="00EC0958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Percent mortality in hospitalized patients by wait time for OHT after LVAD implantation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cat>
            <c:strRef>
              <c:f>'[Chart in Microsoft Word]Sheet3'!$R$169:$U$169</c:f>
              <c:strCache>
                <c:ptCount val="4"/>
                <c:pt idx="0">
                  <c:v>0-8</c:v>
                </c:pt>
                <c:pt idx="1">
                  <c:v>9-32</c:v>
                </c:pt>
                <c:pt idx="2">
                  <c:v>33-66</c:v>
                </c:pt>
                <c:pt idx="3">
                  <c:v>67-306</c:v>
                </c:pt>
              </c:strCache>
            </c:strRef>
          </c:cat>
          <c:val>
            <c:numRef>
              <c:f>'[Chart in Microsoft Word]Sheet3'!$R$170:$U$170</c:f>
              <c:numCache>
                <c:formatCode>General</c:formatCode>
                <c:ptCount val="4"/>
                <c:pt idx="0">
                  <c:v>28.888888888888893</c:v>
                </c:pt>
                <c:pt idx="1">
                  <c:v>10.256410256410259</c:v>
                </c:pt>
                <c:pt idx="2">
                  <c:v>10</c:v>
                </c:pt>
                <c:pt idx="3">
                  <c:v>12.5</c:v>
                </c:pt>
              </c:numCache>
            </c:numRef>
          </c:val>
        </c:ser>
        <c:axId val="176504192"/>
        <c:axId val="176542464"/>
      </c:barChart>
      <c:catAx>
        <c:axId val="17650419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Days after LVAD implantation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666412801517335"/>
              <c:y val="0.89316877626739022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42464"/>
        <c:crosses val="autoZero"/>
        <c:auto val="1"/>
        <c:lblAlgn val="ctr"/>
        <c:lblOffset val="100"/>
      </c:catAx>
      <c:valAx>
        <c:axId val="1765424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0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0.16027</cdr:x>
      <cdr:y>0.88718</cdr:y>
    </cdr:from>
    <cdr:to>
      <cdr:x>0.91926</cdr:x>
      <cdr:y>0.88718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763897" y="2449529"/>
          <a:ext cx="3617603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>
              <a:lumMod val="50000"/>
              <a:lumOff val="50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2015-10-29T22:03:00Z</dcterms:created>
  <dcterms:modified xsi:type="dcterms:W3CDTF">2015-10-29T22:24:00Z</dcterms:modified>
</cp:coreProperties>
</file>