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2.</w:t>
      </w:r>
      <w:r w:rsidR="00790211" w:rsidRPr="00DA677F">
        <w:rPr>
          <w:rFonts w:ascii="Times New Roman" w:hAnsi="Times New Roman" w:cs="Times New Roman"/>
          <w:color w:val="000000"/>
          <w:sz w:val="24"/>
          <w:szCs w:val="24"/>
          <w:shd w:val="clear" w:color="auto" w:fill="FFFFFF"/>
        </w:rPr>
        <w:t>Division of Adult Cardiac Surgery, Department of Cardiothoracic Surgery.</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w:t>
      </w:r>
      <w:proofErr w:type="spellStart"/>
      <w:r w:rsidR="00A40576" w:rsidRPr="00A40576">
        <w:rPr>
          <w:rFonts w:ascii="Times New Roman" w:hAnsi="Times New Roman" w:cs="Times New Roman"/>
          <w:sz w:val="24"/>
          <w:szCs w:val="24"/>
        </w:rPr>
        <w:t>Banerjee</w:t>
      </w:r>
      <w:proofErr w:type="spellEnd"/>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r w:rsidR="00AB2B8E">
        <w:rPr>
          <w:rFonts w:ascii="Times New Roman" w:hAnsi="Times New Roman" w:cs="Times New Roman"/>
          <w:b/>
          <w:sz w:val="24"/>
          <w:szCs w:val="24"/>
        </w:rPr>
        <w:t xml:space="preserve"> (250 – 300 words)</w:t>
      </w:r>
    </w:p>
    <w:p w:rsidR="00AB2B8E" w:rsidRDefault="006C7F64"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orthotopic heart transplantation (OHT) after the implantation of left ventricular assist devices (LVAD) is unknown. Some have argued that performing OHT early after LVAD placement poses an increased risk of morbidity and mortality to patients. </w:t>
      </w:r>
    </w:p>
    <w:p w:rsidR="000548AD" w:rsidRPr="00A40576" w:rsidRDefault="00AB2B8E" w:rsidP="00C657D5">
      <w:pPr>
        <w:spacing w:line="360" w:lineRule="auto"/>
        <w:rPr>
          <w:rFonts w:ascii="Times New Roman" w:hAnsi="Times New Roman" w:cs="Times New Roman"/>
          <w:sz w:val="24"/>
          <w:szCs w:val="24"/>
        </w:rPr>
      </w:pPr>
      <w:r>
        <w:rPr>
          <w:rFonts w:ascii="Times New Roman" w:hAnsi="Times New Roman" w:cs="Times New Roman"/>
          <w:b/>
          <w:sz w:val="24"/>
          <w:szCs w:val="24"/>
        </w:rPr>
        <w:t xml:space="preserve">Objectives - </w:t>
      </w:r>
      <w:r w:rsidR="000548AD" w:rsidRPr="00A40576">
        <w:rPr>
          <w:rFonts w:ascii="Times New Roman" w:hAnsi="Times New Roman" w:cs="Times New Roman"/>
          <w:sz w:val="24"/>
          <w:szCs w:val="24"/>
        </w:rPr>
        <w:t xml:space="preserve">In this study, we describe </w:t>
      </w:r>
      <w:r w:rsidR="00DB18A1" w:rsidRPr="00A40576">
        <w:rPr>
          <w:rFonts w:ascii="Times New Roman" w:hAnsi="Times New Roman" w:cs="Times New Roman"/>
          <w:sz w:val="24"/>
          <w:szCs w:val="24"/>
        </w:rPr>
        <w:t>the impact</w:t>
      </w:r>
      <w:r w:rsidR="000548AD" w:rsidRPr="00A40576">
        <w:rPr>
          <w:rFonts w:ascii="Times New Roman" w:hAnsi="Times New Roman" w:cs="Times New Roman"/>
          <w:sz w:val="24"/>
          <w:szCs w:val="24"/>
        </w:rPr>
        <w:t xml:space="preserve"> of timing of post-LVAD OHT on in-hospital </w:t>
      </w:r>
      <w:r>
        <w:rPr>
          <w:rFonts w:ascii="Times New Roman" w:hAnsi="Times New Roman" w:cs="Times New Roman"/>
          <w:sz w:val="24"/>
          <w:szCs w:val="24"/>
        </w:rPr>
        <w:t>mortality</w:t>
      </w:r>
      <w:r w:rsidR="00404679">
        <w:rPr>
          <w:rFonts w:ascii="Times New Roman" w:hAnsi="Times New Roman" w:cs="Times New Roman"/>
          <w:sz w:val="24"/>
          <w:szCs w:val="24"/>
        </w:rPr>
        <w:t xml:space="preserve"> and length of stay after OHT</w:t>
      </w:r>
      <w:r w:rsidR="00DB18A1">
        <w:rPr>
          <w:rFonts w:ascii="Times New Roman" w:hAnsi="Times New Roman" w:cs="Times New Roman"/>
          <w:sz w:val="24"/>
          <w:szCs w:val="24"/>
        </w:rPr>
        <w:t>.</w:t>
      </w:r>
    </w:p>
    <w:p w:rsidR="00DB18A1" w:rsidRDefault="00471DDD"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data from the Nationwide Inpatient Sample (NIS) from 1998 to 2011, we identified patients 18 years of age or greater who underwent implantation of a LVAD and for </w:t>
      </w:r>
      <w:proofErr w:type="spellStart"/>
      <w:r w:rsidR="00AB2B8E">
        <w:rPr>
          <w:rFonts w:ascii="Times New Roman" w:hAnsi="Times New Roman" w:cs="Times New Roman"/>
          <w:sz w:val="24"/>
          <w:szCs w:val="24"/>
        </w:rPr>
        <w:t>whom</w:t>
      </w:r>
      <w:r w:rsidR="00A40576" w:rsidRPr="00C657D5">
        <w:rPr>
          <w:rFonts w:ascii="Times New Roman" w:hAnsi="Times New Roman" w:cs="Times New Roman"/>
          <w:sz w:val="24"/>
          <w:szCs w:val="24"/>
        </w:rPr>
        <w:t>the</w:t>
      </w:r>
      <w:proofErr w:type="spellEnd"/>
      <w:r w:rsidR="00A40576" w:rsidRPr="00C657D5">
        <w:rPr>
          <w:rFonts w:ascii="Times New Roman" w:hAnsi="Times New Roman" w:cs="Times New Roman"/>
          <w:sz w:val="24"/>
          <w:szCs w:val="24"/>
        </w:rPr>
        <w:t xml:space="preserve"> date of procedure was available. We calculated in</w:t>
      </w:r>
      <w:r w:rsidR="00AB2B8E">
        <w:rPr>
          <w:rFonts w:ascii="Times New Roman" w:hAnsi="Times New Roman" w:cs="Times New Roman"/>
          <w:sz w:val="24"/>
          <w:szCs w:val="24"/>
        </w:rPr>
        <w:t>-</w:t>
      </w:r>
      <w:r w:rsidR="00A40576" w:rsidRPr="00C657D5">
        <w:rPr>
          <w:rFonts w:ascii="Times New Roman" w:hAnsi="Times New Roman" w:cs="Times New Roman"/>
          <w:sz w:val="24"/>
          <w:szCs w:val="24"/>
        </w:rPr>
        <w:t>hospital mortality for those patients who underwent OHT during the same hospitalization as a function of time from LVAD to OHT, adjusting for age, sex, race, household income, and number of comorbid diagnoses. Finally, we analyzed the effect of time to OHT after LVAD placement on the length of hospital stay post-</w:t>
      </w:r>
      <w:r w:rsidR="00DB18A1" w:rsidRPr="00C657D5">
        <w:rPr>
          <w:rFonts w:ascii="Times New Roman" w:hAnsi="Times New Roman" w:cs="Times New Roman"/>
          <w:sz w:val="24"/>
          <w:szCs w:val="24"/>
        </w:rPr>
        <w:t>transplant.</w:t>
      </w:r>
    </w:p>
    <w:p w:rsidR="00A40576" w:rsidRPr="00C657D5" w:rsidRDefault="00DB18A1"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00A40576"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Post-transplant </w:t>
      </w:r>
      <w:r w:rsidR="00094F4B">
        <w:rPr>
          <w:rFonts w:ascii="Times New Roman" w:hAnsi="Times New Roman" w:cs="Times New Roman"/>
          <w:sz w:val="24"/>
          <w:szCs w:val="24"/>
        </w:rPr>
        <w:t xml:space="preserve">length of </w:t>
      </w:r>
      <w:proofErr w:type="spellStart"/>
      <w:r w:rsidR="00094F4B">
        <w:rPr>
          <w:rFonts w:ascii="Times New Roman" w:hAnsi="Times New Roman" w:cs="Times New Roman"/>
          <w:sz w:val="24"/>
          <w:szCs w:val="24"/>
        </w:rPr>
        <w:t>stay</w:t>
      </w:r>
      <w:r w:rsidR="00A40576" w:rsidRPr="00C657D5">
        <w:rPr>
          <w:rFonts w:ascii="Times New Roman" w:hAnsi="Times New Roman" w:cs="Times New Roman"/>
          <w:sz w:val="24"/>
          <w:szCs w:val="24"/>
        </w:rPr>
        <w:t>after</w:t>
      </w:r>
      <w:proofErr w:type="spellEnd"/>
      <w:r w:rsidR="00A40576" w:rsidRPr="00C657D5">
        <w:rPr>
          <w:rFonts w:ascii="Times New Roman" w:hAnsi="Times New Roman" w:cs="Times New Roman"/>
          <w:sz w:val="24"/>
          <w:szCs w:val="24"/>
        </w:rPr>
        <w:t xml:space="preserve">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compared to patients who underwent </w:t>
      </w:r>
      <w:r w:rsidR="00AB2B8E">
        <w:rPr>
          <w:rFonts w:ascii="Times New Roman" w:hAnsi="Times New Roman" w:cs="Times New Roman"/>
          <w:sz w:val="24"/>
          <w:szCs w:val="24"/>
        </w:rPr>
        <w:t xml:space="preserve">early post-LVAD </w:t>
      </w:r>
      <w:r w:rsidR="00A40576" w:rsidRPr="00C657D5">
        <w:rPr>
          <w:rFonts w:ascii="Times New Roman" w:hAnsi="Times New Roman" w:cs="Times New Roman"/>
          <w:sz w:val="24"/>
          <w:szCs w:val="24"/>
        </w:rPr>
        <w:t>OHT</w:t>
      </w:r>
      <w:r w:rsidR="00AB2B8E">
        <w:rPr>
          <w:rFonts w:ascii="Times New Roman" w:hAnsi="Times New Roman" w:cs="Times New Roman"/>
          <w:sz w:val="24"/>
          <w:szCs w:val="24"/>
        </w:rPr>
        <w:t>.Longer</w:t>
      </w:r>
      <w:r w:rsidR="001F31C5">
        <w:rPr>
          <w:rFonts w:ascii="Times New Roman" w:hAnsi="Times New Roman" w:cs="Times New Roman"/>
          <w:sz w:val="24"/>
          <w:szCs w:val="24"/>
        </w:rPr>
        <w:t xml:space="preserve"> wait </w:t>
      </w:r>
      <w:r w:rsidR="00AB2B8E">
        <w:rPr>
          <w:rFonts w:ascii="Times New Roman" w:hAnsi="Times New Roman" w:cs="Times New Roman"/>
          <w:sz w:val="24"/>
          <w:szCs w:val="24"/>
        </w:rPr>
        <w:t>time</w:t>
      </w:r>
      <w:r w:rsidR="001F31C5">
        <w:rPr>
          <w:rFonts w:ascii="Times New Roman" w:hAnsi="Times New Roman" w:cs="Times New Roman"/>
          <w:sz w:val="24"/>
          <w:szCs w:val="24"/>
        </w:rPr>
        <w:t>s</w:t>
      </w:r>
      <w:r w:rsidR="00A40576" w:rsidRPr="00C657D5">
        <w:rPr>
          <w:rFonts w:ascii="Times New Roman" w:hAnsi="Times New Roman" w:cs="Times New Roman"/>
          <w:sz w:val="24"/>
          <w:szCs w:val="24"/>
        </w:rPr>
        <w:t xml:space="preserve"> for OHT after LVAD placement did not correlate with longer hospital stays post OHT.</w:t>
      </w:r>
    </w:p>
    <w:p w:rsidR="00384168" w:rsidRPr="001F31C5" w:rsidRDefault="00C71C57" w:rsidP="00C657D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Key Words –</w:t>
      </w:r>
      <w:r w:rsidR="00484AB0" w:rsidRPr="001F31C5">
        <w:rPr>
          <w:rFonts w:ascii="Times New Roman" w:hAnsi="Times New Roman" w:cs="Times New Roman"/>
          <w:sz w:val="24"/>
          <w:szCs w:val="24"/>
        </w:rPr>
        <w:t xml:space="preserve"> Mechanical Circulatory Support, Orthotopic Heart Transplant, Bridge to Transplant Left Ventricular Assist Device Outcomes</w:t>
      </w:r>
    </w:p>
    <w:p w:rsidR="00031399" w:rsidRDefault="00031399" w:rsidP="00C657D5">
      <w:pPr>
        <w:spacing w:line="360" w:lineRule="auto"/>
        <w:rPr>
          <w:rFonts w:ascii="Times New Roman" w:hAnsi="Times New Roman" w:cs="Times New Roman"/>
          <w:sz w:val="24"/>
          <w:szCs w:val="24"/>
        </w:rPr>
      </w:pPr>
    </w:p>
    <w:p w:rsidR="00031399" w:rsidRDefault="0097065E" w:rsidP="00C657D5">
      <w:pPr>
        <w:spacing w:line="360" w:lineRule="auto"/>
        <w:rPr>
          <w:rFonts w:ascii="Times New Roman" w:hAnsi="Times New Roman" w:cs="Times New Roman"/>
          <w:sz w:val="24"/>
          <w:szCs w:val="24"/>
        </w:rPr>
      </w:pPr>
      <w:r>
        <w:rPr>
          <w:rFonts w:ascii="Times New Roman" w:hAnsi="Times New Roman" w:cs="Times New Roman"/>
          <w:b/>
          <w:sz w:val="24"/>
          <w:szCs w:val="24"/>
        </w:rPr>
        <w:t>Abbreviations</w:t>
      </w:r>
      <w:r>
        <w:rPr>
          <w:rFonts w:ascii="Times New Roman" w:hAnsi="Times New Roman" w:cs="Times New Roman"/>
          <w:sz w:val="24"/>
          <w:szCs w:val="24"/>
        </w:rPr>
        <w:t xml:space="preserve"> – </w:t>
      </w:r>
    </w:p>
    <w:p w:rsid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OHT - </w:t>
      </w:r>
      <w:r w:rsidRPr="00A32F14">
        <w:rPr>
          <w:rFonts w:ascii="Times New Roman" w:hAnsi="Times New Roman" w:cs="Times New Roman"/>
          <w:sz w:val="24"/>
          <w:szCs w:val="24"/>
        </w:rPr>
        <w:t>Orthotopic Heart Transplant</w:t>
      </w: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8166A8" w:rsidRDefault="008166A8"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w:t>
      </w:r>
      <w:proofErr w:type="spellEnd"/>
      <w:r w:rsidR="002C36ED" w:rsidRPr="002C36ED">
        <w:rPr>
          <w:rFonts w:ascii="Times New Roman" w:hAnsi="Times New Roman" w:cs="Times New Roman"/>
          <w:sz w:val="24"/>
          <w:szCs w:val="24"/>
        </w:rPr>
        <w:t xml:space="preserve">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xml:space="preserve">, </w:t>
      </w:r>
      <w:proofErr w:type="spellStart"/>
      <w:r w:rsidR="00094F4B">
        <w:rPr>
          <w:rFonts w:ascii="Times New Roman" w:hAnsi="Times New Roman" w:cs="Times New Roman"/>
          <w:sz w:val="24"/>
          <w:szCs w:val="24"/>
        </w:rPr>
        <w:t>but</w:t>
      </w:r>
      <w:r w:rsidR="002C36ED" w:rsidRPr="002C36ED">
        <w:rPr>
          <w:rFonts w:ascii="Times New Roman" w:hAnsi="Times New Roman" w:cs="Times New Roman"/>
          <w:sz w:val="24"/>
          <w:szCs w:val="24"/>
        </w:rPr>
        <w:t>the</w:t>
      </w:r>
      <w:proofErr w:type="spellEnd"/>
      <w:r w:rsidR="002C36ED" w:rsidRPr="002C36ED">
        <w:rPr>
          <w:rFonts w:ascii="Times New Roman" w:hAnsi="Times New Roman" w:cs="Times New Roman"/>
          <w:sz w:val="24"/>
          <w:szCs w:val="24"/>
        </w:rPr>
        <w:t xml:space="preserve"> number of donor hearts available for transplantation </w:t>
      </w:r>
      <w:proofErr w:type="spellStart"/>
      <w:r w:rsidR="00E6277E">
        <w:rPr>
          <w:rFonts w:ascii="Times New Roman" w:hAnsi="Times New Roman" w:cs="Times New Roman"/>
          <w:sz w:val="24"/>
          <w:szCs w:val="24"/>
        </w:rPr>
        <w:t>is</w:t>
      </w:r>
      <w:r w:rsidR="002C36ED" w:rsidRPr="002C36ED">
        <w:rPr>
          <w:rFonts w:ascii="Times New Roman" w:hAnsi="Times New Roman" w:cs="Times New Roman"/>
          <w:sz w:val="24"/>
          <w:szCs w:val="24"/>
        </w:rPr>
        <w:t>far</w:t>
      </w:r>
      <w:proofErr w:type="spellEnd"/>
      <w:r w:rsidR="002C36ED" w:rsidRPr="002C36ED">
        <w:rPr>
          <w:rFonts w:ascii="Times New Roman" w:hAnsi="Times New Roman" w:cs="Times New Roman"/>
          <w:sz w:val="24"/>
          <w:szCs w:val="24"/>
        </w:rPr>
        <w:t xml:space="preserve"> fewer than the number of patients </w:t>
      </w:r>
      <w:r w:rsidR="00094F4B">
        <w:rPr>
          <w:rFonts w:ascii="Times New Roman" w:hAnsi="Times New Roman" w:cs="Times New Roman"/>
          <w:sz w:val="24"/>
          <w:szCs w:val="24"/>
        </w:rPr>
        <w:t>on the transplant list</w:t>
      </w:r>
      <w:r w:rsidR="002C36ED" w:rsidRPr="002C36ED">
        <w:rPr>
          <w:rFonts w:ascii="Times New Roman" w:hAnsi="Times New Roman" w:cs="Times New Roman"/>
          <w:sz w:val="24"/>
          <w:szCs w:val="24"/>
        </w:rPr>
        <w:t xml:space="preserve">. </w:t>
      </w:r>
      <w:r w:rsidR="00BD2314">
        <w:rPr>
          <w:rFonts w:ascii="Times New Roman" w:hAnsi="Times New Roman" w:cs="Times New Roman"/>
          <w:sz w:val="24"/>
          <w:szCs w:val="24"/>
        </w:rPr>
        <w:t xml:space="preserve">For this </w:t>
      </w:r>
      <w:proofErr w:type="spellStart"/>
      <w:r w:rsidR="00BD2314">
        <w:rPr>
          <w:rFonts w:ascii="Times New Roman" w:hAnsi="Times New Roman" w:cs="Times New Roman"/>
          <w:sz w:val="24"/>
          <w:szCs w:val="24"/>
        </w:rPr>
        <w:t>reason</w:t>
      </w:r>
      <w:r w:rsidR="00094F4B">
        <w:rPr>
          <w:rFonts w:ascii="Times New Roman" w:hAnsi="Times New Roman" w:cs="Times New Roman"/>
          <w:sz w:val="24"/>
          <w:szCs w:val="24"/>
        </w:rPr>
        <w:t>left</w:t>
      </w:r>
      <w:proofErr w:type="spellEnd"/>
      <w:r w:rsidR="00094F4B">
        <w:rPr>
          <w:rFonts w:ascii="Times New Roman" w:hAnsi="Times New Roman" w:cs="Times New Roman"/>
          <w:sz w:val="24"/>
          <w:szCs w:val="24"/>
        </w:rPr>
        <w:t xml:space="preserve"> ventricular assist devices (</w:t>
      </w:r>
      <w:r w:rsidRPr="002C36ED">
        <w:rPr>
          <w:rFonts w:ascii="Times New Roman" w:hAnsi="Times New Roman" w:cs="Times New Roman"/>
          <w:sz w:val="24"/>
          <w:szCs w:val="24"/>
        </w:rPr>
        <w:t>LVADs</w:t>
      </w:r>
      <w:r w:rsidR="00094F4B">
        <w:rPr>
          <w:rFonts w:ascii="Times New Roman" w:hAnsi="Times New Roman" w:cs="Times New Roman"/>
          <w:sz w:val="24"/>
          <w:szCs w:val="24"/>
        </w:rPr>
        <w:t>)</w:t>
      </w:r>
      <w:r w:rsidRPr="002C36ED">
        <w:rPr>
          <w:rFonts w:ascii="Times New Roman" w:hAnsi="Times New Roman" w:cs="Times New Roman"/>
          <w:sz w:val="24"/>
          <w:szCs w:val="24"/>
        </w:rPr>
        <w:t xml:space="preserve"> are </w:t>
      </w:r>
      <w:r w:rsidR="00BD2314">
        <w:rPr>
          <w:rFonts w:ascii="Times New Roman" w:hAnsi="Times New Roman" w:cs="Times New Roman"/>
          <w:sz w:val="24"/>
          <w:szCs w:val="24"/>
        </w:rPr>
        <w:t>increasingly being used to bridge patients to cardiac transplantation</w:t>
      </w:r>
      <w:r w:rsidR="00D312B8">
        <w:rPr>
          <w:rFonts w:ascii="Times New Roman" w:hAnsi="Times New Roman" w:cs="Times New Roman"/>
          <w:sz w:val="24"/>
          <w:szCs w:val="24"/>
          <w:vertAlign w:val="superscript"/>
        </w:rPr>
        <w:t>5</w:t>
      </w:r>
      <w:r w:rsidR="00BD2314">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xml:space="preserve">. </w:t>
      </w:r>
      <w:proofErr w:type="spellStart"/>
      <w:r w:rsidR="001F31C5">
        <w:rPr>
          <w:rFonts w:ascii="Times New Roman" w:hAnsi="Times New Roman" w:cs="Times New Roman"/>
          <w:sz w:val="24"/>
          <w:szCs w:val="24"/>
        </w:rPr>
        <w:t>Although</w:t>
      </w:r>
      <w:r w:rsidR="002C36ED" w:rsidRPr="002C36ED">
        <w:rPr>
          <w:rFonts w:ascii="Times New Roman" w:hAnsi="Times New Roman" w:cs="Times New Roman"/>
          <w:sz w:val="24"/>
          <w:szCs w:val="24"/>
        </w:rPr>
        <w:t>LVADs</w:t>
      </w:r>
      <w:proofErr w:type="spellEnd"/>
      <w:r w:rsidR="002C36ED" w:rsidRPr="002C36ED">
        <w:rPr>
          <w:rFonts w:ascii="Times New Roman" w:hAnsi="Times New Roman" w:cs="Times New Roman"/>
          <w:sz w:val="24"/>
          <w:szCs w:val="24"/>
        </w:rPr>
        <w:t xml:space="preserve">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r w:rsidR="003E0043">
        <w:rPr>
          <w:rFonts w:ascii="Times New Roman" w:hAnsi="Times New Roman" w:cs="Times New Roman"/>
          <w:sz w:val="24"/>
          <w:szCs w:val="24"/>
        </w:rPr>
        <w:t>For example, though p</w:t>
      </w:r>
      <w:r w:rsidR="003E0043" w:rsidRPr="002C36ED">
        <w:rPr>
          <w:rFonts w:ascii="Times New Roman" w:hAnsi="Times New Roman" w:cs="Times New Roman"/>
          <w:sz w:val="24"/>
          <w:szCs w:val="24"/>
        </w:rPr>
        <w:t xml:space="preserve">atients bridged to OHT with a LVAD achieve </w:t>
      </w:r>
      <w:r w:rsidR="003E0043">
        <w:rPr>
          <w:rFonts w:ascii="Times New Roman" w:hAnsi="Times New Roman" w:cs="Times New Roman"/>
          <w:sz w:val="24"/>
          <w:szCs w:val="24"/>
        </w:rPr>
        <w:t>similar</w:t>
      </w:r>
      <w:r w:rsidR="003E0043" w:rsidRPr="002C36ED">
        <w:rPr>
          <w:rFonts w:ascii="Times New Roman" w:hAnsi="Times New Roman" w:cs="Times New Roman"/>
          <w:sz w:val="24"/>
          <w:szCs w:val="24"/>
        </w:rPr>
        <w:t xml:space="preserve"> survival rates as patients who undergo direct heart transplant</w:t>
      </w:r>
      <w:r w:rsidR="003E0043" w:rsidRPr="002C36ED">
        <w:rPr>
          <w:rFonts w:ascii="Times New Roman" w:hAnsi="Times New Roman" w:cs="Times New Roman"/>
          <w:sz w:val="24"/>
          <w:szCs w:val="24"/>
          <w:vertAlign w:val="superscript"/>
        </w:rPr>
        <w:t>14</w:t>
      </w:r>
      <w:r w:rsidR="000E1DA3" w:rsidRPr="006A7A31">
        <w:rPr>
          <w:rFonts w:ascii="Times New Roman" w:hAnsi="Times New Roman" w:cs="Times New Roman"/>
          <w:sz w:val="24"/>
          <w:szCs w:val="24"/>
        </w:rPr>
        <w:t>.</w:t>
      </w:r>
      <w:r w:rsidR="003E0043">
        <w:rPr>
          <w:rFonts w:ascii="Times New Roman" w:hAnsi="Times New Roman" w:cs="Times New Roman"/>
          <w:sz w:val="24"/>
          <w:szCs w:val="24"/>
        </w:rPr>
        <w:t xml:space="preserve"> there is little data to guide clinicians regarding the optimal timing of OHT after LVAD </w:t>
      </w:r>
      <w:proofErr w:type="spellStart"/>
      <w:r w:rsidR="003E0043">
        <w:rPr>
          <w:rFonts w:ascii="Times New Roman" w:hAnsi="Times New Roman" w:cs="Times New Roman"/>
          <w:sz w:val="24"/>
          <w:szCs w:val="24"/>
        </w:rPr>
        <w:t>implantation.</w:t>
      </w:r>
      <w:r w:rsidR="003E0043" w:rsidRPr="00C657D5">
        <w:rPr>
          <w:rFonts w:ascii="Times New Roman" w:hAnsi="Times New Roman" w:cs="Times New Roman"/>
          <w:sz w:val="24"/>
          <w:szCs w:val="24"/>
        </w:rPr>
        <w:t>Some</w:t>
      </w:r>
      <w:proofErr w:type="spellEnd"/>
      <w:r w:rsidR="003E0043" w:rsidRPr="00C657D5">
        <w:rPr>
          <w:rFonts w:ascii="Times New Roman" w:hAnsi="Times New Roman" w:cs="Times New Roman"/>
          <w:sz w:val="24"/>
          <w:szCs w:val="24"/>
        </w:rPr>
        <w:t xml:space="preserve"> have argued that performing OHT early after LVAD placement poses an increased risk of morbidity and mortality to patients.</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w:t>
      </w:r>
      <w:r w:rsidR="003E0043">
        <w:rPr>
          <w:rFonts w:ascii="Times New Roman" w:hAnsi="Times New Roman" w:cs="Times New Roman"/>
          <w:sz w:val="24"/>
          <w:szCs w:val="24"/>
        </w:rPr>
        <w:t xml:space="preserve">We </w:t>
      </w:r>
      <w:proofErr w:type="spellStart"/>
      <w:r w:rsidR="003E0043">
        <w:rPr>
          <w:rFonts w:ascii="Times New Roman" w:hAnsi="Times New Roman" w:cs="Times New Roman"/>
          <w:sz w:val="24"/>
          <w:szCs w:val="24"/>
        </w:rPr>
        <w:t>used</w:t>
      </w:r>
      <w:r w:rsidR="002C36ED" w:rsidRPr="002C36ED">
        <w:rPr>
          <w:rFonts w:ascii="Times New Roman" w:hAnsi="Times New Roman" w:cs="Times New Roman"/>
          <w:sz w:val="24"/>
          <w:szCs w:val="24"/>
        </w:rPr>
        <w:t>the</w:t>
      </w:r>
      <w:proofErr w:type="spellEnd"/>
      <w:r w:rsidR="002C36ED" w:rsidRPr="002C36ED">
        <w:rPr>
          <w:rFonts w:ascii="Times New Roman" w:hAnsi="Times New Roman" w:cs="Times New Roman"/>
          <w:sz w:val="24"/>
          <w:szCs w:val="24"/>
        </w:rPr>
        <w:t xml:space="preserv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w:t>
      </w:r>
      <w:r w:rsidR="003E0043">
        <w:rPr>
          <w:rFonts w:ascii="Times New Roman" w:hAnsi="Times New Roman" w:cs="Times New Roman"/>
          <w:sz w:val="24"/>
          <w:szCs w:val="24"/>
        </w:rPr>
        <w:t xml:space="preserve">timing of OHT after LVAD implantation. To do this, we analyzed a patient cohort who had OHT performed while still hospitalized after LVAD implantation. We </w:t>
      </w:r>
      <w:r w:rsidR="003E0043">
        <w:rPr>
          <w:rFonts w:ascii="Times New Roman" w:hAnsi="Times New Roman" w:cs="Times New Roman"/>
          <w:sz w:val="24"/>
          <w:szCs w:val="24"/>
        </w:rPr>
        <w:lastRenderedPageBreak/>
        <w:t xml:space="preserve">hypothesized that early OHT after LVAD placement would exhibit higher mortality than late OHT, and that the hospital length of stay (LOS) after early OHT would be less than LOS after late OHT. </w:t>
      </w:r>
    </w:p>
    <w:p w:rsidR="002C36ED" w:rsidRDefault="002C36ED" w:rsidP="00C657D5">
      <w:pPr>
        <w:spacing w:line="360" w:lineRule="auto"/>
        <w:rPr>
          <w:rFonts w:ascii="Times New Roman" w:hAnsi="Times New Roman" w:cs="Times New Roman"/>
          <w:b/>
          <w:sz w:val="24"/>
          <w:szCs w:val="24"/>
        </w:rPr>
      </w:pPr>
    </w:p>
    <w:p w:rsidR="00036D0E" w:rsidRPr="002C36ED" w:rsidRDefault="00036D0E"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w:t>
      </w:r>
      <w:r w:rsidR="008D5E4A">
        <w:rPr>
          <w:rFonts w:ascii="Times New Roman" w:hAnsi="Times New Roman" w:cs="Times New Roman"/>
          <w:sz w:val="24"/>
          <w:szCs w:val="24"/>
        </w:rPr>
        <w:t>LVAD</w:t>
      </w:r>
      <w:r w:rsidRPr="002C36ED">
        <w:rPr>
          <w:rFonts w:ascii="Times New Roman" w:hAnsi="Times New Roman" w:cs="Times New Roman"/>
          <w:sz w:val="24"/>
          <w:szCs w:val="24"/>
        </w:rPr>
        <w:t xml:space="preserve"> and for which the hospital day of each procedure was available. Procedures during the hospitalization in addition to LVAD placement, including </w:t>
      </w:r>
      <w:proofErr w:type="spellStart"/>
      <w:r w:rsidR="008D5E4A" w:rsidRPr="002C36ED">
        <w:rPr>
          <w:rFonts w:ascii="Times New Roman" w:hAnsi="Times New Roman" w:cs="Times New Roman"/>
          <w:sz w:val="24"/>
          <w:szCs w:val="24"/>
        </w:rPr>
        <w:t>ortho</w:t>
      </w:r>
      <w:r w:rsidR="008D5E4A">
        <w:rPr>
          <w:rFonts w:ascii="Times New Roman" w:hAnsi="Times New Roman" w:cs="Times New Roman"/>
          <w:sz w:val="24"/>
          <w:szCs w:val="24"/>
        </w:rPr>
        <w:t>topic</w:t>
      </w:r>
      <w:r w:rsidRPr="002C36ED">
        <w:rPr>
          <w:rFonts w:ascii="Times New Roman" w:hAnsi="Times New Roman" w:cs="Times New Roman"/>
          <w:sz w:val="24"/>
          <w:szCs w:val="24"/>
        </w:rPr>
        <w:t>heart</w:t>
      </w:r>
      <w:proofErr w:type="spellEnd"/>
      <w:r w:rsidRPr="002C36ED">
        <w:rPr>
          <w:rFonts w:ascii="Times New Roman" w:hAnsi="Times New Roman" w:cs="Times New Roman"/>
          <w:sz w:val="24"/>
          <w:szCs w:val="24"/>
        </w:rPr>
        <w:t xml:space="preserve">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w:t>
      </w:r>
      <w:proofErr w:type="spellStart"/>
      <w:r w:rsidR="00471DDD" w:rsidRPr="002C36ED">
        <w:rPr>
          <w:rFonts w:ascii="Times New Roman" w:hAnsi="Times New Roman" w:cs="Times New Roman"/>
          <w:sz w:val="24"/>
          <w:szCs w:val="24"/>
        </w:rPr>
        <w:t>complications</w:t>
      </w:r>
      <w:r w:rsidR="008035B7">
        <w:rPr>
          <w:rFonts w:ascii="Times New Roman" w:hAnsi="Times New Roman" w:cs="Times New Roman"/>
          <w:sz w:val="24"/>
          <w:szCs w:val="24"/>
        </w:rPr>
        <w:t>requiring</w:t>
      </w:r>
      <w:proofErr w:type="spellEnd"/>
      <w:r w:rsidR="008035B7">
        <w:rPr>
          <w:rFonts w:ascii="Times New Roman" w:hAnsi="Times New Roman" w:cs="Times New Roman"/>
          <w:sz w:val="24"/>
          <w:szCs w:val="24"/>
        </w:rPr>
        <w:t xml:space="preserve">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lastRenderedPageBreak/>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commentRangeStart w:id="0"/>
      <w:r w:rsidR="00036D0E">
        <w:rPr>
          <w:rFonts w:ascii="Times New Roman" w:hAnsi="Times New Roman" w:cs="Times New Roman"/>
          <w:sz w:val="24"/>
          <w:szCs w:val="24"/>
        </w:rPr>
        <w:t xml:space="preserve">The multivariate linear model evaluating post-OHT LVAD mortality was performed using a generalized </w:t>
      </w:r>
      <w:r w:rsidR="00036D0E" w:rsidRPr="006F3CAD">
        <w:rPr>
          <w:rFonts w:ascii="Times New Roman" w:hAnsi="Times New Roman" w:cs="Times New Roman"/>
          <w:sz w:val="24"/>
          <w:szCs w:val="24"/>
        </w:rPr>
        <w:t xml:space="preserve">linear model with input variable selection by Bayesian Information Criteria (BIC).  </w:t>
      </w:r>
      <w:r w:rsidR="006F3CAD" w:rsidRPr="006F3CAD">
        <w:rPr>
          <w:rFonts w:ascii="Times New Roman" w:eastAsia="Times New Roman" w:hAnsi="Times New Roman" w:cs="Times New Roman"/>
          <w:color w:val="000000"/>
          <w:sz w:val="24"/>
          <w:szCs w:val="24"/>
        </w:rPr>
        <w:t>Dependent variable was in-hospital mortality. Independent variables of age, gender, median income, race, number of comorbidities, before or after 2006, and whether early or late OHT was evaluated in the model.</w:t>
      </w:r>
      <w:commentRangeEnd w:id="0"/>
      <w:r w:rsidR="00C807E1">
        <w:rPr>
          <w:rStyle w:val="CommentReference"/>
        </w:rPr>
        <w:commentReference w:id="0"/>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BA515C" w:rsidRDefault="00691BEA"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identified 2200 patients greater than 18 years of age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DE7180">
        <w:rPr>
          <w:rFonts w:ascii="Times New Roman" w:hAnsi="Times New Roman" w:cs="Times New Roman"/>
          <w:sz w:val="24"/>
          <w:szCs w:val="24"/>
        </w:rPr>
        <w:t>.</w:t>
      </w:r>
      <w:r w:rsidR="00DE7CA5">
        <w:rPr>
          <w:rFonts w:ascii="Times New Roman" w:hAnsi="Times New Roman" w:cs="Times New Roman"/>
          <w:sz w:val="24"/>
          <w:szCs w:val="24"/>
        </w:rPr>
        <w:t xml:space="preserve"> </w:t>
      </w:r>
      <w:r>
        <w:rPr>
          <w:rFonts w:ascii="Times New Roman" w:hAnsi="Times New Roman" w:cs="Times New Roman"/>
          <w:sz w:val="24"/>
          <w:szCs w:val="24"/>
        </w:rPr>
        <w:t xml:space="preserve">The mean age of all patients was 53.4 years </w:t>
      </w:r>
      <w:r w:rsidRPr="002C36ED">
        <w:rPr>
          <w:rFonts w:ascii="Times New Roman" w:hAnsi="Times New Roman" w:cs="Times New Roman"/>
          <w:sz w:val="24"/>
          <w:szCs w:val="24"/>
        </w:rPr>
        <w:t>(SD = 13.7, range = 18-92 years).</w:t>
      </w:r>
      <w:r w:rsidR="008579D6">
        <w:rPr>
          <w:rFonts w:ascii="Times New Roman" w:hAnsi="Times New Roman" w:cs="Times New Roman"/>
          <w:sz w:val="24"/>
          <w:szCs w:val="24"/>
        </w:rPr>
        <w:t xml:space="preserve"> </w:t>
      </w:r>
      <w:r w:rsidR="00DE7180">
        <w:rPr>
          <w:rFonts w:ascii="Times New Roman" w:hAnsi="Times New Roman" w:cs="Times New Roman"/>
          <w:sz w:val="24"/>
          <w:szCs w:val="24"/>
        </w:rPr>
        <w:t xml:space="preserve">Baseline patient demographics, patient comorbidities, and hospital characteristics were well matched between LVAD patients who also underwent transplant during the hospitalization and LVAD patients who did not undergo transplant during the hospitalization (Table 1). </w:t>
      </w:r>
      <w:r w:rsidR="00DE7180" w:rsidRPr="002C36ED">
        <w:rPr>
          <w:rFonts w:ascii="Times New Roman" w:hAnsi="Times New Roman" w:cs="Times New Roman"/>
          <w:sz w:val="24"/>
          <w:szCs w:val="24"/>
        </w:rPr>
        <w:t>Most LVAD implantations were performed in large(87.8%)</w:t>
      </w:r>
      <w:r w:rsidR="00DE7180">
        <w:rPr>
          <w:rFonts w:ascii="Times New Roman" w:hAnsi="Times New Roman" w:cs="Times New Roman"/>
          <w:sz w:val="24"/>
          <w:szCs w:val="24"/>
        </w:rPr>
        <w:t>, urban (99.1%),</w:t>
      </w:r>
      <w:r w:rsidR="00DE7180" w:rsidRPr="002C36ED">
        <w:rPr>
          <w:rFonts w:ascii="Times New Roman" w:hAnsi="Times New Roman" w:cs="Times New Roman"/>
          <w:sz w:val="24"/>
          <w:szCs w:val="24"/>
        </w:rPr>
        <w:t xml:space="preserve"> teaching hospitals (92.4%).The most common comorbidities were diabetes (17.8%), disorders of lipid metabolism (14.1%), hypertension (13.7%), history of or current use of tobacco (6.5</w:t>
      </w:r>
      <w:r w:rsidR="00DE7180">
        <w:rPr>
          <w:rFonts w:ascii="Times New Roman" w:hAnsi="Times New Roman" w:cs="Times New Roman"/>
          <w:sz w:val="24"/>
          <w:szCs w:val="24"/>
        </w:rPr>
        <w:t xml:space="preserve">%) </w:t>
      </w:r>
      <w:r w:rsidR="00DE7180" w:rsidRPr="002C36ED">
        <w:rPr>
          <w:rFonts w:ascii="Times New Roman" w:hAnsi="Times New Roman" w:cs="Times New Roman"/>
          <w:sz w:val="24"/>
          <w:szCs w:val="24"/>
        </w:rPr>
        <w:t>, and BMI ≥ 30 kg/m</w:t>
      </w:r>
      <w:r w:rsidR="00DE7180" w:rsidRPr="002C36ED">
        <w:rPr>
          <w:rFonts w:ascii="Times New Roman" w:hAnsi="Times New Roman" w:cs="Times New Roman"/>
          <w:sz w:val="24"/>
          <w:szCs w:val="24"/>
          <w:vertAlign w:val="superscript"/>
        </w:rPr>
        <w:t>2</w:t>
      </w:r>
      <w:r w:rsidR="00DE7180" w:rsidRPr="002C36ED">
        <w:rPr>
          <w:rFonts w:ascii="Times New Roman" w:hAnsi="Times New Roman" w:cs="Times New Roman"/>
          <w:sz w:val="24"/>
          <w:szCs w:val="24"/>
        </w:rPr>
        <w:t xml:space="preserve"> (4.4%)</w:t>
      </w:r>
      <w:r w:rsidR="00DE7180">
        <w:rPr>
          <w:rFonts w:ascii="Times New Roman" w:hAnsi="Times New Roman" w:cs="Times New Roman"/>
          <w:sz w:val="24"/>
          <w:szCs w:val="24"/>
        </w:rPr>
        <w:t>.The mean day of LVAD implantation was 9.4 days (SD = 12.5 days) into the hospitalization.The overall in-hospital mortality rate was 26.8%</w:t>
      </w:r>
      <w:r w:rsidR="00E637F5">
        <w:rPr>
          <w:rFonts w:ascii="Times New Roman" w:hAnsi="Times New Roman" w:cs="Times New Roman"/>
          <w:sz w:val="24"/>
          <w:szCs w:val="24"/>
        </w:rPr>
        <w:t>, with r</w:t>
      </w:r>
      <w:r w:rsidR="004D2A4F" w:rsidRPr="002C36ED">
        <w:rPr>
          <w:rFonts w:ascii="Times New Roman" w:hAnsi="Times New Roman" w:cs="Times New Roman"/>
          <w:sz w:val="24"/>
          <w:szCs w:val="24"/>
        </w:rPr>
        <w:t>espiratory failure, cardiac dysrhythmias, right heart failure, and renal failure among the most frequent in-hospital complications immediately following LVAD implantation</w:t>
      </w:r>
      <w:r w:rsidR="004D2A4F">
        <w:rPr>
          <w:rFonts w:ascii="Times New Roman" w:hAnsi="Times New Roman" w:cs="Times New Roman"/>
          <w:sz w:val="24"/>
          <w:szCs w:val="24"/>
        </w:rPr>
        <w:t xml:space="preserve"> (Table </w:t>
      </w:r>
      <w:r w:rsidR="00EE4BAC">
        <w:rPr>
          <w:rFonts w:ascii="Times New Roman" w:hAnsi="Times New Roman" w:cs="Times New Roman"/>
          <w:sz w:val="24"/>
          <w:szCs w:val="24"/>
        </w:rPr>
        <w:t>3</w:t>
      </w:r>
      <w:r w:rsidR="004D2A4F">
        <w:rPr>
          <w:rFonts w:ascii="Times New Roman" w:hAnsi="Times New Roman" w:cs="Times New Roman"/>
          <w:sz w:val="24"/>
          <w:szCs w:val="24"/>
        </w:rPr>
        <w:t>)</w:t>
      </w:r>
      <w:r w:rsidR="004D2A4F" w:rsidRPr="002C36ED">
        <w:rPr>
          <w:rFonts w:ascii="Times New Roman" w:hAnsi="Times New Roman" w:cs="Times New Roman"/>
          <w:sz w:val="24"/>
          <w:szCs w:val="24"/>
        </w:rPr>
        <w:t>.</w:t>
      </w:r>
    </w:p>
    <w:p w:rsidR="00E637F5" w:rsidRDefault="00F55D28" w:rsidP="00E637F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dataset includes patients from </w:t>
      </w:r>
      <w:r w:rsidR="00983D66">
        <w:rPr>
          <w:rFonts w:ascii="Times New Roman" w:hAnsi="Times New Roman" w:cs="Times New Roman"/>
          <w:sz w:val="24"/>
          <w:szCs w:val="24"/>
        </w:rPr>
        <w:t>both the pulsatile-flow era (prior to 2006) and the continuous-flow era (2006 and after) of mechanical support</w:t>
      </w:r>
      <w:r w:rsidR="00036D0E">
        <w:rPr>
          <w:rFonts w:ascii="Times New Roman" w:hAnsi="Times New Roman" w:cs="Times New Roman"/>
          <w:sz w:val="24"/>
          <w:szCs w:val="24"/>
        </w:rPr>
        <w:t xml:space="preserve"> (Table 2)</w:t>
      </w:r>
      <w:r w:rsidR="00983D66">
        <w:rPr>
          <w:rFonts w:ascii="Times New Roman" w:hAnsi="Times New Roman" w:cs="Times New Roman"/>
          <w:sz w:val="24"/>
          <w:szCs w:val="24"/>
        </w:rPr>
        <w:t xml:space="preserve">. </w:t>
      </w:r>
    </w:p>
    <w:p w:rsidR="00E637F5" w:rsidRDefault="00F55D28" w:rsidP="00E637F5">
      <w:pPr>
        <w:pStyle w:val="NoSpacing"/>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637F5">
        <w:rPr>
          <w:rFonts w:ascii="Times New Roman" w:eastAsia="Times New Roman" w:hAnsi="Times New Roman" w:cs="Times New Roman"/>
          <w:color w:val="000000"/>
          <w:sz w:val="24"/>
          <w:szCs w:val="24"/>
        </w:rPr>
        <w:t xml:space="preserve">There was no significant difference in patient age, comorbidities, or hospital characteristics between patients taken care of before 2006 and after 2006 </w:t>
      </w:r>
    </w:p>
    <w:p w:rsidR="004D2A4F" w:rsidRDefault="004D2A4F" w:rsidP="00DA677F">
      <w:pPr>
        <w:pStyle w:val="NoSpacing"/>
        <w:spacing w:line="360" w:lineRule="auto"/>
      </w:pPr>
    </w:p>
    <w:p w:rsidR="002840AC" w:rsidRDefault="002840AC" w:rsidP="00DA677F">
      <w:pPr>
        <w:pStyle w:val="NoSpacing"/>
        <w:spacing w:line="360" w:lineRule="auto"/>
      </w:pPr>
    </w:p>
    <w:p w:rsidR="00036D0E" w:rsidRDefault="00036D0E" w:rsidP="00DA677F">
      <w:pPr>
        <w:pStyle w:val="NoSpacing"/>
        <w:spacing w:line="360" w:lineRule="auto"/>
      </w:pPr>
    </w:p>
    <w:p w:rsidR="002840AC" w:rsidRDefault="002840AC" w:rsidP="00DA677F">
      <w:pPr>
        <w:pStyle w:val="NoSpacing"/>
        <w:spacing w:line="360" w:lineRule="auto"/>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036D0E" w:rsidRDefault="003351F3" w:rsidP="00C657D5">
      <w:pPr>
        <w:spacing w:line="360" w:lineRule="auto"/>
        <w:rPr>
          <w:rFonts w:ascii="Times New Roman" w:hAnsi="Times New Roman" w:cs="Times New Roman"/>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 xml:space="preserve">164 (7.5%) patients also underwent </w:t>
      </w:r>
      <w:r w:rsidR="00623D68">
        <w:rPr>
          <w:rFonts w:ascii="Times New Roman" w:hAnsi="Times New Roman" w:cs="Times New Roman"/>
          <w:sz w:val="24"/>
          <w:szCs w:val="24"/>
        </w:rPr>
        <w:t>orth</w:t>
      </w:r>
      <w:r w:rsidR="00623D68" w:rsidRPr="003351F3">
        <w:rPr>
          <w:rFonts w:ascii="Times New Roman" w:hAnsi="Times New Roman" w:cs="Times New Roman"/>
          <w:sz w:val="24"/>
          <w:szCs w:val="24"/>
        </w:rPr>
        <w:t>o</w:t>
      </w:r>
      <w:r w:rsidR="00623D68">
        <w:rPr>
          <w:rFonts w:ascii="Times New Roman" w:hAnsi="Times New Roman" w:cs="Times New Roman"/>
          <w:sz w:val="24"/>
          <w:szCs w:val="24"/>
        </w:rPr>
        <w:t xml:space="preserve">topic </w:t>
      </w:r>
      <w:r w:rsidR="00623D68" w:rsidRPr="003351F3">
        <w:rPr>
          <w:rFonts w:ascii="Times New Roman" w:hAnsi="Times New Roman" w:cs="Times New Roman"/>
          <w:sz w:val="24"/>
          <w:szCs w:val="24"/>
        </w:rPr>
        <w:t>heart</w:t>
      </w:r>
      <w:r w:rsidRPr="003351F3">
        <w:rPr>
          <w:rFonts w:ascii="Times New Roman" w:hAnsi="Times New Roman" w:cs="Times New Roman"/>
          <w:sz w:val="24"/>
          <w:szCs w:val="24"/>
        </w:rPr>
        <w:t xml:space="preserve"> transplant during the same hospitalization</w:t>
      </w:r>
      <w:r w:rsidR="00036D0E">
        <w:rPr>
          <w:rFonts w:ascii="Times New Roman" w:hAnsi="Times New Roman" w:cs="Times New Roman"/>
          <w:sz w:val="24"/>
          <w:szCs w:val="24"/>
        </w:rPr>
        <w:t xml:space="preserve">. </w:t>
      </w:r>
      <w:r w:rsidRPr="003351F3">
        <w:rPr>
          <w:rFonts w:ascii="Times New Roman" w:hAnsi="Times New Roman" w:cs="Times New Roman"/>
          <w:sz w:val="24"/>
          <w:szCs w:val="24"/>
        </w:rPr>
        <w:t xml:space="preserve">OHT occurred a median of 32 days (IQR 7.75 to 66 days) after LVAD implantation. </w:t>
      </w:r>
      <w:r w:rsidRPr="00C657D5">
        <w:rPr>
          <w:rFonts w:ascii="Times New Roman" w:hAnsi="Times New Roman" w:cs="Times New Roman"/>
          <w:sz w:val="24"/>
          <w:szCs w:val="24"/>
        </w:rPr>
        <w:t xml:space="preserve">Of patients who underwent OHT, increased in-hospital mortality was identified in patients who underwent transplantation within 7 days of LVAD implantation compared to patients who underwent transplant after 8 days (26.8% vs. 12.2%, p = 0.0483). </w:t>
      </w:r>
      <w:r w:rsidR="00036D0E">
        <w:rPr>
          <w:rFonts w:ascii="Times New Roman" w:hAnsi="Times New Roman" w:cs="Times New Roman"/>
          <w:sz w:val="24"/>
          <w:szCs w:val="24"/>
        </w:rPr>
        <w:t xml:space="preserve">Baseline patient demographics, patient comorbidities, and hospital characteristics were similar between LVAD patients who underwent early and late OHT. </w:t>
      </w:r>
      <w:r w:rsidRPr="00C657D5">
        <w:rPr>
          <w:rFonts w:ascii="Times New Roman" w:eastAsia="Times New Roman" w:hAnsi="Times New Roman" w:cs="Times New Roman"/>
          <w:color w:val="000000"/>
          <w:sz w:val="24"/>
          <w:szCs w:val="24"/>
        </w:rPr>
        <w:t xml:space="preserve">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&lt; 0.001). </w:t>
      </w:r>
    </w:p>
    <w:p w:rsidR="00036D0E" w:rsidRDefault="003351F3" w:rsidP="00C657D5">
      <w:pPr>
        <w:spacing w:line="360" w:lineRule="auto"/>
        <w:rPr>
          <w:rFonts w:ascii="Times New Roman" w:hAnsi="Times New Roman" w:cs="Times New Roman"/>
          <w:sz w:val="24"/>
          <w:szCs w:val="24"/>
        </w:rPr>
      </w:pPr>
      <w:r w:rsidRPr="00C657D5">
        <w:rPr>
          <w:rFonts w:ascii="Times New Roman" w:hAnsi="Times New Roman" w:cs="Times New Roman"/>
          <w:sz w:val="24"/>
          <w:szCs w:val="24"/>
        </w:rPr>
        <w:t>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3351F3" w:rsidRPr="00C657D5" w:rsidRDefault="0084132A" w:rsidP="00E637F5">
      <w:pPr>
        <w:spacing w:line="360" w:lineRule="auto"/>
        <w:ind w:firstLine="720"/>
        <w:rPr>
          <w:rFonts w:ascii="Times New Roman" w:eastAsia="Times New Roman" w:hAnsi="Times New Roman" w:cs="Times New Roman"/>
          <w:color w:val="000000"/>
          <w:sz w:val="24"/>
          <w:szCs w:val="24"/>
        </w:rPr>
      </w:pPr>
      <w:r w:rsidRPr="00C657D5">
        <w:rPr>
          <w:rFonts w:ascii="Times New Roman" w:hAnsi="Times New Roman" w:cs="Times New Roman"/>
          <w:sz w:val="24"/>
          <w:szCs w:val="24"/>
        </w:rPr>
        <w:t>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r w:rsidR="000E1DA3" w:rsidRPr="00C657D5">
        <w:rPr>
          <w:rFonts w:ascii="Times New Roman" w:eastAsia="Times New Roman" w:hAnsi="Times New Roman" w:cs="Times New Roman"/>
          <w:color w:val="000000"/>
          <w:sz w:val="24"/>
          <w:szCs w:val="24"/>
        </w:rPr>
        <w:t>151.2 ±</w:t>
      </w:r>
      <w:r w:rsidRPr="00C657D5">
        <w:rPr>
          <w:rFonts w:ascii="Times New Roman" w:eastAsia="Times New Roman" w:hAnsi="Times New Roman" w:cs="Times New Roman"/>
          <w:color w:val="000000"/>
          <w:sz w:val="24"/>
          <w:szCs w:val="24"/>
        </w:rPr>
        <w:t xml:space="preserve"> 52.6 days for the fourth quartile)</w:t>
      </w:r>
      <w:r w:rsidR="00E767B3">
        <w:rPr>
          <w:rFonts w:ascii="Times New Roman" w:eastAsia="Times New Roman" w:hAnsi="Times New Roman" w:cs="Times New Roman"/>
          <w:color w:val="000000"/>
          <w:sz w:val="24"/>
          <w:szCs w:val="24"/>
        </w:rPr>
        <w:t>. The majority of time during the hospitalization was before OHT, as there was no statistically significantly different in post-OHT length of stay (23.8</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4</w:t>
      </w:r>
      <w:r w:rsidR="00E767B3" w:rsidRPr="00C657D5">
        <w:rPr>
          <w:rFonts w:ascii="Times New Roman" w:eastAsia="Times New Roman" w:hAnsi="Times New Roman" w:cs="Times New Roman"/>
          <w:color w:val="000000"/>
          <w:sz w:val="24"/>
          <w:szCs w:val="24"/>
        </w:rPr>
        <w:t xml:space="preserve"> days for the first quartile, </w:t>
      </w:r>
      <w:r w:rsidR="00E767B3">
        <w:rPr>
          <w:rFonts w:ascii="Times New Roman" w:eastAsia="Times New Roman" w:hAnsi="Times New Roman" w:cs="Times New Roman"/>
          <w:color w:val="000000"/>
          <w:sz w:val="24"/>
          <w:szCs w:val="24"/>
        </w:rPr>
        <w:t>21.7</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15.8</w:t>
      </w:r>
      <w:r w:rsidR="00E767B3" w:rsidRPr="00C657D5">
        <w:rPr>
          <w:rFonts w:ascii="Times New Roman" w:eastAsia="Times New Roman" w:hAnsi="Times New Roman" w:cs="Times New Roman"/>
          <w:color w:val="000000"/>
          <w:sz w:val="24"/>
          <w:szCs w:val="24"/>
        </w:rPr>
        <w:t xml:space="preserve"> days for the second quartile, </w:t>
      </w:r>
      <w:r w:rsidR="00E767B3">
        <w:rPr>
          <w:rFonts w:ascii="Times New Roman" w:eastAsia="Times New Roman" w:hAnsi="Times New Roman" w:cs="Times New Roman"/>
          <w:color w:val="000000"/>
          <w:sz w:val="24"/>
          <w:szCs w:val="24"/>
        </w:rPr>
        <w:t>27.6</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37.1</w:t>
      </w:r>
      <w:r w:rsidR="00E767B3" w:rsidRPr="00C657D5">
        <w:rPr>
          <w:rFonts w:ascii="Times New Roman" w:eastAsia="Times New Roman" w:hAnsi="Times New Roman" w:cs="Times New Roman"/>
          <w:color w:val="000000"/>
          <w:sz w:val="24"/>
          <w:szCs w:val="24"/>
        </w:rPr>
        <w:t xml:space="preserve"> days for the third quartile, </w:t>
      </w:r>
      <w:r w:rsidR="00E767B3">
        <w:rPr>
          <w:rFonts w:ascii="Times New Roman" w:eastAsia="Times New Roman" w:hAnsi="Times New Roman" w:cs="Times New Roman"/>
          <w:color w:val="000000"/>
          <w:sz w:val="24"/>
          <w:szCs w:val="24"/>
        </w:rPr>
        <w:t>27.1</w:t>
      </w:r>
      <w:r w:rsidR="00E767B3" w:rsidRPr="00C657D5">
        <w:rPr>
          <w:rFonts w:ascii="Times New Roman" w:eastAsia="Times New Roman" w:hAnsi="Times New Roman" w:cs="Times New Roman"/>
          <w:color w:val="000000"/>
          <w:sz w:val="24"/>
          <w:szCs w:val="24"/>
        </w:rPr>
        <w:t xml:space="preserve"> ± </w:t>
      </w:r>
      <w:r w:rsidR="00E767B3">
        <w:rPr>
          <w:rFonts w:ascii="Times New Roman" w:eastAsia="Times New Roman" w:hAnsi="Times New Roman" w:cs="Times New Roman"/>
          <w:color w:val="000000"/>
          <w:sz w:val="24"/>
          <w:szCs w:val="24"/>
        </w:rPr>
        <w:t>22.8</w:t>
      </w:r>
      <w:r w:rsidR="00E767B3" w:rsidRPr="00C657D5">
        <w:rPr>
          <w:rFonts w:ascii="Times New Roman" w:eastAsia="Times New Roman" w:hAnsi="Times New Roman" w:cs="Times New Roman"/>
          <w:color w:val="000000"/>
          <w:sz w:val="24"/>
          <w:szCs w:val="24"/>
        </w:rPr>
        <w:t xml:space="preserve"> days for the fourth quartile</w:t>
      </w:r>
      <w:r w:rsidR="00E767B3">
        <w:rPr>
          <w:rFonts w:ascii="Times New Roman" w:eastAsia="Times New Roman" w:hAnsi="Times New Roman" w:cs="Times New Roman"/>
          <w:color w:val="000000"/>
          <w:sz w:val="24"/>
          <w:szCs w:val="24"/>
        </w:rPr>
        <w:t>, p = 0.6571</w:t>
      </w:r>
      <w:r w:rsidR="00E767B3" w:rsidRPr="00C657D5">
        <w:rPr>
          <w:rFonts w:ascii="Times New Roman" w:eastAsia="Times New Roman" w:hAnsi="Times New Roman" w:cs="Times New Roman"/>
          <w:color w:val="000000"/>
          <w:sz w:val="24"/>
          <w:szCs w:val="24"/>
        </w:rPr>
        <w:t>)</w:t>
      </w:r>
      <w:r w:rsidR="00E767B3">
        <w:rPr>
          <w:rFonts w:ascii="Times New Roman" w:eastAsia="Times New Roman" w:hAnsi="Times New Roman" w:cs="Times New Roman"/>
          <w:color w:val="000000"/>
          <w:sz w:val="24"/>
          <w:szCs w:val="24"/>
        </w:rPr>
        <w:t>.</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84132A" w:rsidRPr="00C657D5" w:rsidRDefault="00CC6FB6" w:rsidP="0084132A">
      <w:pPr>
        <w:spacing w:line="360" w:lineRule="auto"/>
        <w:rPr>
          <w:rFonts w:ascii="Times New Roman" w:hAnsi="Times New Roman" w:cs="Times New Roman"/>
          <w:sz w:val="24"/>
          <w:szCs w:val="24"/>
        </w:rPr>
      </w:pPr>
      <w:r>
        <w:rPr>
          <w:rFonts w:ascii="Times New Roman" w:hAnsi="Times New Roman" w:cs="Times New Roman"/>
          <w:sz w:val="24"/>
          <w:szCs w:val="24"/>
        </w:rPr>
        <w:tab/>
      </w:r>
      <w:r w:rsidR="008D5E4A">
        <w:rPr>
          <w:rFonts w:ascii="Times New Roman" w:hAnsi="Times New Roman" w:cs="Times New Roman"/>
          <w:sz w:val="24"/>
          <w:szCs w:val="24"/>
        </w:rPr>
        <w:t>This is the first study, to our knowledge, to address the difficult question of timing of OHT after LVAD implantation.</w:t>
      </w:r>
      <w:r w:rsidR="0084132A">
        <w:rPr>
          <w:rFonts w:ascii="Times New Roman" w:hAnsi="Times New Roman" w:cs="Times New Roman"/>
          <w:sz w:val="24"/>
          <w:szCs w:val="24"/>
        </w:rPr>
        <w:t xml:space="preserve"> Our main finding was that mortality was decreased for patients who underwent OHT greater than 8 days after LVAD implantation compared to patients who underwent OHT within 1 week of LVAD implantation, and that p</w:t>
      </w:r>
      <w:r w:rsidR="0084132A" w:rsidRPr="00C657D5">
        <w:rPr>
          <w:rFonts w:ascii="Times New Roman" w:hAnsi="Times New Roman" w:cs="Times New Roman"/>
          <w:sz w:val="24"/>
          <w:szCs w:val="24"/>
        </w:rPr>
        <w:t xml:space="preserve">ost-transplant </w:t>
      </w:r>
      <w:r w:rsidR="0084132A">
        <w:rPr>
          <w:rFonts w:ascii="Times New Roman" w:hAnsi="Times New Roman" w:cs="Times New Roman"/>
          <w:sz w:val="24"/>
          <w:szCs w:val="24"/>
        </w:rPr>
        <w:t xml:space="preserve">length of </w:t>
      </w:r>
      <w:r w:rsidR="0084132A">
        <w:rPr>
          <w:rFonts w:ascii="Times New Roman" w:hAnsi="Times New Roman" w:cs="Times New Roman"/>
          <w:sz w:val="24"/>
          <w:szCs w:val="24"/>
        </w:rPr>
        <w:lastRenderedPageBreak/>
        <w:t>stay</w:t>
      </w:r>
      <w:r w:rsidR="0084132A" w:rsidRPr="00C657D5">
        <w:rPr>
          <w:rFonts w:ascii="Times New Roman" w:hAnsi="Times New Roman" w:cs="Times New Roman"/>
          <w:sz w:val="24"/>
          <w:szCs w:val="24"/>
        </w:rPr>
        <w:t>after LVAD placement was not significantly different between patients who underwent early OHT and patients who underwent late OHT.</w:t>
      </w:r>
    </w:p>
    <w:p w:rsidR="00626FF6" w:rsidRDefault="00626FF6" w:rsidP="000E1DA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 xml:space="preserve">he need for clinical stability and time to recover from major surgery is </w:t>
      </w:r>
      <w:r w:rsidR="00472161">
        <w:rPr>
          <w:rFonts w:ascii="Times New Roman" w:hAnsi="Times New Roman" w:cs="Times New Roman"/>
          <w:sz w:val="24"/>
          <w:szCs w:val="24"/>
        </w:rPr>
        <w:t>counter</w:t>
      </w:r>
      <w:r w:rsidR="002C56BD" w:rsidRPr="00DB3A52">
        <w:rPr>
          <w:rFonts w:ascii="Times New Roman" w:hAnsi="Times New Roman" w:cs="Times New Roman"/>
          <w:sz w:val="24"/>
          <w:szCs w:val="24"/>
        </w:rPr>
        <w:t>balanced by the risk of LVAD complications and the formation of adhesions and scarring</w:t>
      </w:r>
      <w:r w:rsidR="00472161">
        <w:rPr>
          <w:rFonts w:ascii="Times New Roman" w:hAnsi="Times New Roman" w:cs="Times New Roman"/>
          <w:sz w:val="24"/>
          <w:szCs w:val="24"/>
        </w:rPr>
        <w:t>, particularly when OHT is considered early after LVAD implant</w:t>
      </w:r>
      <w:r w:rsidR="002C56BD">
        <w:rPr>
          <w:rFonts w:ascii="Times New Roman" w:hAnsi="Times New Roman" w:cs="Times New Roman"/>
          <w:sz w:val="24"/>
          <w:szCs w:val="24"/>
        </w:rPr>
        <w:t>.</w:t>
      </w:r>
      <w:r w:rsidR="00825184">
        <w:rPr>
          <w:rFonts w:ascii="Times New Roman" w:hAnsi="Times New Roman" w:cs="Times New Roman"/>
          <w:sz w:val="24"/>
          <w:szCs w:val="24"/>
        </w:rPr>
        <w:t xml:space="preserve"> The high failure rate of the early, pulsatile LVADs had in part led to the initial 1999 UNOS allocation algorithm giving LVAD patients 30 days of IA status on the transplant list. </w:t>
      </w:r>
      <w:r w:rsidR="000E1DA3">
        <w:rPr>
          <w:rFonts w:ascii="Times New Roman" w:hAnsi="Times New Roman" w:cs="Times New Roman"/>
          <w:sz w:val="24"/>
          <w:szCs w:val="24"/>
        </w:rPr>
        <w:t xml:space="preserve">The elective nature of the 30 day IA status allows for optimization of management prior to transplant and suggests immediately post-mechanical support is often not the optimal time for transplant. </w:t>
      </w:r>
      <w:r w:rsidR="007866C2">
        <w:rPr>
          <w:rFonts w:ascii="Times New Roman" w:hAnsi="Times New Roman" w:cs="Times New Roman"/>
          <w:sz w:val="24"/>
          <w:szCs w:val="24"/>
        </w:rPr>
        <w:t xml:space="preserve">Our data </w:t>
      </w:r>
      <w:r w:rsidR="000E1DA3">
        <w:rPr>
          <w:rFonts w:ascii="Times New Roman" w:hAnsi="Times New Roman" w:cs="Times New Roman"/>
          <w:sz w:val="24"/>
          <w:szCs w:val="24"/>
        </w:rPr>
        <w:t xml:space="preserve">showing </w:t>
      </w:r>
      <w:r w:rsidR="007866C2">
        <w:rPr>
          <w:rFonts w:ascii="Times New Roman" w:hAnsi="Times New Roman" w:cs="Times New Roman"/>
          <w:sz w:val="24"/>
          <w:szCs w:val="24"/>
        </w:rPr>
        <w:t>early post-LVAD transplant can lead to inferior outcomes is consistent with</w:t>
      </w:r>
      <w:r w:rsidR="008166A8">
        <w:rPr>
          <w:rFonts w:ascii="Times New Roman" w:hAnsi="Times New Roman" w:cs="Times New Roman"/>
          <w:sz w:val="24"/>
          <w:szCs w:val="24"/>
        </w:rPr>
        <w:t xml:space="preserve"> the excellent longer term outcomes of BTT mechanical support pushing some individuals to question the justification of elective IA status</w:t>
      </w:r>
      <w:r w:rsidR="008166A8">
        <w:rPr>
          <w:rFonts w:ascii="Times New Roman" w:hAnsi="Times New Roman" w:cs="Times New Roman"/>
          <w:sz w:val="24"/>
          <w:szCs w:val="24"/>
          <w:vertAlign w:val="superscript"/>
        </w:rPr>
        <w:t>23</w:t>
      </w:r>
      <w:r w:rsidR="008166A8">
        <w:rPr>
          <w:rFonts w:ascii="Times New Roman" w:hAnsi="Times New Roman" w:cs="Times New Roman"/>
          <w:sz w:val="24"/>
          <w:szCs w:val="24"/>
        </w:rPr>
        <w:t>.</w:t>
      </w:r>
    </w:p>
    <w:p w:rsidR="00A229B2" w:rsidRDefault="00A229B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Between 1998 and 2011, there was a significant increase in the number of LVAD implantations, but the characteristics of this population - including timing of LVAD, usage of invasive hemodynamic monitoring, and timing of post-LVAD OHT - has remained relatively unchanged</w:t>
      </w:r>
      <w:r w:rsidR="00E65733">
        <w:rPr>
          <w:rFonts w:ascii="Times New Roman" w:hAnsi="Times New Roman" w:cs="Times New Roman"/>
          <w:sz w:val="24"/>
          <w:szCs w:val="24"/>
        </w:rPr>
        <w:t xml:space="preserve">. </w:t>
      </w:r>
      <w:r>
        <w:rPr>
          <w:rFonts w:ascii="Times New Roman" w:hAnsi="Times New Roman" w:cs="Times New Roman"/>
          <w:sz w:val="24"/>
          <w:szCs w:val="24"/>
        </w:rPr>
        <w:t>Our data is consistent with previous smaller studies using other databases with regard to age, gender, race, and other demographic characteristics. Our survival results are similar to multiple prior studies suggesting a downward trend in in-hospital mortality after 2005. The optimal management and timing of LVAD implantation is still mostly dependent on institutional experience and provider preference as there are no randomized control trials due to the relatively novel introduction of LVADs and small patient populations. We thus find our study representative of clinical practice.</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deidentified administrative database dependent on the appropriate coding of individual ICD-9-CM codes. Studies using such databases are susceptible to errors related to coding such as </w:t>
      </w:r>
      <w:r w:rsidR="00FA093D">
        <w:rPr>
          <w:rFonts w:ascii="Times New Roman" w:hAnsi="Times New Roman" w:cs="Times New Roman"/>
          <w:sz w:val="24"/>
          <w:szCs w:val="24"/>
        </w:rPr>
        <w:t>undercoding</w:t>
      </w:r>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w:t>
      </w:r>
      <w:r w:rsidR="00FA093D">
        <w:rPr>
          <w:rFonts w:ascii="Times New Roman" w:hAnsi="Times New Roman" w:cs="Times New Roman"/>
          <w:sz w:val="24"/>
          <w:szCs w:val="24"/>
        </w:rPr>
        <w:lastRenderedPageBreak/>
        <w:t xml:space="preserve">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472161" w:rsidRDefault="00472161"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major limitation </w:t>
      </w:r>
      <w:r w:rsidR="00401F27">
        <w:rPr>
          <w:rFonts w:ascii="Times New Roman" w:hAnsi="Times New Roman" w:cs="Times New Roman"/>
          <w:sz w:val="24"/>
          <w:szCs w:val="24"/>
        </w:rPr>
        <w:t>of our study is that our cohort only assessed outcomes of OHT after LVAD placement in inpatients. This represents a minority of patients in contemporary practice, as most institutions prefer to wait 2-3 months after LVAD implant to list patients for cardiac transplantation</w:t>
      </w:r>
      <w:r w:rsidR="00063233">
        <w:rPr>
          <w:rFonts w:ascii="Times New Roman" w:hAnsi="Times New Roman" w:cs="Times New Roman"/>
          <w:sz w:val="24"/>
          <w:szCs w:val="24"/>
        </w:rPr>
        <w:t>, a</w:t>
      </w:r>
      <w:r w:rsidR="00401F27">
        <w:rPr>
          <w:rFonts w:ascii="Times New Roman" w:hAnsi="Times New Roman" w:cs="Times New Roman"/>
          <w:sz w:val="24"/>
          <w:szCs w:val="24"/>
        </w:rPr>
        <w:t xml:space="preserve"> strategy our cohort could not evaluate. Nevertheless, there will continue to be patients in the future who receive OHT after LVAD implant while still </w:t>
      </w:r>
      <w:r w:rsidR="00063233">
        <w:rPr>
          <w:rFonts w:ascii="Times New Roman" w:hAnsi="Times New Roman" w:cs="Times New Roman"/>
          <w:sz w:val="24"/>
          <w:szCs w:val="24"/>
        </w:rPr>
        <w:t>in the hospital</w:t>
      </w:r>
      <w:r w:rsidR="00401F27">
        <w:rPr>
          <w:rFonts w:ascii="Times New Roman" w:hAnsi="Times New Roman" w:cs="Times New Roman"/>
          <w:sz w:val="24"/>
          <w:szCs w:val="24"/>
        </w:rPr>
        <w:t>, and our study provides meaningful guidelines on the timing of such OHT.</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w:t>
      </w:r>
      <w:r w:rsidR="00401F27">
        <w:rPr>
          <w:rFonts w:ascii="Times New Roman" w:hAnsi="Times New Roman" w:cs="Times New Roman"/>
          <w:sz w:val="24"/>
          <w:szCs w:val="24"/>
        </w:rPr>
        <w:t>early</w:t>
      </w:r>
      <w:r>
        <w:rPr>
          <w:rFonts w:ascii="Times New Roman" w:hAnsi="Times New Roman" w:cs="Times New Roman"/>
          <w:sz w:val="24"/>
          <w:szCs w:val="24"/>
        </w:rPr>
        <w:t xml:space="preserve"> LVAD implantation during the hospitalization </w:t>
      </w:r>
      <w:r w:rsidR="00401F27">
        <w:rPr>
          <w:rFonts w:ascii="Times New Roman" w:hAnsi="Times New Roman" w:cs="Times New Roman"/>
          <w:sz w:val="24"/>
          <w:szCs w:val="24"/>
        </w:rPr>
        <w:t>is</w:t>
      </w:r>
      <w:r>
        <w:rPr>
          <w:rFonts w:ascii="Times New Roman" w:hAnsi="Times New Roman" w:cs="Times New Roman"/>
          <w:sz w:val="24"/>
          <w:szCs w:val="24"/>
        </w:rPr>
        <w:t xml:space="preserve"> associated with </w:t>
      </w:r>
      <w:r w:rsidR="00401F27">
        <w:rPr>
          <w:rFonts w:ascii="Times New Roman" w:hAnsi="Times New Roman" w:cs="Times New Roman"/>
          <w:sz w:val="24"/>
          <w:szCs w:val="24"/>
        </w:rPr>
        <w:t xml:space="preserve">increased </w:t>
      </w:r>
      <w:r>
        <w:rPr>
          <w:rFonts w:ascii="Times New Roman" w:hAnsi="Times New Roman" w:cs="Times New Roman"/>
          <w:sz w:val="24"/>
          <w:szCs w:val="24"/>
        </w:rPr>
        <w:t>mortality</w:t>
      </w:r>
      <w:r w:rsidR="000A7615">
        <w:rPr>
          <w:rFonts w:ascii="Times New Roman" w:hAnsi="Times New Roman" w:cs="Times New Roman"/>
          <w:sz w:val="24"/>
          <w:szCs w:val="24"/>
        </w:rPr>
        <w:t xml:space="preserve">. </w:t>
      </w:r>
      <w:r w:rsidR="00401F27">
        <w:rPr>
          <w:rFonts w:ascii="Times New Roman" w:hAnsi="Times New Roman" w:cs="Times New Roman"/>
          <w:sz w:val="24"/>
          <w:szCs w:val="24"/>
        </w:rPr>
        <w:t xml:space="preserve">This </w:t>
      </w:r>
      <w:r w:rsidR="000A7615">
        <w:rPr>
          <w:rFonts w:ascii="Times New Roman" w:hAnsi="Times New Roman" w:cs="Times New Roman"/>
          <w:sz w:val="24"/>
          <w:szCs w:val="24"/>
        </w:rPr>
        <w:t xml:space="preserve">understanding of the timing of </w:t>
      </w:r>
      <w:r w:rsidR="00401F27">
        <w:rPr>
          <w:rFonts w:ascii="Times New Roman" w:hAnsi="Times New Roman" w:cs="Times New Roman"/>
          <w:sz w:val="24"/>
          <w:szCs w:val="24"/>
        </w:rPr>
        <w:t xml:space="preserve">OHT after </w:t>
      </w:r>
      <w:r w:rsidR="000A7615">
        <w:rPr>
          <w:rFonts w:ascii="Times New Roman" w:hAnsi="Times New Roman" w:cs="Times New Roman"/>
          <w:sz w:val="24"/>
          <w:szCs w:val="24"/>
        </w:rPr>
        <w:t xml:space="preserve">LVAD implantation </w:t>
      </w:r>
      <w:r w:rsidR="00401F27">
        <w:rPr>
          <w:rFonts w:ascii="Times New Roman" w:hAnsi="Times New Roman" w:cs="Times New Roman"/>
          <w:sz w:val="24"/>
          <w:szCs w:val="24"/>
        </w:rPr>
        <w:t xml:space="preserve">may improve </w:t>
      </w:r>
      <w:r w:rsidR="000A7615">
        <w:rPr>
          <w:rFonts w:ascii="Times New Roman" w:hAnsi="Times New Roman" w:cs="Times New Roman"/>
          <w:sz w:val="24"/>
          <w:szCs w:val="24"/>
        </w:rPr>
        <w:t>post-LVAD transplant outcomes</w:t>
      </w:r>
      <w:r w:rsidR="00401F27">
        <w:rPr>
          <w:rFonts w:ascii="Times New Roman" w:hAnsi="Times New Roman" w:cs="Times New Roman"/>
          <w:sz w:val="24"/>
          <w:szCs w:val="24"/>
        </w:rPr>
        <w:t>, though prospective data would enhance the validity of our findings</w:t>
      </w:r>
      <w:r w:rsidR="000A7615">
        <w:rPr>
          <w:rFonts w:ascii="Times New Roman" w:hAnsi="Times New Roman" w:cs="Times New Roman"/>
          <w:sz w:val="24"/>
          <w:szCs w:val="24"/>
        </w:rPr>
        <w:t>.</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Default="00080D48"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0E1DA3" w:rsidRDefault="000E1DA3" w:rsidP="00C657D5">
      <w:pPr>
        <w:spacing w:line="360" w:lineRule="auto"/>
        <w:rPr>
          <w:rFonts w:ascii="Times New Roman" w:hAnsi="Times New Roman" w:cs="Times New Roman"/>
          <w:sz w:val="24"/>
          <w:szCs w:val="24"/>
        </w:rPr>
      </w:pPr>
    </w:p>
    <w:p w:rsidR="0097065E" w:rsidRDefault="0097065E" w:rsidP="0097065E">
      <w:pPr>
        <w:spacing w:line="360" w:lineRule="auto"/>
        <w:rPr>
          <w:rFonts w:ascii="Times New Roman" w:hAnsi="Times New Roman" w:cs="Times New Roman"/>
          <w:sz w:val="24"/>
          <w:szCs w:val="24"/>
        </w:rPr>
      </w:pPr>
      <w:r>
        <w:rPr>
          <w:rFonts w:ascii="Times New Roman" w:hAnsi="Times New Roman" w:cs="Times New Roman"/>
          <w:b/>
          <w:sz w:val="24"/>
          <w:szCs w:val="24"/>
        </w:rPr>
        <w:t xml:space="preserve">Perspectives: </w:t>
      </w:r>
      <w:r>
        <w:rPr>
          <w:rFonts w:ascii="Times New Roman" w:hAnsi="Times New Roman" w:cs="Times New Roman"/>
          <w:sz w:val="24"/>
          <w:szCs w:val="24"/>
        </w:rPr>
        <w:tab/>
      </w:r>
    </w:p>
    <w:p w:rsidR="0097065E" w:rsidRDefault="0097065E" w:rsidP="0025051B">
      <w:pPr>
        <w:spacing w:line="360" w:lineRule="auto"/>
        <w:rPr>
          <w:rFonts w:ascii="Times New Roman" w:hAnsi="Times New Roman" w:cs="Times New Roman"/>
          <w:sz w:val="24"/>
          <w:szCs w:val="24"/>
        </w:rPr>
      </w:pPr>
      <w:r>
        <w:rPr>
          <w:rFonts w:ascii="Times New Roman" w:hAnsi="Times New Roman" w:cs="Times New Roman"/>
          <w:sz w:val="24"/>
          <w:szCs w:val="24"/>
        </w:rPr>
        <w:t>Competency in System-Based Practice: A multi-disciplinary team of cardiologists, cardiac surgeons, and other medical professional</w:t>
      </w:r>
      <w:r w:rsidR="0025051B">
        <w:rPr>
          <w:rFonts w:ascii="Times New Roman" w:hAnsi="Times New Roman" w:cs="Times New Roman"/>
          <w:sz w:val="24"/>
          <w:szCs w:val="24"/>
        </w:rPr>
        <w:t>s</w:t>
      </w:r>
      <w:r>
        <w:rPr>
          <w:rFonts w:ascii="Times New Roman" w:hAnsi="Times New Roman" w:cs="Times New Roman"/>
          <w:sz w:val="24"/>
          <w:szCs w:val="24"/>
        </w:rPr>
        <w:t xml:space="preserve"> work together to </w:t>
      </w:r>
      <w:r w:rsidR="0025051B">
        <w:rPr>
          <w:rFonts w:ascii="Times New Roman" w:hAnsi="Times New Roman" w:cs="Times New Roman"/>
          <w:sz w:val="24"/>
          <w:szCs w:val="24"/>
        </w:rPr>
        <w:t xml:space="preserve">identify the </w:t>
      </w:r>
      <w:r>
        <w:rPr>
          <w:rFonts w:ascii="Times New Roman" w:hAnsi="Times New Roman" w:cs="Times New Roman"/>
          <w:sz w:val="24"/>
          <w:szCs w:val="24"/>
        </w:rPr>
        <w:t xml:space="preserve">benefits of various treatments of end stage heart failure. </w:t>
      </w:r>
    </w:p>
    <w:p w:rsidR="0097065E" w:rsidRPr="0097065E" w:rsidRDefault="0097065E" w:rsidP="00C657D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Translational Outlook 1: The optimal timing for OHT after LVAD remains controversial. This study suggests that OHT soon after LVAD placement (less than 8 days) is associated with more </w:t>
      </w:r>
      <w:r>
        <w:rPr>
          <w:rFonts w:ascii="Times New Roman" w:hAnsi="Times New Roman" w:cs="Times New Roman"/>
          <w:sz w:val="24"/>
          <w:szCs w:val="24"/>
        </w:rPr>
        <w:lastRenderedPageBreak/>
        <w:t xml:space="preserve">in-hospital mortality. Depending on the clinical scenario, it might be reasonable to defer OHT immediately after LVAD placement. </w:t>
      </w:r>
    </w:p>
    <w:p w:rsidR="0097065E" w:rsidRPr="00FB22B2" w:rsidRDefault="0097065E" w:rsidP="00C657D5">
      <w:pPr>
        <w:spacing w:line="360" w:lineRule="auto"/>
        <w:rPr>
          <w:rFonts w:ascii="Times New Roman" w:hAnsi="Times New Roman" w:cs="Times New Roman"/>
          <w:sz w:val="24"/>
          <w:szCs w:val="24"/>
        </w:rPr>
      </w:pP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Paul A., et al. "Forecasting the impact of heart failure in the United States a policy statement from the American Heart Association."Circulation: Heart Failure 6.3 (2013): 606-619.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"Management of end stage heart failure."Heart 93.5 (2007): 626-631.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Medicine."Circulation 112 (2005): 432-437.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Colleen K., et al. "Clinical outcomes following continuous-flow left ventricular assist device: a systematic review." Circulation: Heart Failure(2014): CIRCHEARTFAILURE-114</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Left Ventricular Assist Device as a Short-Term Bridge to Cardiac Transplantation." Texas Heart Institute Journal 33.4 (2006): 490.</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ventricular assist device." Texas Heart Institute Journal 33.2 (2006): 111.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Julianna</w:t>
      </w:r>
      <w:proofErr w:type="spellEnd"/>
      <w:r w:rsidRPr="004F73E9">
        <w:rPr>
          <w:rFonts w:ascii="Times New Roman" w:hAnsi="Times New Roman" w:cs="Times New Roman"/>
          <w:sz w:val="24"/>
          <w:szCs w:val="24"/>
        </w:rPr>
        <w:t xml:space="preserve"> F., et al. "Trends in left ventricular assist device use and outcomes among Medicare beneficiaries, 2004–2011." Open heart 1.1 (2014): e000109. </w:t>
      </w:r>
    </w:p>
    <w:p w:rsidR="004F73E9" w:rsidRPr="000E1DA3"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xml:space="preserve">, Tal, et al. "Readmissions after implantation of axial flow left ventricular assist </w:t>
      </w:r>
      <w:r w:rsidRPr="000E1DA3">
        <w:rPr>
          <w:rFonts w:ascii="Times New Roman" w:hAnsi="Times New Roman" w:cs="Times New Roman"/>
          <w:sz w:val="24"/>
          <w:szCs w:val="24"/>
        </w:rPr>
        <w:t>device." Journal of the American College of Cardiology 61.2 (2013): 153-163.</w:t>
      </w:r>
    </w:p>
    <w:p w:rsidR="004F73E9"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lastRenderedPageBreak/>
        <w:t xml:space="preserve">21. </w:t>
      </w:r>
      <w:proofErr w:type="spellStart"/>
      <w:r w:rsidRPr="008166A8">
        <w:rPr>
          <w:rFonts w:ascii="Times New Roman" w:hAnsi="Times New Roman" w:cs="Times New Roman"/>
          <w:sz w:val="24"/>
          <w:szCs w:val="24"/>
        </w:rPr>
        <w:t>Terracciano</w:t>
      </w:r>
      <w:proofErr w:type="spellEnd"/>
      <w:r w:rsidRPr="008166A8">
        <w:rPr>
          <w:rFonts w:ascii="Times New Roman" w:hAnsi="Times New Roman" w:cs="Times New Roman"/>
          <w:sz w:val="24"/>
          <w:szCs w:val="24"/>
        </w:rPr>
        <w:t xml:space="preserve">, </w:t>
      </w:r>
      <w:proofErr w:type="spellStart"/>
      <w:r w:rsidRPr="008166A8">
        <w:rPr>
          <w:rFonts w:ascii="Times New Roman" w:hAnsi="Times New Roman" w:cs="Times New Roman"/>
          <w:sz w:val="24"/>
          <w:szCs w:val="24"/>
        </w:rPr>
        <w:t>Cesare</w:t>
      </w:r>
      <w:proofErr w:type="spellEnd"/>
      <w:r w:rsidRPr="008166A8">
        <w:rPr>
          <w:rFonts w:ascii="Times New Roman" w:hAnsi="Times New Roman" w:cs="Times New Roman"/>
          <w:sz w:val="24"/>
          <w:szCs w:val="24"/>
        </w:rPr>
        <w:t xml:space="preserve"> M., Leslie W. Miller, and </w:t>
      </w:r>
      <w:proofErr w:type="spellStart"/>
      <w:r w:rsidRPr="008166A8">
        <w:rPr>
          <w:rFonts w:ascii="Times New Roman" w:hAnsi="Times New Roman" w:cs="Times New Roman"/>
          <w:sz w:val="24"/>
          <w:szCs w:val="24"/>
        </w:rPr>
        <w:t>Magdi</w:t>
      </w:r>
      <w:proofErr w:type="spellEnd"/>
      <w:r w:rsidRPr="008166A8">
        <w:rPr>
          <w:rFonts w:ascii="Times New Roman" w:hAnsi="Times New Roman" w:cs="Times New Roman"/>
          <w:sz w:val="24"/>
          <w:szCs w:val="24"/>
        </w:rPr>
        <w:t xml:space="preserve"> H. </w:t>
      </w:r>
      <w:proofErr w:type="spellStart"/>
      <w:r w:rsidRPr="008166A8">
        <w:rPr>
          <w:rFonts w:ascii="Times New Roman" w:hAnsi="Times New Roman" w:cs="Times New Roman"/>
          <w:sz w:val="24"/>
          <w:szCs w:val="24"/>
        </w:rPr>
        <w:t>Yacoub</w:t>
      </w:r>
      <w:proofErr w:type="spellEnd"/>
      <w:r w:rsidRPr="008166A8">
        <w:rPr>
          <w:rFonts w:ascii="Times New Roman" w:hAnsi="Times New Roman" w:cs="Times New Roman"/>
          <w:sz w:val="24"/>
          <w:szCs w:val="24"/>
        </w:rPr>
        <w:t>. "Contemporary use of ventricular assist devices." Annual review of medicine 61 (2010): 255-270.</w:t>
      </w:r>
    </w:p>
    <w:p w:rsidR="006E641A" w:rsidRPr="008166A8" w:rsidRDefault="004F73E9" w:rsidP="004F73E9">
      <w:pPr>
        <w:spacing w:line="360" w:lineRule="auto"/>
        <w:rPr>
          <w:rFonts w:ascii="Times New Roman" w:hAnsi="Times New Roman" w:cs="Times New Roman"/>
          <w:sz w:val="24"/>
          <w:szCs w:val="24"/>
        </w:rPr>
      </w:pPr>
      <w:r w:rsidRPr="008166A8">
        <w:rPr>
          <w:rFonts w:ascii="Times New Roman" w:hAnsi="Times New Roman" w:cs="Times New Roman"/>
          <w:sz w:val="24"/>
          <w:szCs w:val="24"/>
        </w:rPr>
        <w:t>22. Miller, Leslie W. "Left ventricular assist devices are underutilized." Circulation 123.14 (2011): 1552-1558.</w:t>
      </w:r>
    </w:p>
    <w:p w:rsidR="006E641A" w:rsidRPr="000E1DA3" w:rsidRDefault="008166A8" w:rsidP="00C657D5">
      <w:pPr>
        <w:spacing w:line="360" w:lineRule="auto"/>
        <w:rPr>
          <w:rFonts w:ascii="Times New Roman" w:hAnsi="Times New Roman" w:cs="Times New Roman"/>
          <w:sz w:val="24"/>
          <w:szCs w:val="24"/>
        </w:rPr>
      </w:pPr>
      <w:r w:rsidRPr="008166A8">
        <w:rPr>
          <w:rFonts w:ascii="Times New Roman" w:hAnsi="Times New Roman" w:cs="Times New Roman"/>
          <w:sz w:val="24"/>
          <w:szCs w:val="24"/>
        </w:rPr>
        <w:t xml:space="preserve">23. </w:t>
      </w:r>
      <w:proofErr w:type="spellStart"/>
      <w:r w:rsidRPr="006A7A31">
        <w:rPr>
          <w:rFonts w:ascii="Times New Roman" w:hAnsi="Times New Roman" w:cs="Times New Roman"/>
          <w:color w:val="000000"/>
          <w:sz w:val="24"/>
          <w:szCs w:val="24"/>
          <w:shd w:val="clear" w:color="auto" w:fill="FFFFFF"/>
        </w:rPr>
        <w:t>Dardas</w:t>
      </w:r>
      <w:proofErr w:type="spellEnd"/>
      <w:r w:rsidRPr="006A7A31">
        <w:rPr>
          <w:rFonts w:ascii="Times New Roman" w:hAnsi="Times New Roman" w:cs="Times New Roman"/>
          <w:color w:val="000000"/>
          <w:sz w:val="24"/>
          <w:szCs w:val="24"/>
          <w:shd w:val="clear" w:color="auto" w:fill="FFFFFF"/>
        </w:rPr>
        <w:t xml:space="preserve"> T, </w:t>
      </w:r>
      <w:proofErr w:type="spellStart"/>
      <w:r w:rsidRPr="006A7A31">
        <w:rPr>
          <w:rFonts w:ascii="Times New Roman" w:hAnsi="Times New Roman" w:cs="Times New Roman"/>
          <w:color w:val="000000"/>
          <w:sz w:val="24"/>
          <w:szCs w:val="24"/>
          <w:shd w:val="clear" w:color="auto" w:fill="FFFFFF"/>
        </w:rPr>
        <w:t>Mokadam</w:t>
      </w:r>
      <w:proofErr w:type="spellEnd"/>
      <w:r w:rsidRPr="006A7A31">
        <w:rPr>
          <w:rFonts w:ascii="Times New Roman" w:hAnsi="Times New Roman" w:cs="Times New Roman"/>
          <w:color w:val="000000"/>
          <w:sz w:val="24"/>
          <w:szCs w:val="24"/>
          <w:shd w:val="clear" w:color="auto" w:fill="FFFFFF"/>
        </w:rPr>
        <w:t xml:space="preserve"> N, </w:t>
      </w:r>
      <w:proofErr w:type="spellStart"/>
      <w:r w:rsidRPr="006A7A31">
        <w:rPr>
          <w:rFonts w:ascii="Times New Roman" w:hAnsi="Times New Roman" w:cs="Times New Roman"/>
          <w:color w:val="000000"/>
          <w:sz w:val="24"/>
          <w:szCs w:val="24"/>
          <w:shd w:val="clear" w:color="auto" w:fill="FFFFFF"/>
        </w:rPr>
        <w:t>Pagani</w:t>
      </w:r>
      <w:proofErr w:type="spellEnd"/>
      <w:r w:rsidRPr="006A7A31">
        <w:rPr>
          <w:rFonts w:ascii="Times New Roman" w:hAnsi="Times New Roman" w:cs="Times New Roman"/>
          <w:color w:val="000000"/>
          <w:sz w:val="24"/>
          <w:szCs w:val="24"/>
          <w:shd w:val="clear" w:color="auto" w:fill="FFFFFF"/>
        </w:rPr>
        <w:t xml:space="preserve"> F, et al. Transplant registrants with implanted left-ventricular assist devices have insufficient risk to justify elective organ procurement and transplantation network status 1A time.</w:t>
      </w:r>
      <w:r w:rsidRPr="006A7A31">
        <w:rPr>
          <w:rStyle w:val="apple-converted-space"/>
          <w:rFonts w:ascii="Times New Roman" w:hAnsi="Times New Roman" w:cs="Times New Roman"/>
          <w:color w:val="000000"/>
          <w:sz w:val="24"/>
          <w:szCs w:val="24"/>
          <w:shd w:val="clear" w:color="auto" w:fill="FFFFFF"/>
        </w:rPr>
        <w:t> </w:t>
      </w:r>
      <w:r w:rsidRPr="006A7A31">
        <w:rPr>
          <w:rStyle w:val="Emphasis"/>
          <w:rFonts w:ascii="Times New Roman" w:hAnsi="Times New Roman" w:cs="Times New Roman"/>
          <w:color w:val="000000"/>
          <w:sz w:val="24"/>
          <w:szCs w:val="24"/>
          <w:shd w:val="clear" w:color="auto" w:fill="FFFFFF"/>
        </w:rPr>
        <w:t>J Am CollCardiol</w:t>
      </w:r>
      <w:r w:rsidRPr="006A7A31">
        <w:rPr>
          <w:rFonts w:ascii="Times New Roman" w:hAnsi="Times New Roman" w:cs="Times New Roman"/>
          <w:color w:val="000000"/>
          <w:sz w:val="24"/>
          <w:szCs w:val="24"/>
          <w:shd w:val="clear" w:color="auto" w:fill="FFFFFF"/>
        </w:rPr>
        <w:t>2012 ;60:36-43.</w:t>
      </w:r>
    </w:p>
    <w:p w:rsidR="006E641A" w:rsidRDefault="006E641A"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97065E" w:rsidRDefault="0097065E" w:rsidP="00C657D5">
      <w:pPr>
        <w:spacing w:line="360" w:lineRule="auto"/>
        <w:rPr>
          <w:rFonts w:ascii="Times New Roman" w:hAnsi="Times New Roman" w:cs="Times New Roman"/>
          <w:sz w:val="24"/>
          <w:szCs w:val="24"/>
        </w:rPr>
      </w:pPr>
    </w:p>
    <w:p w:rsidR="006A7A31" w:rsidRDefault="006A7A31" w:rsidP="0097065E"/>
    <w:p w:rsidR="006A7A31" w:rsidRDefault="006A7A31" w:rsidP="0097065E"/>
    <w:p w:rsidR="0097065E" w:rsidRPr="0068458E" w:rsidRDefault="00E35356" w:rsidP="0097065E">
      <w:pPr>
        <w:pStyle w:val="NoSpacing"/>
        <w:rPr>
          <w:sz w:val="20"/>
        </w:rPr>
      </w:pPr>
      <w:r w:rsidRPr="00E35356">
        <w:rPr>
          <w:b/>
          <w:noProof/>
        </w:rPr>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DE7CA5" w:rsidRPr="00432763" w:rsidRDefault="00DE7CA5" w:rsidP="0097065E">
                  <w:pPr>
                    <w:rPr>
                      <w:sz w:val="28"/>
                    </w:rPr>
                  </w:pPr>
                  <w:r w:rsidRPr="00432763">
                    <w:rPr>
                      <w:sz w:val="28"/>
                    </w:rPr>
                    <w:t>A</w:t>
                  </w:r>
                </w:p>
              </w:txbxContent>
            </v:textbox>
            <w10:wrap anchorx="page"/>
          </v:shape>
        </w:pict>
      </w:r>
    </w:p>
    <w:p w:rsidR="0097065E" w:rsidRDefault="0097065E" w:rsidP="0097065E"/>
    <w:p w:rsidR="0097065E" w:rsidRDefault="00E35356" w:rsidP="0097065E">
      <w:pPr>
        <w:tabs>
          <w:tab w:val="left" w:pos="1476"/>
        </w:tabs>
        <w:jc w:val="center"/>
      </w:pPr>
      <w:r w:rsidRPr="00E35356">
        <w:rPr>
          <w:b/>
          <w:noProof/>
          <w:lang w:eastAsia="en-US"/>
        </w:rPr>
        <w:lastRenderedPageBreak/>
        <w:pict>
          <v:shape id="_x0000_s1027" type="#_x0000_t202" style="position:absolute;left:0;text-align:left;margin-left:124.8pt;margin-top:124.3pt;width:25.2pt;height:24pt;z-index:25166028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DE7CA5" w:rsidRPr="00432763" w:rsidRDefault="00DE7CA5" w:rsidP="0097065E">
                  <w:pPr>
                    <w:rPr>
                      <w:sz w:val="28"/>
                    </w:rPr>
                  </w:pPr>
                  <w:r>
                    <w:rPr>
                      <w:sz w:val="28"/>
                    </w:rPr>
                    <w:t>B</w:t>
                  </w:r>
                </w:p>
              </w:txbxContent>
            </v:textbox>
            <w10:wrap anchorx="page"/>
          </v:shape>
        </w:pict>
      </w:r>
      <w:r w:rsidR="00562A21">
        <w:rPr>
          <w:noProof/>
        </w:rPr>
        <w:drawing>
          <wp:inline distT="0" distB="0" distL="0" distR="0">
            <wp:extent cx="5901900" cy="1104900"/>
            <wp:effectExtent l="19050" t="0" r="3600" b="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7"/>
                    <a:stretch/>
                  </pic:blipFill>
                  <pic:spPr bwMode="auto">
                    <a:xfrm>
                      <a:off x="0" y="0"/>
                      <a:ext cx="5901900" cy="11049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7065E" w:rsidRPr="00432763" w:rsidRDefault="0097065E" w:rsidP="0097065E"/>
    <w:p w:rsidR="0097065E" w:rsidRPr="00432763" w:rsidRDefault="00562A21" w:rsidP="0097065E">
      <w:pPr>
        <w:tabs>
          <w:tab w:val="left" w:pos="4500"/>
        </w:tabs>
        <w:jc w:val="center"/>
      </w:pPr>
      <w:r>
        <w:rPr>
          <w:noProof/>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065E" w:rsidRPr="00432763" w:rsidRDefault="0097065E" w:rsidP="0097065E"/>
    <w:p w:rsidR="0097065E" w:rsidRPr="00432763" w:rsidRDefault="0097065E" w:rsidP="0097065E"/>
    <w:p w:rsidR="0097065E" w:rsidRDefault="0097065E" w:rsidP="0097065E">
      <w:r>
        <w:rPr>
          <w:b/>
        </w:rPr>
        <w:t xml:space="preserve">Figure </w:t>
      </w:r>
      <w:r w:rsidR="00983D66">
        <w:rPr>
          <w:b/>
        </w:rPr>
        <w:t>1</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p>
    <w:p w:rsidR="0097065E" w:rsidRDefault="0097065E" w:rsidP="0097065E"/>
    <w:p w:rsidR="0097065E" w:rsidRDefault="0097065E" w:rsidP="0097065E">
      <w:r>
        <w:br w:type="page"/>
      </w:r>
    </w:p>
    <w:tbl>
      <w:tblPr>
        <w:tblpPr w:leftFromText="180" w:rightFromText="180" w:horzAnchor="page" w:tblpX="193" w:tblpY="-405"/>
        <w:tblW w:w="10368" w:type="dxa"/>
        <w:tblLook w:val="04A0"/>
      </w:tblPr>
      <w:tblGrid>
        <w:gridCol w:w="3258"/>
        <w:gridCol w:w="1260"/>
        <w:gridCol w:w="1440"/>
        <w:gridCol w:w="1440"/>
        <w:gridCol w:w="1473"/>
        <w:gridCol w:w="1497"/>
      </w:tblGrid>
      <w:tr w:rsidR="00D312B8" w:rsidRPr="002C79F8" w:rsidTr="00D312B8">
        <w:trPr>
          <w:trHeight w:val="230"/>
        </w:trPr>
        <w:tc>
          <w:tcPr>
            <w:tcW w:w="8871" w:type="dxa"/>
            <w:gridSpan w:val="5"/>
            <w:vMerge w:val="restart"/>
            <w:tcBorders>
              <w:top w:val="nil"/>
              <w:left w:val="nil"/>
              <w:bottom w:val="single" w:sz="8" w:space="0" w:color="000000"/>
              <w:right w:val="nil"/>
            </w:tcBorders>
            <w:shd w:val="clear" w:color="auto" w:fill="auto"/>
            <w:vAlign w:val="center"/>
            <w:hideMark/>
          </w:tcPr>
          <w:p w:rsidR="006A7A31" w:rsidRPr="002C79F8" w:rsidRDefault="006A7A31" w:rsidP="00983D66">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lastRenderedPageBreak/>
              <w:t xml:space="preserve">Table </w:t>
            </w:r>
            <w:r w:rsidR="00983D66">
              <w:rPr>
                <w:rFonts w:ascii="Arial" w:eastAsia="Times New Roman" w:hAnsi="Arial" w:cs="Arial"/>
                <w:b/>
                <w:bCs/>
                <w:color w:val="000000"/>
                <w:sz w:val="20"/>
                <w:szCs w:val="20"/>
              </w:rPr>
              <w:t>1</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 (OHT) after Left Ventricular Assist Device (LVAD) Implantation</w:t>
            </w:r>
          </w:p>
        </w:tc>
        <w:tc>
          <w:tcPr>
            <w:tcW w:w="1497" w:type="dxa"/>
            <w:tcBorders>
              <w:top w:val="nil"/>
              <w:left w:val="nil"/>
              <w:bottom w:val="single" w:sz="8" w:space="0" w:color="000000"/>
              <w:right w:val="nil"/>
            </w:tcBorders>
          </w:tcPr>
          <w:p w:rsidR="006A7A31" w:rsidRPr="002C79F8" w:rsidRDefault="006A7A31" w:rsidP="00C45788">
            <w:pPr>
              <w:spacing w:after="0" w:line="240" w:lineRule="auto"/>
              <w:rPr>
                <w:rFonts w:ascii="Arial" w:eastAsia="Times New Roman" w:hAnsi="Arial" w:cs="Arial"/>
                <w:b/>
                <w:bCs/>
                <w:color w:val="000000"/>
                <w:sz w:val="20"/>
                <w:szCs w:val="20"/>
              </w:rPr>
            </w:pPr>
          </w:p>
        </w:tc>
      </w:tr>
      <w:tr w:rsidR="00D312B8" w:rsidRPr="002C79F8" w:rsidTr="00D312B8">
        <w:trPr>
          <w:trHeight w:val="230"/>
        </w:trPr>
        <w:tc>
          <w:tcPr>
            <w:tcW w:w="8871" w:type="dxa"/>
            <w:gridSpan w:val="5"/>
            <w:vMerge/>
            <w:tcBorders>
              <w:top w:val="nil"/>
              <w:left w:val="nil"/>
              <w:bottom w:val="single" w:sz="8" w:space="0" w:color="000000"/>
              <w:right w:val="nil"/>
            </w:tcBorders>
            <w:vAlign w:val="center"/>
            <w:hideMark/>
          </w:tcPr>
          <w:p w:rsidR="006A7A31" w:rsidRPr="002C79F8" w:rsidRDefault="006A7A31" w:rsidP="00C45788">
            <w:pPr>
              <w:spacing w:after="0" w:line="240" w:lineRule="auto"/>
              <w:rPr>
                <w:rFonts w:ascii="Arial" w:eastAsia="Times New Roman" w:hAnsi="Arial" w:cs="Arial"/>
                <w:b/>
                <w:bCs/>
                <w:color w:val="000000"/>
                <w:sz w:val="20"/>
                <w:szCs w:val="20"/>
              </w:rPr>
            </w:pPr>
          </w:p>
        </w:tc>
        <w:tc>
          <w:tcPr>
            <w:tcW w:w="1497" w:type="dxa"/>
            <w:tcBorders>
              <w:top w:val="nil"/>
              <w:left w:val="nil"/>
              <w:bottom w:val="single" w:sz="8" w:space="0" w:color="000000"/>
              <w:right w:val="nil"/>
            </w:tcBorders>
          </w:tcPr>
          <w:p w:rsidR="006A7A31" w:rsidRPr="002C79F8" w:rsidRDefault="006A7A31" w:rsidP="00C45788">
            <w:pPr>
              <w:spacing w:after="0" w:line="240" w:lineRule="auto"/>
              <w:rPr>
                <w:rFonts w:ascii="Arial" w:eastAsia="Times New Roman" w:hAnsi="Arial" w:cs="Arial"/>
                <w:b/>
                <w:bCs/>
                <w:color w:val="000000"/>
                <w:sz w:val="20"/>
                <w:szCs w:val="20"/>
              </w:rPr>
            </w:pPr>
          </w:p>
        </w:tc>
      </w:tr>
      <w:tr w:rsidR="00D312B8" w:rsidRPr="00D312B8" w:rsidTr="00D312B8">
        <w:trPr>
          <w:trHeight w:val="480"/>
        </w:trPr>
        <w:tc>
          <w:tcPr>
            <w:tcW w:w="3258" w:type="dxa"/>
            <w:tcBorders>
              <w:top w:val="nil"/>
              <w:left w:val="nil"/>
              <w:bottom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b/>
                <w:bCs/>
                <w:color w:val="000000"/>
                <w:sz w:val="18"/>
                <w:szCs w:val="18"/>
              </w:rPr>
            </w:pPr>
          </w:p>
        </w:tc>
        <w:tc>
          <w:tcPr>
            <w:tcW w:w="1260" w:type="dxa"/>
            <w:tcBorders>
              <w:top w:val="single" w:sz="8" w:space="0" w:color="auto"/>
              <w:left w:val="nil"/>
              <w:bottom w:val="single" w:sz="4" w:space="0" w:color="000000"/>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0-7 days</w:t>
            </w:r>
            <w:r w:rsidRPr="00D312B8">
              <w:rPr>
                <w:rFonts w:ascii="Arial" w:eastAsia="Times New Roman" w:hAnsi="Arial" w:cs="Arial"/>
                <w:b/>
                <w:bCs/>
                <w:color w:val="000000"/>
                <w:sz w:val="18"/>
                <w:szCs w:val="18"/>
              </w:rPr>
              <w:br/>
              <w:t>(n = 41)</w:t>
            </w:r>
          </w:p>
        </w:tc>
        <w:tc>
          <w:tcPr>
            <w:tcW w:w="1440" w:type="dxa"/>
            <w:tcBorders>
              <w:top w:val="single" w:sz="8" w:space="0" w:color="auto"/>
              <w:left w:val="nil"/>
              <w:bottom w:val="single" w:sz="4" w:space="0" w:color="000000"/>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8-31 days</w:t>
            </w:r>
            <w:r w:rsidRPr="00D312B8">
              <w:rPr>
                <w:rFonts w:ascii="Arial" w:eastAsia="Times New Roman" w:hAnsi="Arial" w:cs="Arial"/>
                <w:b/>
                <w:bCs/>
                <w:color w:val="000000"/>
                <w:sz w:val="18"/>
                <w:szCs w:val="18"/>
              </w:rPr>
              <w:br/>
              <w:t>(n = 38)</w:t>
            </w:r>
          </w:p>
        </w:tc>
        <w:tc>
          <w:tcPr>
            <w:tcW w:w="1440" w:type="dxa"/>
            <w:tcBorders>
              <w:top w:val="single" w:sz="8" w:space="0" w:color="auto"/>
              <w:left w:val="nil"/>
              <w:bottom w:val="single" w:sz="4" w:space="0" w:color="000000"/>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32-65 days</w:t>
            </w:r>
            <w:r w:rsidRPr="00D312B8">
              <w:rPr>
                <w:rFonts w:ascii="Arial" w:eastAsia="Times New Roman" w:hAnsi="Arial" w:cs="Arial"/>
                <w:b/>
                <w:bCs/>
                <w:color w:val="000000"/>
                <w:sz w:val="18"/>
                <w:szCs w:val="18"/>
              </w:rPr>
              <w:br/>
              <w:t>(n = 42)</w:t>
            </w:r>
          </w:p>
        </w:tc>
        <w:tc>
          <w:tcPr>
            <w:tcW w:w="1473" w:type="dxa"/>
            <w:tcBorders>
              <w:top w:val="single" w:sz="8" w:space="0" w:color="auto"/>
              <w:left w:val="nil"/>
              <w:bottom w:val="single" w:sz="4" w:space="0" w:color="auto"/>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 xml:space="preserve">≥66 days </w:t>
            </w:r>
            <w:r w:rsidRPr="00D312B8">
              <w:rPr>
                <w:rFonts w:ascii="Arial" w:eastAsia="Times New Roman" w:hAnsi="Arial" w:cs="Arial"/>
                <w:b/>
                <w:bCs/>
                <w:color w:val="000000"/>
                <w:sz w:val="18"/>
                <w:szCs w:val="18"/>
              </w:rPr>
              <w:br/>
              <w:t>(n = 43)</w:t>
            </w:r>
          </w:p>
        </w:tc>
        <w:tc>
          <w:tcPr>
            <w:tcW w:w="1497" w:type="dxa"/>
            <w:tcBorders>
              <w:top w:val="single" w:sz="8" w:space="0" w:color="auto"/>
              <w:left w:val="nil"/>
              <w:bottom w:val="single" w:sz="4" w:space="0" w:color="auto"/>
              <w:right w:val="nil"/>
            </w:tcBorders>
          </w:tcPr>
          <w:p w:rsidR="006A7A31" w:rsidRPr="00D312B8" w:rsidRDefault="006A7A31"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No OHT</w:t>
            </w:r>
          </w:p>
          <w:p w:rsidR="00C45788" w:rsidRPr="00D312B8" w:rsidRDefault="00C45788" w:rsidP="00C45788">
            <w:pPr>
              <w:spacing w:after="0" w:line="240" w:lineRule="auto"/>
              <w:jc w:val="center"/>
              <w:rPr>
                <w:rFonts w:ascii="Arial" w:eastAsia="Times New Roman" w:hAnsi="Arial" w:cs="Arial"/>
                <w:b/>
                <w:bCs/>
                <w:color w:val="000000"/>
                <w:sz w:val="18"/>
                <w:szCs w:val="18"/>
              </w:rPr>
            </w:pPr>
            <w:r w:rsidRPr="00D312B8">
              <w:rPr>
                <w:rFonts w:ascii="Arial" w:eastAsia="Times New Roman" w:hAnsi="Arial" w:cs="Arial"/>
                <w:b/>
                <w:bCs/>
                <w:color w:val="000000"/>
                <w:sz w:val="18"/>
                <w:szCs w:val="18"/>
              </w:rPr>
              <w:t>(n = 2036)</w:t>
            </w:r>
          </w:p>
        </w:tc>
      </w:tr>
      <w:tr w:rsidR="00D312B8" w:rsidRPr="00D312B8" w:rsidTr="00D312B8">
        <w:trPr>
          <w:trHeight w:val="219"/>
        </w:trPr>
        <w:tc>
          <w:tcPr>
            <w:tcW w:w="3258" w:type="dxa"/>
            <w:tcBorders>
              <w:top w:val="single" w:sz="4" w:space="0" w:color="auto"/>
              <w:left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Length of stay, mean ± SD</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39.3 ± 33.2</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48.9 ± 25.6</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85.8 ± 40.1</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151.2 ± 52.6</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37.1 ± 34.6</w:t>
            </w:r>
          </w:p>
        </w:tc>
      </w:tr>
      <w:tr w:rsidR="00D312B8" w:rsidRPr="00D312B8" w:rsidTr="00D312B8">
        <w:trPr>
          <w:trHeight w:val="219"/>
        </w:trPr>
        <w:tc>
          <w:tcPr>
            <w:tcW w:w="3258" w:type="dxa"/>
            <w:tcBorders>
              <w:left w:val="nil"/>
              <w:bottom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Length of stay  after OHT, mean ± SD</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23.8  ± 21.4</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21.7 ± 15.8</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27.6 ± 37.1</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27.1  ± 22.8</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Times New Roman" w:eastAsia="Times New Roman" w:hAnsi="Times New Roman" w:cs="Times New Roman"/>
                <w:bCs/>
                <w:color w:val="000000"/>
                <w:sz w:val="18"/>
                <w:szCs w:val="18"/>
              </w:rPr>
            </w:pPr>
            <w:r w:rsidRPr="00D312B8">
              <w:rPr>
                <w:rFonts w:ascii="Times New Roman" w:eastAsia="Times New Roman" w:hAnsi="Times New Roman" w:cs="Times New Roman"/>
                <w:bCs/>
                <w:color w:val="000000"/>
                <w:sz w:val="18"/>
                <w:szCs w:val="18"/>
              </w:rPr>
              <w:t>NA</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Mortality, n (%)</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11 (26.8)</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(11.9)</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(11.6)</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564 (27.3)</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Age, mean ± SD</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50.6 ± 12.6</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48.6 ± 12.7</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47.4 ± 15.3</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46.3 ± 13.1</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55.4 ± 13.2</w:t>
            </w:r>
          </w:p>
        </w:tc>
      </w:tr>
      <w:tr w:rsidR="00D312B8" w:rsidRPr="00D312B8" w:rsidTr="00D312B8">
        <w:trPr>
          <w:trHeight w:val="219"/>
        </w:trPr>
        <w:tc>
          <w:tcPr>
            <w:tcW w:w="8871" w:type="dxa"/>
            <w:gridSpan w:val="5"/>
            <w:tcBorders>
              <w:top w:val="nil"/>
              <w:left w:val="nil"/>
              <w:bottom w:val="nil"/>
              <w:right w:val="nil"/>
            </w:tcBorders>
            <w:shd w:val="clear" w:color="auto" w:fill="auto"/>
            <w:vAlign w:val="center"/>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Sex, n (%)</w:t>
            </w:r>
          </w:p>
        </w:tc>
        <w:tc>
          <w:tcPr>
            <w:tcW w:w="1497" w:type="dxa"/>
            <w:tcBorders>
              <w:top w:val="nil"/>
              <w:left w:val="nil"/>
              <w:bottom w:val="nil"/>
              <w:right w:val="nil"/>
            </w:tcBorders>
          </w:tcPr>
          <w:p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Male</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33 (80.5)</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(84.2)</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35 (83.3)</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34 (79.1)</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1525 (74.9)</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Female</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(15.8)</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(16.7)</w:t>
            </w:r>
          </w:p>
        </w:tc>
        <w:tc>
          <w:tcPr>
            <w:tcW w:w="1473"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9 (20.9)</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511 (25.1)</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Race, n (%)</w:t>
            </w:r>
          </w:p>
        </w:tc>
        <w:tc>
          <w:tcPr>
            <w:tcW w:w="1497" w:type="dxa"/>
            <w:tcBorders>
              <w:top w:val="nil"/>
              <w:left w:val="nil"/>
              <w:bottom w:val="nil"/>
              <w:right w:val="nil"/>
            </w:tcBorders>
          </w:tcPr>
          <w:p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White</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25 (61.0)</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19 (50.0)</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23 (54.8)</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22 (51.2)</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1185 (58.2)</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Black</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(14.0)</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330 (16.2)</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Hispanic</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(18.4)</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(11.6)</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125 (6.1)</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Asian/Pacific Islander</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(4.9)</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(2.4)</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(9.3)</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44 (2.2)</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Native American</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 xml:space="preserve">5 </w:t>
            </w:r>
            <w:r w:rsidR="00FA4C26" w:rsidRPr="00D312B8">
              <w:rPr>
                <w:rFonts w:ascii="Arial" w:eastAsia="Times New Roman" w:hAnsi="Arial" w:cs="Arial"/>
                <w:color w:val="000000"/>
                <w:sz w:val="18"/>
                <w:szCs w:val="18"/>
              </w:rPr>
              <w:t>(0.2)</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6A7A31" w:rsidRPr="00D312B8" w:rsidRDefault="006A7A31"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Other or unknown</w:t>
            </w:r>
          </w:p>
        </w:tc>
        <w:tc>
          <w:tcPr>
            <w:tcW w:w="126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(18.4)</w:t>
            </w:r>
          </w:p>
        </w:tc>
        <w:tc>
          <w:tcPr>
            <w:tcW w:w="1440" w:type="dxa"/>
            <w:tcBorders>
              <w:top w:val="nil"/>
              <w:left w:val="nil"/>
              <w:bottom w:val="nil"/>
              <w:right w:val="nil"/>
            </w:tcBorders>
            <w:shd w:val="clear" w:color="auto" w:fill="auto"/>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noWrap/>
            <w:vAlign w:val="center"/>
            <w:hideMark/>
          </w:tcPr>
          <w:p w:rsidR="006A7A31" w:rsidRPr="00D312B8" w:rsidRDefault="006A7A31"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(14.0)</w:t>
            </w:r>
          </w:p>
        </w:tc>
        <w:tc>
          <w:tcPr>
            <w:tcW w:w="1497" w:type="dxa"/>
            <w:tcBorders>
              <w:top w:val="nil"/>
              <w:left w:val="nil"/>
              <w:bottom w:val="nil"/>
              <w:right w:val="nil"/>
            </w:tcBorders>
          </w:tcPr>
          <w:p w:rsidR="006A7A31"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347 (17.0)</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6A7A31" w:rsidRPr="00D312B8" w:rsidRDefault="006A7A31"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Median household income, n (%)</w:t>
            </w:r>
          </w:p>
        </w:tc>
        <w:tc>
          <w:tcPr>
            <w:tcW w:w="1497" w:type="dxa"/>
            <w:tcBorders>
              <w:top w:val="nil"/>
              <w:left w:val="nil"/>
              <w:bottom w:val="nil"/>
              <w:right w:val="nil"/>
            </w:tcBorders>
          </w:tcPr>
          <w:p w:rsidR="006A7A31" w:rsidRPr="00D312B8" w:rsidRDefault="006A7A31"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$1-24,999</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(9.8)</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(21.1)</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(18.6)</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447 (22.0)</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$25,000-34,999</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(24.4)</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(26.3)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(23.8)</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(16.3)</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454 (22.3)</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$35,000-44,999</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(29.3)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(21.1)</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10 (23.8)</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13 (30.2)</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509 (25.0)</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$45,000 or more</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9 (29.3)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12 (31.6)</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14 (33.3)</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14 (32.6)</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579 (28.4)</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(2.3)</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47 (2.3)</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Comorbidities</w:t>
            </w:r>
          </w:p>
        </w:tc>
        <w:tc>
          <w:tcPr>
            <w:tcW w:w="1497" w:type="dxa"/>
            <w:tcBorders>
              <w:top w:val="nil"/>
              <w:left w:val="nil"/>
              <w:bottom w:val="nil"/>
              <w:right w:val="nil"/>
            </w:tcBorders>
          </w:tcPr>
          <w:p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Diabetes</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8 (19.5)</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(13.2)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(9.5)</w:t>
            </w:r>
          </w:p>
        </w:tc>
        <w:tc>
          <w:tcPr>
            <w:tcW w:w="1473" w:type="dxa"/>
            <w:tcBorders>
              <w:top w:val="nil"/>
              <w:left w:val="nil"/>
              <w:bottom w:val="nil"/>
              <w:right w:val="nil"/>
            </w:tcBorders>
            <w:shd w:val="clear" w:color="auto" w:fill="auto"/>
            <w:noWrap/>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373 (18.3)</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Hyperlipidemia</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(5.3)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(7.1)</w:t>
            </w:r>
          </w:p>
        </w:tc>
        <w:tc>
          <w:tcPr>
            <w:tcW w:w="1473" w:type="dxa"/>
            <w:tcBorders>
              <w:top w:val="nil"/>
              <w:left w:val="nil"/>
              <w:bottom w:val="nil"/>
              <w:right w:val="nil"/>
            </w:tcBorders>
            <w:shd w:val="clear" w:color="auto" w:fill="auto"/>
            <w:noWrap/>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 (7.0)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297 (14.6)</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Hypertension</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(2.6)</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noWrap/>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291 (14.3)</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History of smoking</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(12.2)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(5.3)</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137 (6.7)</w:t>
            </w:r>
          </w:p>
        </w:tc>
      </w:tr>
      <w:tr w:rsidR="00D312B8" w:rsidRPr="00D312B8" w:rsidTr="00D312B8">
        <w:trPr>
          <w:trHeight w:val="219"/>
        </w:trPr>
        <w:tc>
          <w:tcPr>
            <w:tcW w:w="3258" w:type="dxa"/>
            <w:tcBorders>
              <w:top w:val="nil"/>
              <w:left w:val="nil"/>
              <w:bottom w:val="nil"/>
              <w:right w:val="nil"/>
            </w:tcBorders>
            <w:shd w:val="clear" w:color="auto" w:fill="auto"/>
            <w:vAlign w:val="bottom"/>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BMI ≥ 30 kg/m</w:t>
            </w:r>
            <w:r w:rsidRPr="00D312B8">
              <w:rPr>
                <w:rFonts w:ascii="Arial" w:eastAsia="Times New Roman" w:hAnsi="Arial" w:cs="Arial"/>
                <w:color w:val="000000"/>
                <w:sz w:val="18"/>
                <w:szCs w:val="18"/>
                <w:vertAlign w:val="superscript"/>
              </w:rPr>
              <w:t>2</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noWrap/>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96 (4.7)</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 xml:space="preserve">Number of concomitant </w:t>
            </w:r>
            <w:r w:rsidR="00D312B8" w:rsidRPr="00D312B8">
              <w:rPr>
                <w:rFonts w:ascii="Arial" w:eastAsia="Times New Roman" w:hAnsi="Arial" w:cs="Arial"/>
                <w:color w:val="000000"/>
                <w:sz w:val="18"/>
                <w:szCs w:val="18"/>
              </w:rPr>
              <w:t>diagnos</w:t>
            </w:r>
            <w:r w:rsidR="00D312B8">
              <w:rPr>
                <w:rFonts w:ascii="Arial" w:eastAsia="Times New Roman" w:hAnsi="Arial" w:cs="Arial"/>
                <w:color w:val="000000"/>
                <w:sz w:val="18"/>
                <w:szCs w:val="18"/>
              </w:rPr>
              <w:t>e</w:t>
            </w:r>
            <w:r w:rsidR="00D312B8" w:rsidRPr="00D312B8">
              <w:rPr>
                <w:rFonts w:ascii="Arial" w:eastAsia="Times New Roman" w:hAnsi="Arial" w:cs="Arial"/>
                <w:color w:val="000000"/>
                <w:sz w:val="18"/>
                <w:szCs w:val="18"/>
              </w:rPr>
              <w:t>s</w:t>
            </w:r>
            <w:r w:rsidRPr="00D312B8">
              <w:rPr>
                <w:rFonts w:ascii="Arial" w:eastAsia="Times New Roman" w:hAnsi="Arial" w:cs="Arial"/>
                <w:color w:val="000000"/>
                <w:sz w:val="18"/>
                <w:szCs w:val="18"/>
              </w:rPr>
              <w:t xml:space="preserve">, </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11.9 ± 3.1</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12.3 ± 3.0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12.5  ± 3.2</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Times New Roman" w:eastAsia="Times New Roman" w:hAnsi="Times New Roman" w:cs="Times New Roman"/>
                <w:color w:val="000000"/>
                <w:sz w:val="18"/>
                <w:szCs w:val="18"/>
              </w:rPr>
              <w:t>12.5  ± 3.2</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Times New Roman" w:eastAsia="Times New Roman" w:hAnsi="Times New Roman" w:cs="Times New Roman"/>
                <w:color w:val="000000"/>
                <w:sz w:val="18"/>
                <w:szCs w:val="18"/>
              </w:rPr>
            </w:pPr>
            <w:r w:rsidRPr="00D312B8">
              <w:rPr>
                <w:rFonts w:ascii="Arial" w:eastAsia="Times New Roman" w:hAnsi="Arial" w:cs="Arial"/>
                <w:color w:val="000000"/>
                <w:sz w:val="18"/>
                <w:szCs w:val="18"/>
              </w:rPr>
              <w:t>12.8 ± 2.9</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Location of hospital, n (%)</w:t>
            </w:r>
          </w:p>
        </w:tc>
        <w:tc>
          <w:tcPr>
            <w:tcW w:w="1497" w:type="dxa"/>
            <w:tcBorders>
              <w:top w:val="nil"/>
              <w:left w:val="nil"/>
              <w:bottom w:val="nil"/>
              <w:right w:val="nil"/>
            </w:tcBorders>
          </w:tcPr>
          <w:p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Rural</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17 (0.8)</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Urban</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41 (100.0)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38 (100.0)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42 (100.0)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43 (100.0)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2017 (99.1)</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C45788" w:rsidRPr="00D312B8" w:rsidRDefault="00623D68" w:rsidP="00C45788">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w:t>
            </w:r>
            <w:r w:rsidRPr="00D312B8">
              <w:rPr>
                <w:rFonts w:ascii="Arial" w:eastAsia="Times New Roman" w:hAnsi="Arial" w:cs="Arial"/>
                <w:color w:val="000000"/>
                <w:sz w:val="18"/>
                <w:szCs w:val="18"/>
              </w:rPr>
              <w:t>ize</w:t>
            </w:r>
            <w:r w:rsidR="00C45788" w:rsidRPr="00D312B8">
              <w:rPr>
                <w:rFonts w:ascii="Arial" w:eastAsia="Times New Roman" w:hAnsi="Arial" w:cs="Arial"/>
                <w:color w:val="000000"/>
                <w:sz w:val="18"/>
                <w:szCs w:val="18"/>
              </w:rPr>
              <w:t xml:space="preserve"> of hospital, n (%)</w:t>
            </w:r>
          </w:p>
        </w:tc>
        <w:tc>
          <w:tcPr>
            <w:tcW w:w="1497" w:type="dxa"/>
            <w:tcBorders>
              <w:top w:val="nil"/>
              <w:left w:val="nil"/>
              <w:bottom w:val="nil"/>
              <w:right w:val="nil"/>
            </w:tcBorders>
          </w:tcPr>
          <w:p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Small</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 (9.8)</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(4.7)</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(1.6)</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Medium</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7 (17.0)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6 (15.8)</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5 (11.9)</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211 (10.4)</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Large</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30 (73.2)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32 (84.2)</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 (88.1)</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41 (95.3)</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1791 (88.0)</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r w:rsidR="00D312B8" w:rsidRPr="00D312B8" w:rsidTr="00D312B8">
        <w:trPr>
          <w:trHeight w:val="219"/>
        </w:trPr>
        <w:tc>
          <w:tcPr>
            <w:tcW w:w="8871" w:type="dxa"/>
            <w:gridSpan w:val="5"/>
            <w:tcBorders>
              <w:top w:val="nil"/>
              <w:left w:val="nil"/>
              <w:bottom w:val="nil"/>
              <w:right w:val="nil"/>
            </w:tcBorders>
            <w:shd w:val="clear" w:color="auto" w:fill="auto"/>
            <w:hideMark/>
          </w:tcPr>
          <w:p w:rsidR="00C45788" w:rsidRPr="00D312B8" w:rsidRDefault="00C45788" w:rsidP="00C45788">
            <w:pPr>
              <w:spacing w:after="0" w:line="240" w:lineRule="auto"/>
              <w:rPr>
                <w:rFonts w:ascii="Arial" w:eastAsia="Times New Roman" w:hAnsi="Arial" w:cs="Arial"/>
                <w:color w:val="000000"/>
                <w:sz w:val="18"/>
                <w:szCs w:val="18"/>
              </w:rPr>
            </w:pPr>
            <w:r w:rsidRPr="00D312B8">
              <w:rPr>
                <w:rFonts w:ascii="Arial" w:eastAsia="Times New Roman" w:hAnsi="Arial" w:cs="Arial"/>
                <w:color w:val="000000"/>
                <w:sz w:val="18"/>
                <w:szCs w:val="18"/>
              </w:rPr>
              <w:t>Teaching status of hospital, n (%)</w:t>
            </w:r>
          </w:p>
        </w:tc>
        <w:tc>
          <w:tcPr>
            <w:tcW w:w="1497" w:type="dxa"/>
            <w:tcBorders>
              <w:top w:val="nil"/>
              <w:left w:val="nil"/>
              <w:bottom w:val="nil"/>
              <w:right w:val="nil"/>
            </w:tcBorders>
          </w:tcPr>
          <w:p w:rsidR="00C45788" w:rsidRPr="00D312B8" w:rsidRDefault="00C45788" w:rsidP="00C45788">
            <w:pPr>
              <w:spacing w:after="0" w:line="240" w:lineRule="auto"/>
              <w:rPr>
                <w:rFonts w:ascii="Arial" w:eastAsia="Times New Roman" w:hAnsi="Arial" w:cs="Arial"/>
                <w:color w:val="000000"/>
                <w:sz w:val="18"/>
                <w:szCs w:val="18"/>
              </w:rPr>
            </w:pP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Nonteaching</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(2.4)</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(2.6)</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(4.8)</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 (2.3)</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160 (7.9)</w:t>
            </w:r>
          </w:p>
        </w:tc>
      </w:tr>
      <w:tr w:rsidR="00D312B8" w:rsidRPr="00D312B8" w:rsidTr="00D312B8">
        <w:trPr>
          <w:trHeight w:val="219"/>
        </w:trPr>
        <w:tc>
          <w:tcPr>
            <w:tcW w:w="3258" w:type="dxa"/>
            <w:tcBorders>
              <w:top w:val="nil"/>
              <w:left w:val="nil"/>
              <w:bottom w:val="nil"/>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Teaching</w:t>
            </w:r>
          </w:p>
        </w:tc>
        <w:tc>
          <w:tcPr>
            <w:tcW w:w="126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40 (97.6)</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37 (97.4)</w:t>
            </w:r>
          </w:p>
        </w:tc>
        <w:tc>
          <w:tcPr>
            <w:tcW w:w="1440"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40 (95.2)</w:t>
            </w:r>
          </w:p>
        </w:tc>
        <w:tc>
          <w:tcPr>
            <w:tcW w:w="1473" w:type="dxa"/>
            <w:tcBorders>
              <w:top w:val="nil"/>
              <w:left w:val="nil"/>
              <w:bottom w:val="nil"/>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42 (97.7)</w:t>
            </w:r>
          </w:p>
        </w:tc>
        <w:tc>
          <w:tcPr>
            <w:tcW w:w="1497" w:type="dxa"/>
            <w:tcBorders>
              <w:top w:val="nil"/>
              <w:left w:val="nil"/>
              <w:bottom w:val="nil"/>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1874 (92.0)</w:t>
            </w:r>
          </w:p>
        </w:tc>
      </w:tr>
      <w:tr w:rsidR="00D312B8" w:rsidRPr="00D312B8" w:rsidTr="00D312B8">
        <w:trPr>
          <w:trHeight w:val="219"/>
        </w:trPr>
        <w:tc>
          <w:tcPr>
            <w:tcW w:w="3258" w:type="dxa"/>
            <w:tcBorders>
              <w:top w:val="nil"/>
              <w:left w:val="nil"/>
              <w:bottom w:val="single" w:sz="8" w:space="0" w:color="auto"/>
              <w:right w:val="nil"/>
            </w:tcBorders>
            <w:shd w:val="clear" w:color="auto" w:fill="auto"/>
            <w:vAlign w:val="center"/>
            <w:hideMark/>
          </w:tcPr>
          <w:p w:rsidR="00C45788" w:rsidRPr="00D312B8" w:rsidRDefault="00C45788" w:rsidP="00D312B8">
            <w:pPr>
              <w:spacing w:after="0" w:line="240" w:lineRule="auto"/>
              <w:ind w:firstLineChars="100" w:firstLine="180"/>
              <w:rPr>
                <w:rFonts w:ascii="Arial" w:eastAsia="Times New Roman" w:hAnsi="Arial" w:cs="Arial"/>
                <w:color w:val="000000"/>
                <w:sz w:val="18"/>
                <w:szCs w:val="18"/>
              </w:rPr>
            </w:pPr>
            <w:r w:rsidRPr="00D312B8">
              <w:rPr>
                <w:rFonts w:ascii="Arial" w:eastAsia="Times New Roman" w:hAnsi="Arial" w:cs="Arial"/>
                <w:color w:val="000000"/>
                <w:sz w:val="18"/>
                <w:szCs w:val="18"/>
              </w:rPr>
              <w:t>Unknown</w:t>
            </w:r>
          </w:p>
        </w:tc>
        <w:tc>
          <w:tcPr>
            <w:tcW w:w="1260" w:type="dxa"/>
            <w:tcBorders>
              <w:top w:val="nil"/>
              <w:left w:val="nil"/>
              <w:bottom w:val="single" w:sz="8" w:space="0" w:color="auto"/>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single" w:sz="8" w:space="0" w:color="auto"/>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40" w:type="dxa"/>
            <w:tcBorders>
              <w:top w:val="nil"/>
              <w:left w:val="nil"/>
              <w:bottom w:val="single" w:sz="8" w:space="0" w:color="auto"/>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73" w:type="dxa"/>
            <w:tcBorders>
              <w:top w:val="nil"/>
              <w:left w:val="nil"/>
              <w:bottom w:val="single" w:sz="8" w:space="0" w:color="auto"/>
              <w:right w:val="nil"/>
            </w:tcBorders>
            <w:shd w:val="clear" w:color="auto" w:fill="auto"/>
            <w:vAlign w:val="center"/>
            <w:hideMark/>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0 (0.0)</w:t>
            </w:r>
          </w:p>
        </w:tc>
        <w:tc>
          <w:tcPr>
            <w:tcW w:w="1497" w:type="dxa"/>
            <w:tcBorders>
              <w:top w:val="nil"/>
              <w:left w:val="nil"/>
              <w:bottom w:val="single" w:sz="8" w:space="0" w:color="auto"/>
              <w:right w:val="nil"/>
            </w:tcBorders>
            <w:vAlign w:val="center"/>
          </w:tcPr>
          <w:p w:rsidR="00C45788" w:rsidRPr="00D312B8" w:rsidRDefault="00C45788" w:rsidP="00C45788">
            <w:pPr>
              <w:spacing w:after="0" w:line="240" w:lineRule="auto"/>
              <w:jc w:val="center"/>
              <w:rPr>
                <w:rFonts w:ascii="Arial" w:eastAsia="Times New Roman" w:hAnsi="Arial" w:cs="Arial"/>
                <w:color w:val="000000"/>
                <w:sz w:val="18"/>
                <w:szCs w:val="18"/>
              </w:rPr>
            </w:pPr>
            <w:r w:rsidRPr="00D312B8">
              <w:rPr>
                <w:rFonts w:ascii="Arial" w:eastAsia="Times New Roman" w:hAnsi="Arial" w:cs="Arial"/>
                <w:color w:val="000000"/>
                <w:sz w:val="18"/>
                <w:szCs w:val="18"/>
              </w:rPr>
              <w:t>2 (0.1)</w:t>
            </w:r>
          </w:p>
        </w:tc>
      </w:tr>
    </w:tbl>
    <w:p w:rsidR="0097065E" w:rsidRPr="00D312B8" w:rsidRDefault="0097065E" w:rsidP="0097065E">
      <w:pPr>
        <w:pStyle w:val="NoSpacing"/>
        <w:rPr>
          <w:rFonts w:ascii="Arial" w:hAnsi="Arial"/>
          <w:sz w:val="18"/>
          <w:szCs w:val="18"/>
        </w:rPr>
      </w:pPr>
      <w:r w:rsidRPr="00D312B8">
        <w:rPr>
          <w:rFonts w:ascii="Arial" w:hAnsi="Arial"/>
          <w:sz w:val="18"/>
          <w:szCs w:val="18"/>
        </w:rPr>
        <w:t>SD, standard deviation; LVAD, Left Ventricular Assist Device, OHT, Orthotopic Heart Transplant</w:t>
      </w:r>
    </w:p>
    <w:p w:rsidR="0097065E" w:rsidRPr="00D312B8" w:rsidRDefault="0097065E" w:rsidP="0097065E">
      <w:pPr>
        <w:rPr>
          <w:sz w:val="18"/>
          <w:szCs w:val="18"/>
        </w:rPr>
      </w:pPr>
    </w:p>
    <w:p w:rsidR="0097065E" w:rsidRPr="00D312B8" w:rsidRDefault="0097065E" w:rsidP="0097065E">
      <w:pPr>
        <w:rPr>
          <w:sz w:val="18"/>
          <w:szCs w:val="18"/>
        </w:rPr>
      </w:pPr>
    </w:p>
    <w:p w:rsidR="0097065E" w:rsidRDefault="0097065E" w:rsidP="0097065E"/>
    <w:p w:rsidR="0097065E" w:rsidRDefault="0097065E" w:rsidP="0097065E"/>
    <w:p w:rsidR="0097065E" w:rsidRDefault="0097065E" w:rsidP="0097065E"/>
    <w:p w:rsidR="0097065E" w:rsidRDefault="0097065E" w:rsidP="0097065E"/>
    <w:p w:rsidR="0097065E" w:rsidRDefault="0097065E" w:rsidP="0097065E">
      <w:commentRangeStart w:id="1"/>
    </w:p>
    <w:tbl>
      <w:tblPr>
        <w:tblpPr w:leftFromText="180" w:rightFromText="180" w:vertAnchor="text" w:horzAnchor="margin" w:tblpY="-9749"/>
        <w:tblOverlap w:val="never"/>
        <w:tblW w:w="8928" w:type="dxa"/>
        <w:tblLook w:val="04A0"/>
      </w:tblPr>
      <w:tblGrid>
        <w:gridCol w:w="3190"/>
        <w:gridCol w:w="1621"/>
        <w:gridCol w:w="1619"/>
        <w:gridCol w:w="1606"/>
        <w:gridCol w:w="892"/>
      </w:tblGrid>
      <w:tr w:rsidR="00EB56CB" w:rsidRPr="00E12D3A" w:rsidTr="00DE7CA5">
        <w:trPr>
          <w:trHeight w:val="550"/>
        </w:trPr>
        <w:tc>
          <w:tcPr>
            <w:tcW w:w="8928" w:type="dxa"/>
            <w:gridSpan w:val="5"/>
            <w:tcBorders>
              <w:top w:val="nil"/>
              <w:left w:val="nil"/>
              <w:right w:val="nil"/>
            </w:tcBorders>
            <w:shd w:val="clear" w:color="auto" w:fill="auto"/>
            <w:vAlign w:val="center"/>
            <w:hideMark/>
          </w:tcPr>
          <w:p w:rsidR="00EB56CB" w:rsidRDefault="00EB56CB" w:rsidP="00983D6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Table 2</w:t>
            </w:r>
            <w:r w:rsidRPr="00E12D3A">
              <w:rPr>
                <w:rFonts w:ascii="Arial" w:eastAsia="Times New Roman" w:hAnsi="Arial" w:cs="Arial"/>
                <w:b/>
                <w:bCs/>
                <w:color w:val="000000"/>
                <w:sz w:val="20"/>
                <w:szCs w:val="20"/>
              </w:rPr>
              <w:t xml:space="preserve">. </w:t>
            </w:r>
            <w:r w:rsidRPr="00E12D3A">
              <w:rPr>
                <w:rFonts w:ascii="Arial" w:eastAsia="Times New Roman" w:hAnsi="Arial" w:cs="Arial"/>
                <w:color w:val="000000"/>
                <w:sz w:val="20"/>
                <w:szCs w:val="20"/>
              </w:rPr>
              <w:t xml:space="preserve">Baseline demographics of all LVAD patients, LVAD patients </w:t>
            </w:r>
            <w:r>
              <w:rPr>
                <w:rFonts w:ascii="Arial" w:eastAsia="Times New Roman" w:hAnsi="Arial" w:cs="Arial"/>
                <w:color w:val="000000"/>
                <w:sz w:val="20"/>
                <w:szCs w:val="20"/>
              </w:rPr>
              <w:t xml:space="preserve">before 2006, and LVAD patients from 2006 onward. </w:t>
            </w:r>
          </w:p>
        </w:tc>
      </w:tr>
      <w:tr w:rsidR="00EB56CB" w:rsidRPr="00E12D3A" w:rsidTr="00EC2D7A">
        <w:trPr>
          <w:trHeight w:val="755"/>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b/>
                <w:bCs/>
                <w:color w:val="000000"/>
                <w:sz w:val="20"/>
                <w:szCs w:val="20"/>
              </w:rPr>
            </w:pPr>
          </w:p>
        </w:tc>
        <w:tc>
          <w:tcPr>
            <w:tcW w:w="1621" w:type="dxa"/>
            <w:tcBorders>
              <w:top w:val="single" w:sz="8" w:space="0" w:color="auto"/>
              <w:left w:val="nil"/>
              <w:bottom w:val="single" w:sz="4" w:space="0" w:color="000000"/>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1619" w:type="dxa"/>
            <w:tcBorders>
              <w:top w:val="single" w:sz="8" w:space="0" w:color="auto"/>
              <w:left w:val="nil"/>
              <w:bottom w:val="single" w:sz="4" w:space="0" w:color="000000"/>
              <w:right w:val="nil"/>
            </w:tcBorders>
            <w:shd w:val="clear" w:color="auto" w:fill="auto"/>
            <w:vAlign w:val="center"/>
            <w:hideMark/>
          </w:tcPr>
          <w:p w:rsidR="00EB56CB" w:rsidRPr="00E12D3A" w:rsidRDefault="00EB56CB" w:rsidP="00E155B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Before 2006</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589</w:t>
            </w:r>
            <w:r w:rsidRPr="00E12D3A">
              <w:rPr>
                <w:rFonts w:ascii="Arial" w:eastAsia="Times New Roman" w:hAnsi="Arial" w:cs="Arial"/>
                <w:b/>
                <w:bCs/>
                <w:color w:val="000000"/>
                <w:sz w:val="20"/>
                <w:szCs w:val="20"/>
              </w:rPr>
              <w:t>)</w:t>
            </w:r>
          </w:p>
        </w:tc>
        <w:tc>
          <w:tcPr>
            <w:tcW w:w="1606" w:type="dxa"/>
            <w:tcBorders>
              <w:top w:val="single" w:sz="8" w:space="0" w:color="auto"/>
              <w:left w:val="nil"/>
              <w:bottom w:val="single" w:sz="4" w:space="0" w:color="000000"/>
              <w:right w:val="nil"/>
            </w:tcBorders>
            <w:shd w:val="clear" w:color="auto" w:fill="auto"/>
            <w:vAlign w:val="center"/>
            <w:hideMark/>
          </w:tcPr>
          <w:p w:rsidR="00EB56CB" w:rsidRPr="00E12D3A" w:rsidRDefault="00EB56CB" w:rsidP="00E155B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2006 and After</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1611</w:t>
            </w:r>
            <w:r w:rsidRPr="00E12D3A">
              <w:rPr>
                <w:rFonts w:ascii="Arial" w:eastAsia="Times New Roman" w:hAnsi="Arial" w:cs="Arial"/>
                <w:b/>
                <w:bCs/>
                <w:color w:val="000000"/>
                <w:sz w:val="20"/>
                <w:szCs w:val="20"/>
              </w:rPr>
              <w:t>)</w:t>
            </w:r>
          </w:p>
        </w:tc>
        <w:tc>
          <w:tcPr>
            <w:tcW w:w="892" w:type="dxa"/>
            <w:tcBorders>
              <w:top w:val="single" w:sz="8" w:space="0" w:color="auto"/>
              <w:left w:val="nil"/>
              <w:bottom w:val="single" w:sz="4" w:space="0" w:color="auto"/>
              <w:right w:val="nil"/>
            </w:tcBorders>
            <w:vAlign w:val="center"/>
          </w:tcPr>
          <w:p w:rsidR="00EB56CB" w:rsidRPr="00DD315E" w:rsidRDefault="00EB56CB" w:rsidP="00EC2D7A">
            <w:pPr>
              <w:spacing w:after="0" w:line="240" w:lineRule="auto"/>
              <w:jc w:val="center"/>
              <w:rPr>
                <w:rFonts w:ascii="Arial" w:eastAsia="Times New Roman" w:hAnsi="Arial" w:cs="Arial"/>
                <w:b/>
                <w:bCs/>
                <w:color w:val="000000"/>
                <w:sz w:val="20"/>
                <w:szCs w:val="20"/>
                <w:vertAlign w:val="superscript"/>
              </w:rPr>
            </w:pPr>
            <w:r>
              <w:rPr>
                <w:rFonts w:ascii="Arial" w:eastAsia="Times New Roman" w:hAnsi="Arial" w:cs="Arial"/>
                <w:b/>
                <w:bCs/>
                <w:color w:val="000000"/>
                <w:sz w:val="20"/>
                <w:szCs w:val="20"/>
              </w:rPr>
              <w:t>p-</w:t>
            </w:r>
            <w:proofErr w:type="spellStart"/>
            <w:r>
              <w:rPr>
                <w:rFonts w:ascii="Arial" w:eastAsia="Times New Roman" w:hAnsi="Arial" w:cs="Arial"/>
                <w:b/>
                <w:bCs/>
                <w:color w:val="000000"/>
                <w:sz w:val="20"/>
                <w:szCs w:val="20"/>
              </w:rPr>
              <w:t>value</w:t>
            </w:r>
            <w:r w:rsidR="00DD315E">
              <w:rPr>
                <w:rFonts w:ascii="Arial" w:eastAsia="Times New Roman" w:hAnsi="Arial" w:cs="Arial"/>
                <w:b/>
                <w:bCs/>
                <w:color w:val="000000"/>
                <w:sz w:val="20"/>
                <w:szCs w:val="20"/>
                <w:vertAlign w:val="superscript"/>
              </w:rPr>
              <w:t>a</w:t>
            </w:r>
            <w:proofErr w:type="spellEnd"/>
          </w:p>
        </w:tc>
      </w:tr>
      <w:tr w:rsidR="00EB56CB" w:rsidRPr="00E12D3A" w:rsidTr="00EC2D7A">
        <w:trPr>
          <w:trHeight w:val="263"/>
        </w:trPr>
        <w:tc>
          <w:tcPr>
            <w:tcW w:w="3190" w:type="dxa"/>
            <w:tcBorders>
              <w:top w:val="single" w:sz="4" w:space="0" w:color="auto"/>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1621" w:type="dxa"/>
            <w:tcBorders>
              <w:top w:val="single" w:sz="4" w:space="0" w:color="auto"/>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1619" w:type="dxa"/>
            <w:tcBorders>
              <w:top w:val="nil"/>
              <w:left w:val="nil"/>
              <w:bottom w:val="nil"/>
              <w:right w:val="nil"/>
            </w:tcBorders>
            <w:shd w:val="clear" w:color="auto" w:fill="auto"/>
            <w:vAlign w:val="center"/>
            <w:hideMark/>
          </w:tcPr>
          <w:p w:rsidR="00EB56CB" w:rsidRPr="00093E54" w:rsidRDefault="00EB56CB" w:rsidP="00E155BB">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 xml:space="preserve">253 </w:t>
            </w:r>
            <w:r w:rsidRPr="0041009C">
              <w:rPr>
                <w:rFonts w:ascii="Arial" w:eastAsia="Times New Roman" w:hAnsi="Arial" w:cs="Arial"/>
                <w:color w:val="000000"/>
                <w:sz w:val="20"/>
                <w:szCs w:val="20"/>
              </w:rPr>
              <w:t>(</w:t>
            </w:r>
            <w:r>
              <w:rPr>
                <w:rFonts w:ascii="Arial" w:eastAsia="Times New Roman" w:hAnsi="Arial" w:cs="Arial"/>
                <w:color w:val="000000"/>
                <w:sz w:val="20"/>
                <w:szCs w:val="20"/>
              </w:rPr>
              <w:t>43.0</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329</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20</w:t>
            </w:r>
            <w:r w:rsidRPr="00E12D3A">
              <w:rPr>
                <w:rFonts w:ascii="Arial" w:eastAsia="Times New Roman" w:hAnsi="Arial" w:cs="Arial"/>
                <w:color w:val="000000"/>
                <w:sz w:val="20"/>
                <w:szCs w:val="20"/>
              </w:rPr>
              <w:t>.</w:t>
            </w:r>
            <w:r>
              <w:rPr>
                <w:rFonts w:ascii="Arial" w:eastAsia="Times New Roman" w:hAnsi="Arial" w:cs="Arial"/>
                <w:color w:val="000000"/>
                <w:sz w:val="20"/>
                <w:szCs w:val="20"/>
              </w:rPr>
              <w:t>4</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EB56CB" w:rsidRPr="00E12D3A" w:rsidTr="00EC2D7A">
        <w:trPr>
          <w:trHeight w:val="263"/>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Same Hospitalization OHT, n (%)</w:t>
            </w:r>
          </w:p>
        </w:tc>
        <w:tc>
          <w:tcPr>
            <w:tcW w:w="1621"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164 (7.5)</w:t>
            </w:r>
          </w:p>
        </w:tc>
        <w:tc>
          <w:tcPr>
            <w:tcW w:w="1619" w:type="dxa"/>
            <w:tcBorders>
              <w:top w:val="nil"/>
              <w:left w:val="nil"/>
              <w:bottom w:val="nil"/>
              <w:right w:val="nil"/>
            </w:tcBorders>
            <w:shd w:val="clear" w:color="auto" w:fill="auto"/>
            <w:vAlign w:val="center"/>
            <w:hideMark/>
          </w:tcPr>
          <w:p w:rsidR="00EB56CB"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102 (17.3)</w:t>
            </w:r>
          </w:p>
        </w:tc>
        <w:tc>
          <w:tcPr>
            <w:tcW w:w="1606"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62 (3.8)</w:t>
            </w:r>
          </w:p>
        </w:tc>
        <w:tc>
          <w:tcPr>
            <w:tcW w:w="892" w:type="dxa"/>
            <w:tcBorders>
              <w:top w:val="nil"/>
              <w:left w:val="nil"/>
              <w:bottom w:val="nil"/>
              <w:right w:val="nil"/>
            </w:tcBorders>
            <w:vAlign w:val="center"/>
          </w:tcPr>
          <w:p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EB56CB" w:rsidRPr="00E12D3A" w:rsidTr="00EC2D7A">
        <w:trPr>
          <w:trHeight w:val="263"/>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1621"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1619" w:type="dxa"/>
            <w:tcBorders>
              <w:top w:val="nil"/>
              <w:left w:val="nil"/>
              <w:bottom w:val="nil"/>
              <w:right w:val="nil"/>
            </w:tcBorders>
            <w:shd w:val="clear" w:color="auto" w:fill="auto"/>
            <w:vAlign w:val="center"/>
            <w:hideMark/>
          </w:tcPr>
          <w:p w:rsidR="00EB56CB" w:rsidRPr="00093E54" w:rsidRDefault="00EB56CB" w:rsidP="00E155BB">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44.7</w:t>
            </w:r>
            <w:r w:rsidRPr="0041009C">
              <w:rPr>
                <w:rFonts w:ascii="Arial" w:eastAsia="Times New Roman" w:hAnsi="Arial" w:cs="Arial"/>
                <w:color w:val="000000"/>
                <w:sz w:val="20"/>
                <w:szCs w:val="20"/>
              </w:rPr>
              <w:t xml:space="preserve"> ± </w:t>
            </w:r>
            <w:r>
              <w:rPr>
                <w:rFonts w:ascii="Arial" w:eastAsia="Times New Roman" w:hAnsi="Arial" w:cs="Arial"/>
                <w:color w:val="000000"/>
                <w:sz w:val="20"/>
                <w:szCs w:val="20"/>
              </w:rPr>
              <w:t>48.6</w:t>
            </w:r>
          </w:p>
        </w:tc>
        <w:tc>
          <w:tcPr>
            <w:tcW w:w="1606" w:type="dxa"/>
            <w:tcBorders>
              <w:top w:val="nil"/>
              <w:left w:val="nil"/>
              <w:bottom w:val="nil"/>
              <w:right w:val="nil"/>
            </w:tcBorders>
            <w:shd w:val="clear" w:color="auto" w:fill="auto"/>
            <w:vAlign w:val="center"/>
            <w:hideMark/>
          </w:tcPr>
          <w:p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39.0</w:t>
            </w:r>
            <w:r w:rsidRPr="00E12D3A">
              <w:rPr>
                <w:rFonts w:ascii="Arial" w:eastAsia="Times New Roman" w:hAnsi="Arial" w:cs="Arial"/>
                <w:color w:val="000000"/>
                <w:sz w:val="20"/>
                <w:szCs w:val="20"/>
              </w:rPr>
              <w:t xml:space="preserve"> ± </w:t>
            </w:r>
            <w:r>
              <w:rPr>
                <w:rFonts w:ascii="Arial" w:eastAsia="Times New Roman" w:hAnsi="Arial" w:cs="Arial"/>
                <w:color w:val="000000"/>
                <w:sz w:val="20"/>
                <w:szCs w:val="20"/>
              </w:rPr>
              <w:t>34.6</w:t>
            </w:r>
          </w:p>
        </w:tc>
        <w:tc>
          <w:tcPr>
            <w:tcW w:w="892" w:type="dxa"/>
            <w:tcBorders>
              <w:top w:val="nil"/>
              <w:left w:val="nil"/>
              <w:bottom w:val="nil"/>
              <w:right w:val="nil"/>
            </w:tcBorders>
            <w:vAlign w:val="center"/>
          </w:tcPr>
          <w:p w:rsidR="00EB56CB" w:rsidRDefault="00EB56CB"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0.008</w:t>
            </w:r>
          </w:p>
        </w:tc>
      </w:tr>
      <w:tr w:rsidR="00EB56CB" w:rsidRPr="00E12D3A" w:rsidTr="00EC2D7A">
        <w:trPr>
          <w:trHeight w:val="263"/>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1621"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1619" w:type="dxa"/>
            <w:tcBorders>
              <w:top w:val="nil"/>
              <w:left w:val="nil"/>
              <w:bottom w:val="nil"/>
              <w:right w:val="nil"/>
            </w:tcBorders>
            <w:shd w:val="clear" w:color="auto" w:fill="auto"/>
            <w:vAlign w:val="center"/>
            <w:hideMark/>
          </w:tcPr>
          <w:p w:rsidR="00EB56CB" w:rsidRPr="0041009C" w:rsidRDefault="00EB56CB" w:rsidP="00E155BB">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2</w:t>
            </w:r>
            <w:r w:rsidRPr="0041009C">
              <w:rPr>
                <w:rFonts w:ascii="Arial" w:eastAsia="Times New Roman" w:hAnsi="Arial" w:cs="Arial"/>
                <w:color w:val="000000"/>
                <w:sz w:val="20"/>
                <w:szCs w:val="20"/>
              </w:rPr>
              <w:t xml:space="preserve"> ± 13.</w:t>
            </w:r>
            <w:r>
              <w:rPr>
                <w:rFonts w:ascii="Arial" w:eastAsia="Times New Roman" w:hAnsi="Arial" w:cs="Arial"/>
                <w:color w:val="000000"/>
                <w:sz w:val="20"/>
                <w:szCs w:val="20"/>
              </w:rPr>
              <w:t>4</w:t>
            </w:r>
          </w:p>
        </w:tc>
        <w:tc>
          <w:tcPr>
            <w:tcW w:w="1606"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55.4 ± 13.4</w:t>
            </w:r>
          </w:p>
        </w:tc>
        <w:tc>
          <w:tcPr>
            <w:tcW w:w="892" w:type="dxa"/>
            <w:tcBorders>
              <w:top w:val="nil"/>
              <w:left w:val="nil"/>
              <w:bottom w:val="nil"/>
              <w:right w:val="nil"/>
            </w:tcBorders>
            <w:vAlign w:val="center"/>
          </w:tcPr>
          <w:p w:rsidR="00EB56CB" w:rsidRDefault="00EC2D7A"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EB56CB" w:rsidRPr="00E12D3A" w:rsidTr="00EC2D7A">
        <w:trPr>
          <w:trHeight w:val="263"/>
        </w:trPr>
        <w:tc>
          <w:tcPr>
            <w:tcW w:w="8036" w:type="dxa"/>
            <w:gridSpan w:val="4"/>
            <w:tcBorders>
              <w:top w:val="nil"/>
              <w:left w:val="nil"/>
              <w:bottom w:val="nil"/>
              <w:right w:val="nil"/>
            </w:tcBorders>
            <w:shd w:val="clear" w:color="auto" w:fill="auto"/>
            <w:vAlign w:val="center"/>
            <w:hideMark/>
          </w:tcPr>
          <w:p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c>
          <w:tcPr>
            <w:tcW w:w="892" w:type="dxa"/>
            <w:tcBorders>
              <w:top w:val="nil"/>
              <w:left w:val="nil"/>
              <w:bottom w:val="nil"/>
              <w:right w:val="nil"/>
            </w:tcBorders>
            <w:vAlign w:val="center"/>
          </w:tcPr>
          <w:p w:rsidR="00EB56CB" w:rsidRPr="00E12D3A" w:rsidRDefault="00EB56CB" w:rsidP="00EC2D7A">
            <w:pPr>
              <w:spacing w:after="0" w:line="240" w:lineRule="auto"/>
              <w:jc w:val="center"/>
              <w:rPr>
                <w:rFonts w:ascii="Arial" w:eastAsia="Times New Roman" w:hAnsi="Arial" w:cs="Arial"/>
                <w:color w:val="000000"/>
                <w:sz w:val="20"/>
                <w:szCs w:val="20"/>
              </w:rPr>
            </w:pPr>
          </w:p>
        </w:tc>
      </w:tr>
      <w:tr w:rsidR="00EB56CB" w:rsidRPr="00E12D3A" w:rsidTr="00EC2D7A">
        <w:trPr>
          <w:trHeight w:val="263"/>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1621"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1619" w:type="dxa"/>
            <w:tcBorders>
              <w:top w:val="nil"/>
              <w:left w:val="nil"/>
              <w:bottom w:val="nil"/>
              <w:right w:val="nil"/>
            </w:tcBorders>
            <w:shd w:val="clear" w:color="auto" w:fill="auto"/>
            <w:vAlign w:val="center"/>
            <w:hideMark/>
          </w:tcPr>
          <w:p w:rsidR="00EB56CB" w:rsidRPr="0041009C" w:rsidRDefault="00EB56CB" w:rsidP="00E155B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433</w:t>
            </w:r>
            <w:r w:rsidRPr="0041009C">
              <w:rPr>
                <w:rFonts w:ascii="Arial" w:eastAsia="Times New Roman" w:hAnsi="Arial" w:cs="Arial"/>
                <w:color w:val="000000"/>
                <w:sz w:val="20"/>
                <w:szCs w:val="20"/>
              </w:rPr>
              <w:t xml:space="preserve"> (7</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1226</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76.1</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EB56CB" w:rsidRDefault="00623D68" w:rsidP="00EC2D7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0.23</w:t>
            </w:r>
          </w:p>
        </w:tc>
      </w:tr>
      <w:tr w:rsidR="00EB56CB" w:rsidRPr="00E12D3A" w:rsidTr="00EC2D7A">
        <w:trPr>
          <w:trHeight w:val="263"/>
        </w:trPr>
        <w:tc>
          <w:tcPr>
            <w:tcW w:w="3190" w:type="dxa"/>
            <w:tcBorders>
              <w:top w:val="nil"/>
              <w:left w:val="nil"/>
              <w:bottom w:val="nil"/>
              <w:right w:val="nil"/>
            </w:tcBorders>
            <w:shd w:val="clear" w:color="auto" w:fill="auto"/>
            <w:vAlign w:val="center"/>
            <w:hideMark/>
          </w:tcPr>
          <w:p w:rsidR="00EB56CB" w:rsidRPr="00E12D3A" w:rsidRDefault="00EB56CB" w:rsidP="00983D6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1621" w:type="dxa"/>
            <w:tcBorders>
              <w:top w:val="nil"/>
              <w:left w:val="nil"/>
              <w:bottom w:val="nil"/>
              <w:right w:val="nil"/>
            </w:tcBorders>
            <w:shd w:val="clear" w:color="auto" w:fill="auto"/>
            <w:vAlign w:val="center"/>
            <w:hideMark/>
          </w:tcPr>
          <w:p w:rsidR="00EB56CB" w:rsidRPr="00E12D3A" w:rsidRDefault="00EB56CB" w:rsidP="00983D6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1619" w:type="dxa"/>
            <w:tcBorders>
              <w:top w:val="nil"/>
              <w:left w:val="nil"/>
              <w:bottom w:val="nil"/>
              <w:right w:val="nil"/>
            </w:tcBorders>
            <w:shd w:val="clear" w:color="auto" w:fill="auto"/>
            <w:vAlign w:val="center"/>
            <w:hideMark/>
          </w:tcPr>
          <w:p w:rsidR="00EB56CB" w:rsidRPr="0041009C" w:rsidRDefault="00EB56CB" w:rsidP="00983D6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 (26.5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EB56CB" w:rsidRPr="00E12D3A" w:rsidRDefault="00EB56CB" w:rsidP="005169C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385</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23.9</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EB56CB" w:rsidRDefault="00EB56CB" w:rsidP="00EC2D7A">
            <w:pPr>
              <w:spacing w:after="0" w:line="240" w:lineRule="auto"/>
              <w:jc w:val="center"/>
              <w:rPr>
                <w:rFonts w:ascii="Arial" w:eastAsia="Times New Roman" w:hAnsi="Arial" w:cs="Arial"/>
                <w:color w:val="000000"/>
                <w:sz w:val="20"/>
                <w:szCs w:val="20"/>
              </w:rPr>
            </w:pPr>
          </w:p>
        </w:tc>
      </w:tr>
      <w:tr w:rsidR="00EB56CB" w:rsidRPr="00E12D3A" w:rsidTr="00EC2D7A">
        <w:trPr>
          <w:trHeight w:val="141"/>
        </w:trPr>
        <w:tc>
          <w:tcPr>
            <w:tcW w:w="8036" w:type="dxa"/>
            <w:gridSpan w:val="4"/>
            <w:tcBorders>
              <w:top w:val="nil"/>
              <w:left w:val="nil"/>
              <w:bottom w:val="nil"/>
              <w:right w:val="nil"/>
            </w:tcBorders>
            <w:shd w:val="clear" w:color="auto" w:fill="auto"/>
            <w:hideMark/>
          </w:tcPr>
          <w:p w:rsidR="00EB56CB" w:rsidRPr="00E12D3A" w:rsidRDefault="00EB56CB" w:rsidP="00983D6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c>
          <w:tcPr>
            <w:tcW w:w="892" w:type="dxa"/>
            <w:tcBorders>
              <w:top w:val="nil"/>
              <w:left w:val="nil"/>
              <w:bottom w:val="nil"/>
              <w:right w:val="nil"/>
            </w:tcBorders>
            <w:vAlign w:val="center"/>
          </w:tcPr>
          <w:p w:rsidR="00EB56CB" w:rsidRPr="00E12D3A" w:rsidRDefault="00EB56CB" w:rsidP="00EC2D7A">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327</w:t>
            </w:r>
            <w:r w:rsidRPr="0041009C">
              <w:rPr>
                <w:rFonts w:ascii="Arial" w:eastAsia="Times New Roman" w:hAnsi="Arial" w:cs="Arial"/>
                <w:color w:val="000000"/>
                <w:sz w:val="20"/>
                <w:szCs w:val="20"/>
              </w:rPr>
              <w:t xml:space="preserve"> (5</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r>
              <w:rPr>
                <w:rFonts w:ascii="Arial" w:eastAsia="Times New Roman" w:hAnsi="Arial" w:cs="Arial"/>
                <w:color w:val="000000"/>
                <w:sz w:val="20"/>
                <w:szCs w:val="20"/>
              </w:rPr>
              <w:t>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947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58.8</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62</w:t>
            </w:r>
            <w:r w:rsidRPr="0041009C">
              <w:rPr>
                <w:rFonts w:ascii="Arial" w:eastAsia="Times New Roman" w:hAnsi="Arial" w:cs="Arial"/>
                <w:color w:val="000000"/>
                <w:sz w:val="20"/>
                <w:szCs w:val="20"/>
              </w:rPr>
              <w:t xml:space="preserve"> (1</w:t>
            </w:r>
            <w:r>
              <w:rPr>
                <w:rFonts w:ascii="Arial" w:eastAsia="Times New Roman" w:hAnsi="Arial" w:cs="Arial"/>
                <w:color w:val="000000"/>
                <w:sz w:val="20"/>
                <w:szCs w:val="20"/>
              </w:rPr>
              <w:t>0.5</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290</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18.0</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4.8</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114</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7.1</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r w:rsidRPr="0041009C">
              <w:rPr>
                <w:rFonts w:ascii="Arial" w:eastAsia="Times New Roman" w:hAnsi="Arial" w:cs="Arial"/>
                <w:color w:val="000000"/>
                <w:sz w:val="20"/>
                <w:szCs w:val="20"/>
              </w:rPr>
              <w:t xml:space="preserve"> (2.2)</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41009C">
              <w:rPr>
                <w:rFonts w:ascii="Arial" w:eastAsia="Times New Roman" w:hAnsi="Arial" w:cs="Arial"/>
                <w:color w:val="000000"/>
                <w:sz w:val="20"/>
                <w:szCs w:val="20"/>
              </w:rPr>
              <w:t xml:space="preserve"> (0.</w:t>
            </w:r>
            <w:r>
              <w:rPr>
                <w:rFonts w:ascii="Arial" w:eastAsia="Times New Roman" w:hAnsi="Arial" w:cs="Arial"/>
                <w:color w:val="000000"/>
                <w:sz w:val="20"/>
                <w:szCs w:val="20"/>
              </w:rPr>
              <w:t>2</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E12D3A">
              <w:rPr>
                <w:rFonts w:ascii="Arial" w:eastAsia="Times New Roman" w:hAnsi="Arial" w:cs="Arial"/>
                <w:color w:val="000000"/>
                <w:sz w:val="20"/>
                <w:szCs w:val="20"/>
              </w:rPr>
              <w:t xml:space="preserve"> (0.</w:t>
            </w:r>
            <w:r>
              <w:rPr>
                <w:rFonts w:ascii="Arial" w:eastAsia="Times New Roman" w:hAnsi="Arial" w:cs="Arial"/>
                <w:color w:val="000000"/>
                <w:sz w:val="20"/>
                <w:szCs w:val="20"/>
              </w:rPr>
              <w:t>2</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Other</w:t>
            </w:r>
            <w:r>
              <w:rPr>
                <w:rFonts w:ascii="Arial" w:eastAsia="Times New Roman" w:hAnsi="Arial" w:cs="Arial"/>
                <w:color w:val="000000"/>
                <w:sz w:val="20"/>
                <w:szCs w:val="20"/>
              </w:rPr>
              <w:t xml:space="preserve"> or unknown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143 (24.3</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148</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9.2</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8036" w:type="dxa"/>
            <w:gridSpan w:val="4"/>
            <w:tcBorders>
              <w:top w:val="nil"/>
              <w:left w:val="nil"/>
              <w:bottom w:val="nil"/>
              <w:right w:val="nil"/>
            </w:tcBorders>
            <w:shd w:val="clear" w:color="auto" w:fill="auto"/>
            <w:hideMark/>
          </w:tcPr>
          <w:p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88</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14</w:t>
            </w:r>
            <w:r w:rsidRPr="0041009C">
              <w:rPr>
                <w:rFonts w:ascii="Arial" w:eastAsia="Times New Roman" w:hAnsi="Arial" w:cs="Arial"/>
                <w:color w:val="000000"/>
                <w:sz w:val="20"/>
                <w:szCs w:val="20"/>
              </w:rPr>
              <w:t>.</w:t>
            </w:r>
            <w:r>
              <w:rPr>
                <w:rFonts w:ascii="Arial" w:eastAsia="Times New Roman" w:hAnsi="Arial" w:cs="Arial"/>
                <w:color w:val="000000"/>
                <w:sz w:val="20"/>
                <w:szCs w:val="20"/>
              </w:rPr>
              <w:t>9</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387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24.0</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 0.001</w:t>
            </w: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126</w:t>
            </w:r>
            <w:r w:rsidRPr="0041009C">
              <w:rPr>
                <w:rFonts w:ascii="Arial" w:eastAsia="Times New Roman" w:hAnsi="Arial" w:cs="Arial"/>
                <w:color w:val="000000"/>
                <w:sz w:val="20"/>
                <w:szCs w:val="20"/>
              </w:rPr>
              <w:t xml:space="preserve"> (2</w:t>
            </w:r>
            <w:r>
              <w:rPr>
                <w:rFonts w:ascii="Arial" w:eastAsia="Times New Roman" w:hAnsi="Arial" w:cs="Arial"/>
                <w:color w:val="000000"/>
                <w:sz w:val="20"/>
                <w:szCs w:val="20"/>
              </w:rPr>
              <w:t>1.4</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365</w:t>
            </w:r>
            <w:r w:rsidRPr="00E12D3A">
              <w:rPr>
                <w:rFonts w:ascii="Arial" w:eastAsia="Times New Roman" w:hAnsi="Arial" w:cs="Arial"/>
                <w:color w:val="000000"/>
                <w:sz w:val="20"/>
                <w:szCs w:val="20"/>
              </w:rPr>
              <w:t xml:space="preserve"> (22.</w:t>
            </w:r>
            <w:r>
              <w:rPr>
                <w:rFonts w:ascii="Arial" w:eastAsia="Times New Roman" w:hAnsi="Arial" w:cs="Arial"/>
                <w:color w:val="000000"/>
                <w:sz w:val="20"/>
                <w:szCs w:val="20"/>
              </w:rPr>
              <w:t>7</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141</w:t>
            </w:r>
            <w:r w:rsidRPr="0041009C">
              <w:rPr>
                <w:rFonts w:ascii="Arial" w:eastAsia="Times New Roman" w:hAnsi="Arial" w:cs="Arial"/>
                <w:color w:val="000000"/>
                <w:sz w:val="20"/>
                <w:szCs w:val="20"/>
              </w:rPr>
              <w:t xml:space="preserve"> (2</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9</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411</w:t>
            </w:r>
            <w:r w:rsidRPr="00E12D3A">
              <w:rPr>
                <w:rFonts w:ascii="Arial" w:eastAsia="Times New Roman" w:hAnsi="Arial" w:cs="Arial"/>
                <w:color w:val="000000"/>
                <w:sz w:val="20"/>
                <w:szCs w:val="20"/>
              </w:rPr>
              <w:t xml:space="preserve"> (2</w:t>
            </w:r>
            <w:r>
              <w:rPr>
                <w:rFonts w:ascii="Arial" w:eastAsia="Times New Roman" w:hAnsi="Arial" w:cs="Arial"/>
                <w:color w:val="000000"/>
                <w:sz w:val="20"/>
                <w:szCs w:val="20"/>
              </w:rPr>
              <w:t>5.5</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214</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36</w:t>
            </w:r>
            <w:r w:rsidRPr="0041009C">
              <w:rPr>
                <w:rFonts w:ascii="Arial" w:eastAsia="Times New Roman" w:hAnsi="Arial" w:cs="Arial"/>
                <w:color w:val="000000"/>
                <w:sz w:val="20"/>
                <w:szCs w:val="20"/>
              </w:rPr>
              <w:t>.</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417</w:t>
            </w:r>
            <w:r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25.9</w:t>
            </w:r>
            <w:r w:rsidRPr="00E12D3A">
              <w:rPr>
                <w:rFonts w:ascii="Arial" w:eastAsia="Times New Roman" w:hAnsi="Arial" w:cs="Arial"/>
                <w:color w:val="000000"/>
                <w:sz w:val="20"/>
                <w:szCs w:val="20"/>
              </w:rPr>
              <w:t>)</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w:t>
            </w:r>
            <w:r w:rsidRPr="0041009C">
              <w:rPr>
                <w:rFonts w:ascii="Arial" w:eastAsia="Times New Roman" w:hAnsi="Arial" w:cs="Arial"/>
                <w:color w:val="000000"/>
                <w:sz w:val="20"/>
                <w:szCs w:val="20"/>
              </w:rPr>
              <w:t xml:space="preserve"> (</w:t>
            </w:r>
            <w:r>
              <w:rPr>
                <w:rFonts w:ascii="Arial" w:eastAsia="Times New Roman" w:hAnsi="Arial" w:cs="Arial"/>
                <w:color w:val="000000"/>
                <w:sz w:val="20"/>
                <w:szCs w:val="20"/>
              </w:rPr>
              <w:t>3</w:t>
            </w:r>
            <w:r w:rsidRPr="0041009C">
              <w:rPr>
                <w:rFonts w:ascii="Arial" w:eastAsia="Times New Roman" w:hAnsi="Arial" w:cs="Arial"/>
                <w:color w:val="000000"/>
                <w:sz w:val="20"/>
                <w:szCs w:val="20"/>
              </w:rPr>
              <w:t>.</w:t>
            </w:r>
            <w:r>
              <w:rPr>
                <w:rFonts w:ascii="Arial" w:eastAsia="Times New Roman" w:hAnsi="Arial" w:cs="Arial"/>
                <w:color w:val="000000"/>
                <w:sz w:val="20"/>
                <w:szCs w:val="20"/>
              </w:rPr>
              <w:t>4</w:t>
            </w:r>
            <w:r w:rsidRPr="0041009C">
              <w:rPr>
                <w:rFonts w:ascii="Arial" w:eastAsia="Times New Roman" w:hAnsi="Arial" w:cs="Arial"/>
                <w:color w:val="000000"/>
                <w:sz w:val="20"/>
                <w:szCs w:val="20"/>
              </w:rPr>
              <w:t>)</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r w:rsidRPr="00E12D3A">
              <w:rPr>
                <w:rFonts w:ascii="Arial" w:eastAsia="Times New Roman" w:hAnsi="Arial" w:cs="Arial"/>
                <w:color w:val="000000"/>
                <w:sz w:val="20"/>
                <w:szCs w:val="20"/>
              </w:rPr>
              <w:t xml:space="preserve"> (2.4)</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8036" w:type="dxa"/>
            <w:gridSpan w:val="4"/>
            <w:tcBorders>
              <w:top w:val="nil"/>
              <w:left w:val="nil"/>
              <w:bottom w:val="nil"/>
              <w:right w:val="nil"/>
            </w:tcBorders>
            <w:shd w:val="clear" w:color="auto" w:fill="auto"/>
            <w:hideMark/>
          </w:tcPr>
          <w:p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1621"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391</w:t>
            </w:r>
            <w:r w:rsidR="00623D68" w:rsidRPr="00E12D3A">
              <w:rPr>
                <w:rFonts w:ascii="Arial" w:eastAsia="Times New Roman" w:hAnsi="Arial" w:cs="Arial"/>
                <w:color w:val="000000"/>
                <w:sz w:val="20"/>
                <w:szCs w:val="20"/>
              </w:rPr>
              <w:t xml:space="preserve"> (17.8)</w:t>
            </w:r>
          </w:p>
        </w:tc>
        <w:tc>
          <w:tcPr>
            <w:tcW w:w="1619" w:type="dxa"/>
            <w:tcBorders>
              <w:top w:val="nil"/>
              <w:left w:val="nil"/>
              <w:bottom w:val="nil"/>
              <w:right w:val="nil"/>
            </w:tcBorders>
            <w:shd w:val="clear" w:color="auto" w:fill="auto"/>
            <w:vAlign w:val="center"/>
            <w:hideMark/>
          </w:tcPr>
          <w:p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91 (15.4)</w:t>
            </w:r>
          </w:p>
        </w:tc>
        <w:tc>
          <w:tcPr>
            <w:tcW w:w="1606"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300 (18.6)</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1619" w:type="dxa"/>
            <w:tcBorders>
              <w:top w:val="nil"/>
              <w:left w:val="nil"/>
              <w:bottom w:val="nil"/>
              <w:right w:val="nil"/>
            </w:tcBorders>
            <w:shd w:val="clear" w:color="auto" w:fill="auto"/>
            <w:vAlign w:val="center"/>
            <w:hideMark/>
          </w:tcPr>
          <w:p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61 (10.4)</w:t>
            </w:r>
          </w:p>
        </w:tc>
        <w:tc>
          <w:tcPr>
            <w:tcW w:w="1606"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249 (15.5)</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1621" w:type="dxa"/>
            <w:tcBorders>
              <w:top w:val="nil"/>
              <w:left w:val="nil"/>
              <w:bottom w:val="nil"/>
              <w:right w:val="nil"/>
            </w:tcBorders>
            <w:shd w:val="clear" w:color="auto" w:fill="auto"/>
            <w:vAlign w:val="center"/>
            <w:hideMark/>
          </w:tcPr>
          <w:p w:rsidR="00623D68" w:rsidRPr="00E12D3A" w:rsidRDefault="00601038" w:rsidP="0060103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309</w:t>
            </w:r>
            <w:r w:rsidR="00623D68" w:rsidRPr="00E12D3A">
              <w:rPr>
                <w:rFonts w:ascii="Arial" w:eastAsia="Times New Roman" w:hAnsi="Arial" w:cs="Arial"/>
                <w:color w:val="000000"/>
                <w:sz w:val="20"/>
                <w:szCs w:val="20"/>
              </w:rPr>
              <w:t xml:space="preserve"> (</w:t>
            </w:r>
            <w:r>
              <w:rPr>
                <w:rFonts w:ascii="Arial" w:eastAsia="Times New Roman" w:hAnsi="Arial" w:cs="Arial"/>
                <w:color w:val="000000"/>
                <w:sz w:val="20"/>
                <w:szCs w:val="20"/>
              </w:rPr>
              <w:t>14.0</w:t>
            </w:r>
            <w:r w:rsidR="00623D68" w:rsidRPr="00E12D3A">
              <w:rPr>
                <w:rFonts w:ascii="Arial" w:eastAsia="Times New Roman" w:hAnsi="Arial" w:cs="Arial"/>
                <w:color w:val="000000"/>
                <w:sz w:val="20"/>
                <w:szCs w:val="20"/>
              </w:rPr>
              <w:t>)</w:t>
            </w:r>
          </w:p>
        </w:tc>
        <w:tc>
          <w:tcPr>
            <w:tcW w:w="1619" w:type="dxa"/>
            <w:tcBorders>
              <w:top w:val="nil"/>
              <w:left w:val="nil"/>
              <w:bottom w:val="nil"/>
              <w:right w:val="nil"/>
            </w:tcBorders>
            <w:shd w:val="clear" w:color="auto" w:fill="auto"/>
            <w:vAlign w:val="center"/>
            <w:hideMark/>
          </w:tcPr>
          <w:p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88 (14.9)</w:t>
            </w:r>
          </w:p>
        </w:tc>
        <w:tc>
          <w:tcPr>
            <w:tcW w:w="1606"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221 (13.7)</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1621" w:type="dxa"/>
            <w:tcBorders>
              <w:top w:val="nil"/>
              <w:left w:val="nil"/>
              <w:bottom w:val="nil"/>
              <w:right w:val="nil"/>
            </w:tcBorders>
            <w:shd w:val="clear" w:color="auto" w:fill="auto"/>
            <w:vAlign w:val="center"/>
            <w:hideMark/>
          </w:tcPr>
          <w:p w:rsidR="00623D68" w:rsidRPr="00E12D3A" w:rsidRDefault="00623D68" w:rsidP="0060103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w:t>
            </w:r>
            <w:r w:rsidR="00601038">
              <w:rPr>
                <w:rFonts w:ascii="Arial" w:eastAsia="Times New Roman" w:hAnsi="Arial" w:cs="Arial"/>
                <w:color w:val="000000"/>
                <w:sz w:val="20"/>
                <w:szCs w:val="20"/>
              </w:rPr>
              <w:t>31</w:t>
            </w:r>
            <w:r w:rsidRPr="00E12D3A">
              <w:rPr>
                <w:rFonts w:ascii="Arial" w:eastAsia="Times New Roman" w:hAnsi="Arial" w:cs="Arial"/>
                <w:color w:val="000000"/>
                <w:sz w:val="20"/>
                <w:szCs w:val="20"/>
              </w:rPr>
              <w:t xml:space="preserve"> (6.</w:t>
            </w:r>
            <w:r w:rsidR="00601038">
              <w:rPr>
                <w:rFonts w:ascii="Arial" w:eastAsia="Times New Roman" w:hAnsi="Arial" w:cs="Arial"/>
                <w:color w:val="000000"/>
                <w:sz w:val="20"/>
                <w:szCs w:val="20"/>
              </w:rPr>
              <w:t>0</w:t>
            </w:r>
            <w:r w:rsidRPr="00E12D3A">
              <w:rPr>
                <w:rFonts w:ascii="Arial" w:eastAsia="Times New Roman" w:hAnsi="Arial" w:cs="Arial"/>
                <w:color w:val="000000"/>
                <w:sz w:val="20"/>
                <w:szCs w:val="20"/>
              </w:rPr>
              <w:t>)</w:t>
            </w:r>
          </w:p>
        </w:tc>
        <w:tc>
          <w:tcPr>
            <w:tcW w:w="1619" w:type="dxa"/>
            <w:tcBorders>
              <w:top w:val="nil"/>
              <w:left w:val="nil"/>
              <w:bottom w:val="nil"/>
              <w:right w:val="nil"/>
            </w:tcBorders>
            <w:shd w:val="clear" w:color="auto" w:fill="auto"/>
            <w:vAlign w:val="center"/>
            <w:hideMark/>
          </w:tcPr>
          <w:p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29 (4.9)</w:t>
            </w:r>
          </w:p>
        </w:tc>
        <w:tc>
          <w:tcPr>
            <w:tcW w:w="1606"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102 (6.3)</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bottom"/>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1619" w:type="dxa"/>
            <w:tcBorders>
              <w:top w:val="nil"/>
              <w:left w:val="nil"/>
              <w:bottom w:val="nil"/>
              <w:right w:val="nil"/>
            </w:tcBorders>
            <w:shd w:val="clear" w:color="auto" w:fill="auto"/>
            <w:vAlign w:val="center"/>
            <w:hideMark/>
          </w:tcPr>
          <w:p w:rsidR="00623D68" w:rsidRPr="00183AE0"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 (2.0)</w:t>
            </w:r>
          </w:p>
        </w:tc>
        <w:tc>
          <w:tcPr>
            <w:tcW w:w="1606" w:type="dxa"/>
            <w:tcBorders>
              <w:top w:val="nil"/>
              <w:left w:val="nil"/>
              <w:bottom w:val="nil"/>
              <w:right w:val="nil"/>
            </w:tcBorders>
            <w:shd w:val="clear" w:color="auto" w:fill="auto"/>
            <w:vAlign w:val="center"/>
            <w:hideMark/>
          </w:tcPr>
          <w:p w:rsidR="00623D68" w:rsidRPr="00E12D3A" w:rsidRDefault="0060103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84 (5.2)</w:t>
            </w:r>
            <w:bookmarkStart w:id="2" w:name="_GoBack"/>
            <w:bookmarkEnd w:id="2"/>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1619" w:type="dxa"/>
            <w:tcBorders>
              <w:top w:val="nil"/>
              <w:left w:val="nil"/>
              <w:bottom w:val="nil"/>
              <w:right w:val="nil"/>
            </w:tcBorders>
            <w:shd w:val="clear" w:color="auto" w:fill="auto"/>
            <w:vAlign w:val="center"/>
            <w:hideMark/>
          </w:tcPr>
          <w:p w:rsidR="00623D68" w:rsidRPr="0041009C"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w:t>
            </w:r>
            <w:r>
              <w:rPr>
                <w:rFonts w:ascii="Arial" w:eastAsia="Times New Roman" w:hAnsi="Arial" w:cs="Arial"/>
                <w:color w:val="000000"/>
                <w:sz w:val="20"/>
                <w:szCs w:val="20"/>
              </w:rPr>
              <w:t>0</w:t>
            </w:r>
            <w:r w:rsidRPr="00E12D3A">
              <w:rPr>
                <w:rFonts w:ascii="Arial" w:eastAsia="Times New Roman" w:hAnsi="Arial" w:cs="Arial"/>
                <w:color w:val="000000"/>
                <w:sz w:val="20"/>
                <w:szCs w:val="20"/>
              </w:rPr>
              <w:t>.</w:t>
            </w:r>
            <w:r>
              <w:rPr>
                <w:rFonts w:ascii="Arial" w:eastAsia="Times New Roman" w:hAnsi="Arial" w:cs="Arial"/>
                <w:color w:val="000000"/>
                <w:sz w:val="20"/>
                <w:szCs w:val="20"/>
              </w:rPr>
              <w:t>6</w:t>
            </w:r>
            <w:r w:rsidRPr="00E12D3A">
              <w:rPr>
                <w:rFonts w:ascii="Arial" w:eastAsia="Times New Roman" w:hAnsi="Arial" w:cs="Arial"/>
                <w:color w:val="000000"/>
                <w:sz w:val="20"/>
                <w:szCs w:val="20"/>
              </w:rPr>
              <w:t xml:space="preserve"> ± 2.9</w:t>
            </w:r>
          </w:p>
        </w:tc>
        <w:tc>
          <w:tcPr>
            <w:tcW w:w="1606"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13.5 </w:t>
            </w:r>
            <w:r w:rsidRPr="00E12D3A">
              <w:rPr>
                <w:rFonts w:ascii="Arial" w:eastAsia="Times New Roman" w:hAnsi="Arial" w:cs="Arial"/>
                <w:color w:val="000000"/>
                <w:sz w:val="20"/>
                <w:szCs w:val="20"/>
              </w:rPr>
              <w:t>± 2.</w:t>
            </w:r>
            <w:r>
              <w:rPr>
                <w:rFonts w:ascii="Arial" w:eastAsia="Times New Roman" w:hAnsi="Arial" w:cs="Arial"/>
                <w:color w:val="000000"/>
                <w:sz w:val="20"/>
                <w:szCs w:val="20"/>
              </w:rPr>
              <w:t>5</w:t>
            </w:r>
          </w:p>
        </w:tc>
        <w:tc>
          <w:tcPr>
            <w:tcW w:w="892" w:type="dxa"/>
            <w:tcBorders>
              <w:top w:val="nil"/>
              <w:left w:val="nil"/>
              <w:bottom w:val="nil"/>
              <w:right w:val="nil"/>
            </w:tcBorders>
            <w:vAlign w:val="center"/>
          </w:tcPr>
          <w:p w:rsidR="00623D68" w:rsidRDefault="00623D68"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623D68" w:rsidRPr="00E12D3A" w:rsidTr="00EC2D7A">
        <w:trPr>
          <w:trHeight w:val="263"/>
        </w:trPr>
        <w:tc>
          <w:tcPr>
            <w:tcW w:w="8036" w:type="dxa"/>
            <w:gridSpan w:val="4"/>
            <w:tcBorders>
              <w:top w:val="nil"/>
              <w:left w:val="nil"/>
              <w:bottom w:val="nil"/>
              <w:right w:val="nil"/>
            </w:tcBorders>
            <w:shd w:val="clear" w:color="auto" w:fill="auto"/>
            <w:hideMark/>
          </w:tcPr>
          <w:p w:rsidR="00623D68" w:rsidRPr="00E12D3A" w:rsidRDefault="00623D68" w:rsidP="00623D68">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 (0.8)</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12 (0.7)</w:t>
            </w:r>
          </w:p>
        </w:tc>
        <w:tc>
          <w:tcPr>
            <w:tcW w:w="892" w:type="dxa"/>
            <w:tcBorders>
              <w:top w:val="nil"/>
              <w:left w:val="nil"/>
              <w:bottom w:val="nil"/>
              <w:right w:val="nil"/>
            </w:tcBorders>
            <w:vAlign w:val="center"/>
          </w:tcPr>
          <w:p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0.73</w:t>
            </w: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583 (99.0)</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1598 (99.2)</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nil"/>
              <w:right w:val="nil"/>
            </w:tcBorders>
            <w:shd w:val="clear" w:color="auto" w:fill="auto"/>
            <w:vAlign w:val="center"/>
            <w:hideMark/>
          </w:tcPr>
          <w:p w:rsidR="00623D68" w:rsidRPr="00E12D3A" w:rsidRDefault="004D32F9" w:rsidP="004D32F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8036" w:type="dxa"/>
            <w:gridSpan w:val="4"/>
            <w:tcBorders>
              <w:top w:val="nil"/>
              <w:left w:val="nil"/>
              <w:bottom w:val="nil"/>
              <w:right w:val="nil"/>
            </w:tcBorders>
            <w:shd w:val="clear" w:color="auto" w:fill="auto"/>
            <w:hideMark/>
          </w:tcPr>
          <w:p w:rsidR="00623D68" w:rsidRPr="00E12D3A" w:rsidRDefault="00601038" w:rsidP="00623D6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623D68" w:rsidRPr="00E12D3A">
              <w:rPr>
                <w:rFonts w:ascii="Arial" w:eastAsia="Times New Roman" w:hAnsi="Arial" w:cs="Arial"/>
                <w:color w:val="000000"/>
                <w:sz w:val="20"/>
                <w:szCs w:val="20"/>
              </w:rPr>
              <w:t>ize of hospital, n (%)</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20 (3.4)</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18 (1.1)</w:t>
            </w:r>
          </w:p>
        </w:tc>
        <w:tc>
          <w:tcPr>
            <w:tcW w:w="892" w:type="dxa"/>
            <w:tcBorders>
              <w:top w:val="nil"/>
              <w:left w:val="nil"/>
              <w:bottom w:val="nil"/>
              <w:right w:val="nil"/>
            </w:tcBorders>
            <w:vAlign w:val="center"/>
          </w:tcPr>
          <w:p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0.002</w:t>
            </w: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67 (11.4)</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162 (10.1)</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501 (85.1)</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1430 (88.8)</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nil"/>
              <w:right w:val="nil"/>
            </w:tcBorders>
            <w:shd w:val="clear" w:color="auto" w:fill="auto"/>
            <w:vAlign w:val="center"/>
            <w:hideMark/>
          </w:tcPr>
          <w:p w:rsidR="00623D68" w:rsidRPr="00E12D3A" w:rsidRDefault="004D32F9" w:rsidP="004D32F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8036" w:type="dxa"/>
            <w:gridSpan w:val="4"/>
            <w:tcBorders>
              <w:top w:val="nil"/>
              <w:left w:val="nil"/>
              <w:bottom w:val="nil"/>
              <w:right w:val="nil"/>
            </w:tcBorders>
            <w:shd w:val="clear" w:color="auto" w:fill="auto"/>
            <w:hideMark/>
          </w:tcPr>
          <w:p w:rsidR="00623D68" w:rsidRPr="00127DD5" w:rsidRDefault="00623D68" w:rsidP="00623D68">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c>
          <w:tcPr>
            <w:tcW w:w="892" w:type="dxa"/>
            <w:tcBorders>
              <w:top w:val="nil"/>
              <w:left w:val="nil"/>
              <w:bottom w:val="nil"/>
              <w:right w:val="nil"/>
            </w:tcBorders>
            <w:vAlign w:val="center"/>
          </w:tcPr>
          <w:p w:rsidR="00623D68" w:rsidRPr="00127DD5"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75 (12.7)</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90 (5.6)</w:t>
            </w:r>
          </w:p>
        </w:tc>
        <w:tc>
          <w:tcPr>
            <w:tcW w:w="892" w:type="dxa"/>
            <w:tcBorders>
              <w:top w:val="nil"/>
              <w:left w:val="nil"/>
              <w:bottom w:val="nil"/>
              <w:right w:val="nil"/>
            </w:tcBorders>
            <w:vAlign w:val="center"/>
          </w:tcPr>
          <w:p w:rsidR="00623D68" w:rsidRPr="00E12D3A" w:rsidRDefault="00B43BFC"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&lt;0.001</w:t>
            </w:r>
          </w:p>
        </w:tc>
      </w:tr>
      <w:tr w:rsidR="00623D68" w:rsidRPr="00E12D3A" w:rsidTr="00EC2D7A">
        <w:trPr>
          <w:trHeight w:val="263"/>
        </w:trPr>
        <w:tc>
          <w:tcPr>
            <w:tcW w:w="3190" w:type="dxa"/>
            <w:tcBorders>
              <w:top w:val="nil"/>
              <w:left w:val="nil"/>
              <w:bottom w:val="nil"/>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1621" w:type="dxa"/>
            <w:tcBorders>
              <w:top w:val="nil"/>
              <w:left w:val="nil"/>
              <w:bottom w:val="nil"/>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1619" w:type="dxa"/>
            <w:tcBorders>
              <w:top w:val="nil"/>
              <w:left w:val="nil"/>
              <w:bottom w:val="nil"/>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513 (87.1)</w:t>
            </w:r>
          </w:p>
        </w:tc>
        <w:tc>
          <w:tcPr>
            <w:tcW w:w="1606" w:type="dxa"/>
            <w:tcBorders>
              <w:top w:val="nil"/>
              <w:left w:val="nil"/>
              <w:bottom w:val="nil"/>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1520 (94.4)</w:t>
            </w:r>
          </w:p>
        </w:tc>
        <w:tc>
          <w:tcPr>
            <w:tcW w:w="892" w:type="dxa"/>
            <w:tcBorders>
              <w:top w:val="nil"/>
              <w:left w:val="nil"/>
              <w:bottom w:val="nil"/>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r w:rsidR="00623D68" w:rsidRPr="00E12D3A" w:rsidTr="00EC2D7A">
        <w:trPr>
          <w:trHeight w:val="263"/>
        </w:trPr>
        <w:tc>
          <w:tcPr>
            <w:tcW w:w="3190" w:type="dxa"/>
            <w:tcBorders>
              <w:top w:val="nil"/>
              <w:left w:val="nil"/>
              <w:bottom w:val="single" w:sz="8" w:space="0" w:color="auto"/>
              <w:right w:val="nil"/>
            </w:tcBorders>
            <w:shd w:val="clear" w:color="auto" w:fill="auto"/>
            <w:vAlign w:val="center"/>
            <w:hideMark/>
          </w:tcPr>
          <w:p w:rsidR="00623D68" w:rsidRPr="00E12D3A" w:rsidRDefault="00623D68" w:rsidP="00623D68">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621" w:type="dxa"/>
            <w:tcBorders>
              <w:top w:val="nil"/>
              <w:left w:val="nil"/>
              <w:bottom w:val="single" w:sz="8" w:space="0" w:color="auto"/>
              <w:right w:val="nil"/>
            </w:tcBorders>
            <w:shd w:val="clear" w:color="auto" w:fill="auto"/>
            <w:vAlign w:val="center"/>
            <w:hideMark/>
          </w:tcPr>
          <w:p w:rsidR="00623D68" w:rsidRPr="00E12D3A" w:rsidRDefault="00623D68" w:rsidP="00623D68">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619" w:type="dxa"/>
            <w:tcBorders>
              <w:top w:val="nil"/>
              <w:left w:val="nil"/>
              <w:bottom w:val="single" w:sz="8" w:space="0" w:color="auto"/>
              <w:right w:val="nil"/>
            </w:tcBorders>
            <w:shd w:val="clear" w:color="auto" w:fill="auto"/>
            <w:vAlign w:val="center"/>
            <w:hideMark/>
          </w:tcPr>
          <w:p w:rsidR="00623D68" w:rsidRPr="00127DD5"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(0.2)</w:t>
            </w:r>
          </w:p>
        </w:tc>
        <w:tc>
          <w:tcPr>
            <w:tcW w:w="1606" w:type="dxa"/>
            <w:tcBorders>
              <w:top w:val="nil"/>
              <w:left w:val="nil"/>
              <w:bottom w:val="single" w:sz="8" w:space="0" w:color="auto"/>
              <w:right w:val="nil"/>
            </w:tcBorders>
            <w:shd w:val="clear" w:color="auto" w:fill="auto"/>
            <w:vAlign w:val="center"/>
            <w:hideMark/>
          </w:tcPr>
          <w:p w:rsidR="00623D68" w:rsidRPr="00E12D3A" w:rsidRDefault="004D32F9" w:rsidP="00623D6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 (0.1)</w:t>
            </w:r>
          </w:p>
        </w:tc>
        <w:tc>
          <w:tcPr>
            <w:tcW w:w="892" w:type="dxa"/>
            <w:tcBorders>
              <w:top w:val="nil"/>
              <w:left w:val="nil"/>
              <w:bottom w:val="single" w:sz="8" w:space="0" w:color="auto"/>
              <w:right w:val="nil"/>
            </w:tcBorders>
            <w:vAlign w:val="center"/>
          </w:tcPr>
          <w:p w:rsidR="00623D68" w:rsidRPr="00E12D3A" w:rsidRDefault="00623D68" w:rsidP="00623D68">
            <w:pPr>
              <w:spacing w:after="0" w:line="240" w:lineRule="auto"/>
              <w:jc w:val="center"/>
              <w:rPr>
                <w:rFonts w:ascii="Arial" w:eastAsia="Times New Roman" w:hAnsi="Arial" w:cs="Arial"/>
                <w:color w:val="000000"/>
                <w:sz w:val="20"/>
                <w:szCs w:val="20"/>
              </w:rPr>
            </w:pPr>
          </w:p>
        </w:tc>
      </w:tr>
    </w:tbl>
    <w:p w:rsidR="00983D66" w:rsidRPr="00DD315E" w:rsidRDefault="00DD315E" w:rsidP="00983D66">
      <w:proofErr w:type="spellStart"/>
      <w:r>
        <w:rPr>
          <w:vertAlign w:val="superscript"/>
        </w:rPr>
        <w:t>a</w:t>
      </w:r>
      <w:r>
        <w:t>Pairwise</w:t>
      </w:r>
      <w:proofErr w:type="spellEnd"/>
      <w:r>
        <w:t xml:space="preserve"> t-test or chi-square test for patients before 2006 and patients 2006 and afterwards.</w:t>
      </w:r>
    </w:p>
    <w:p w:rsidR="00983D66" w:rsidRPr="00FB22B2" w:rsidRDefault="00983D66" w:rsidP="00983D66">
      <w:pPr>
        <w:spacing w:line="360" w:lineRule="auto"/>
        <w:rPr>
          <w:rFonts w:ascii="Times New Roman" w:hAnsi="Times New Roman" w:cs="Times New Roman"/>
          <w:sz w:val="24"/>
          <w:szCs w:val="24"/>
        </w:rPr>
      </w:pPr>
    </w:p>
    <w:p w:rsidR="0097065E" w:rsidRDefault="0097065E" w:rsidP="0097065E"/>
    <w:commentRangeEnd w:id="1"/>
    <w:p w:rsidR="0097065E" w:rsidRDefault="00C807E1" w:rsidP="0097065E">
      <w:r>
        <w:rPr>
          <w:rStyle w:val="CommentReference"/>
        </w:rPr>
        <w:commentReference w:id="1"/>
      </w:r>
    </w:p>
    <w:p w:rsidR="0097065E" w:rsidRDefault="0097065E" w:rsidP="0097065E"/>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036D0E" w:rsidRDefault="00036D0E" w:rsidP="0097065E">
      <w:pPr>
        <w:rPr>
          <w:rFonts w:ascii="Arial" w:eastAsia="Times New Roman" w:hAnsi="Arial" w:cs="Arial"/>
          <w:b/>
          <w:bCs/>
          <w:color w:val="000000"/>
          <w:sz w:val="20"/>
          <w:szCs w:val="20"/>
        </w:rPr>
      </w:pPr>
    </w:p>
    <w:p w:rsidR="00983D66" w:rsidRDefault="00983D66" w:rsidP="0097065E">
      <w:pPr>
        <w:rPr>
          <w:rFonts w:ascii="Arial" w:eastAsia="Times New Roman" w:hAnsi="Arial" w:cs="Arial"/>
          <w:b/>
          <w:bCs/>
          <w:color w:val="000000"/>
          <w:sz w:val="20"/>
          <w:szCs w:val="20"/>
        </w:rPr>
      </w:pPr>
    </w:p>
    <w:p w:rsidR="0097065E" w:rsidRDefault="0097065E" w:rsidP="0097065E">
      <w:pPr>
        <w:rPr>
          <w:rFonts w:ascii="Arial" w:eastAsia="Times New Roman" w:hAnsi="Arial" w:cs="Arial"/>
          <w:color w:val="000000"/>
          <w:sz w:val="20"/>
          <w:szCs w:val="20"/>
        </w:rPr>
      </w:pPr>
      <w:r w:rsidRPr="00081D1A">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w:t>
      </w:r>
      <w:r w:rsidRPr="00081D1A">
        <w:rPr>
          <w:rFonts w:ascii="Arial" w:eastAsia="Times New Roman" w:hAnsi="Arial" w:cs="Arial"/>
          <w:color w:val="000000"/>
          <w:sz w:val="20"/>
          <w:szCs w:val="20"/>
        </w:rPr>
        <w:t xml:space="preserve">Complications in hospitalized patients with or without same-admission </w:t>
      </w:r>
      <w:r>
        <w:rPr>
          <w:rFonts w:ascii="Arial" w:hAnsi="Arial"/>
          <w:sz w:val="20"/>
        </w:rPr>
        <w:t>Orthotopic</w:t>
      </w:r>
      <w:r w:rsidRPr="00081D1A">
        <w:rPr>
          <w:rFonts w:ascii="Arial" w:eastAsia="Times New Roman" w:hAnsi="Arial" w:cs="Arial"/>
          <w:color w:val="000000"/>
          <w:sz w:val="20"/>
          <w:szCs w:val="20"/>
        </w:rPr>
        <w:t>Heart Transplant (OHT) after Left Ventricular Assist Device (LVAD)</w:t>
      </w:r>
    </w:p>
    <w:p w:rsidR="0097065E" w:rsidRDefault="0097065E" w:rsidP="0097065E"/>
    <w:tbl>
      <w:tblPr>
        <w:tblW w:w="8947" w:type="dxa"/>
        <w:tblLook w:val="04A0"/>
      </w:tblPr>
      <w:tblGrid>
        <w:gridCol w:w="2511"/>
        <w:gridCol w:w="1600"/>
        <w:gridCol w:w="1474"/>
        <w:gridCol w:w="1474"/>
        <w:gridCol w:w="1888"/>
      </w:tblGrid>
      <w:tr w:rsidR="0097065E" w:rsidRPr="00081D1A" w:rsidTr="00F55D28">
        <w:trPr>
          <w:trHeight w:val="631"/>
        </w:trPr>
        <w:tc>
          <w:tcPr>
            <w:tcW w:w="2511" w:type="dxa"/>
            <w:tcBorders>
              <w:top w:val="nil"/>
              <w:left w:val="nil"/>
              <w:bottom w:val="nil"/>
              <w:right w:val="nil"/>
            </w:tcBorders>
            <w:shd w:val="clear" w:color="auto" w:fill="auto"/>
            <w:vAlign w:val="center"/>
            <w:hideMark/>
          </w:tcPr>
          <w:p w:rsidR="0097065E" w:rsidRPr="00081D1A" w:rsidRDefault="0097065E" w:rsidP="003E0043">
            <w:pPr>
              <w:rPr>
                <w:rFonts w:ascii="Arial" w:eastAsia="Times New Roman" w:hAnsi="Arial" w:cs="Arial"/>
                <w:b/>
                <w:bCs/>
                <w:color w:val="000000"/>
                <w:sz w:val="20"/>
                <w:szCs w:val="20"/>
              </w:rPr>
            </w:pPr>
          </w:p>
        </w:tc>
        <w:tc>
          <w:tcPr>
            <w:tcW w:w="160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p>
        </w:tc>
        <w:tc>
          <w:tcPr>
            <w:tcW w:w="1474" w:type="dxa"/>
            <w:tcBorders>
              <w:top w:val="single" w:sz="8" w:space="0" w:color="auto"/>
              <w:left w:val="nil"/>
              <w:right w:val="nil"/>
            </w:tcBorders>
            <w:vAlign w:val="center"/>
          </w:tcPr>
          <w:p w:rsidR="0097065E" w:rsidRPr="00081D1A" w:rsidRDefault="0097065E" w:rsidP="003E0043">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p>
        </w:tc>
        <w:tc>
          <w:tcPr>
            <w:tcW w:w="1474"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p>
        </w:tc>
        <w:tc>
          <w:tcPr>
            <w:tcW w:w="1888"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b/>
                <w:bCs/>
                <w:color w:val="000000"/>
                <w:sz w:val="20"/>
                <w:szCs w:val="20"/>
              </w:rPr>
            </w:pPr>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p>
        </w:tc>
      </w:tr>
      <w:tr w:rsidR="0097065E" w:rsidRPr="00081D1A" w:rsidTr="00F55D28">
        <w:trPr>
          <w:trHeight w:val="194"/>
        </w:trPr>
        <w:tc>
          <w:tcPr>
            <w:tcW w:w="2511" w:type="dxa"/>
            <w:tcBorders>
              <w:top w:val="single" w:sz="4" w:space="0" w:color="auto"/>
              <w:left w:val="nil"/>
              <w:bottom w:val="nil"/>
              <w:right w:val="nil"/>
            </w:tcBorders>
            <w:shd w:val="clear" w:color="auto" w:fill="auto"/>
            <w:vAlign w:val="center"/>
            <w:hideMark/>
          </w:tcPr>
          <w:p w:rsidR="0097065E" w:rsidRPr="00081D1A" w:rsidRDefault="0097065E" w:rsidP="00C554AD">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renal failure</w:t>
            </w:r>
          </w:p>
        </w:tc>
        <w:tc>
          <w:tcPr>
            <w:tcW w:w="1600"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p>
        </w:tc>
        <w:tc>
          <w:tcPr>
            <w:tcW w:w="1474" w:type="dxa"/>
            <w:tcBorders>
              <w:top w:val="single" w:sz="4" w:space="0" w:color="auto"/>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p>
        </w:tc>
        <w:tc>
          <w:tcPr>
            <w:tcW w:w="1474" w:type="dxa"/>
            <w:tcBorders>
              <w:top w:val="single" w:sz="4" w:space="0" w:color="auto"/>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1051 (47.8)</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Reoperation </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918 (41.7)</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Bleeding requiring transfusion</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respiratory failure</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563 (25.6)</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Sepsis </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252 (11.5)</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Postoperative cardiac complication </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Acute liver failure</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p>
        </w:tc>
      </w:tr>
      <w:tr w:rsidR="0097065E" w:rsidRPr="00081D1A" w:rsidTr="00F55D28">
        <w:trPr>
          <w:trHeight w:val="194"/>
        </w:trPr>
        <w:tc>
          <w:tcPr>
            <w:tcW w:w="2511" w:type="dxa"/>
            <w:tcBorders>
              <w:top w:val="nil"/>
              <w:left w:val="nil"/>
              <w:bottom w:val="nil"/>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Device failure </w:t>
            </w:r>
          </w:p>
        </w:tc>
        <w:tc>
          <w:tcPr>
            <w:tcW w:w="1600"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p>
        </w:tc>
        <w:tc>
          <w:tcPr>
            <w:tcW w:w="1474" w:type="dxa"/>
            <w:tcBorders>
              <w:top w:val="nil"/>
              <w:left w:val="nil"/>
              <w:bottom w:val="nil"/>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p>
        </w:tc>
        <w:tc>
          <w:tcPr>
            <w:tcW w:w="1474"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62 (3.0)</w:t>
            </w:r>
          </w:p>
        </w:tc>
        <w:tc>
          <w:tcPr>
            <w:tcW w:w="1888" w:type="dxa"/>
            <w:tcBorders>
              <w:top w:val="nil"/>
              <w:left w:val="nil"/>
              <w:bottom w:val="nil"/>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66 (3.0)</w:t>
            </w:r>
          </w:p>
        </w:tc>
      </w:tr>
      <w:tr w:rsidR="0097065E" w:rsidRPr="00081D1A" w:rsidTr="00F55D28">
        <w:trPr>
          <w:trHeight w:val="194"/>
        </w:trPr>
        <w:tc>
          <w:tcPr>
            <w:tcW w:w="2511"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rPr>
                <w:rFonts w:ascii="Arial" w:eastAsia="Times New Roman" w:hAnsi="Arial" w:cs="Arial"/>
                <w:color w:val="000000"/>
                <w:sz w:val="20"/>
                <w:szCs w:val="20"/>
              </w:rPr>
            </w:pPr>
            <w:r w:rsidRPr="00081D1A">
              <w:rPr>
                <w:rFonts w:ascii="Arial" w:eastAsia="Times New Roman" w:hAnsi="Arial" w:cs="Arial"/>
                <w:color w:val="000000"/>
                <w:sz w:val="20"/>
                <w:szCs w:val="20"/>
              </w:rPr>
              <w:t xml:space="preserve">Stroke </w:t>
            </w:r>
          </w:p>
        </w:tc>
        <w:tc>
          <w:tcPr>
            <w:tcW w:w="1600"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p>
        </w:tc>
        <w:tc>
          <w:tcPr>
            <w:tcW w:w="1474" w:type="dxa"/>
            <w:tcBorders>
              <w:top w:val="nil"/>
              <w:left w:val="nil"/>
              <w:bottom w:val="single" w:sz="8" w:space="0" w:color="auto"/>
              <w:right w:val="nil"/>
            </w:tcBorders>
            <w:vAlign w:val="center"/>
          </w:tcPr>
          <w:p w:rsidR="0097065E" w:rsidRPr="00081D1A" w:rsidRDefault="0097065E" w:rsidP="003E0043">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p>
        </w:tc>
        <w:tc>
          <w:tcPr>
            <w:tcW w:w="1474"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53 (2.6)</w:t>
            </w:r>
          </w:p>
        </w:tc>
        <w:tc>
          <w:tcPr>
            <w:tcW w:w="1888" w:type="dxa"/>
            <w:tcBorders>
              <w:top w:val="nil"/>
              <w:left w:val="nil"/>
              <w:bottom w:val="single" w:sz="8" w:space="0" w:color="auto"/>
              <w:right w:val="nil"/>
            </w:tcBorders>
            <w:shd w:val="clear" w:color="auto" w:fill="auto"/>
            <w:vAlign w:val="center"/>
            <w:hideMark/>
          </w:tcPr>
          <w:p w:rsidR="0097065E" w:rsidRPr="00081D1A" w:rsidRDefault="0097065E" w:rsidP="003E0043">
            <w:pPr>
              <w:spacing w:after="0" w:line="240" w:lineRule="auto"/>
              <w:jc w:val="center"/>
              <w:rPr>
                <w:rFonts w:ascii="Arial" w:eastAsia="Times New Roman" w:hAnsi="Arial" w:cs="Arial"/>
                <w:color w:val="000000"/>
                <w:sz w:val="20"/>
                <w:szCs w:val="20"/>
              </w:rPr>
            </w:pPr>
            <w:r w:rsidRPr="00081D1A">
              <w:rPr>
                <w:rFonts w:ascii="Arial" w:eastAsia="Times New Roman" w:hAnsi="Arial" w:cs="Arial"/>
                <w:color w:val="000000"/>
                <w:sz w:val="20"/>
                <w:szCs w:val="20"/>
              </w:rPr>
              <w:t>55 (2.5)</w:t>
            </w:r>
          </w:p>
        </w:tc>
      </w:tr>
    </w:tbl>
    <w:p w:rsidR="0097065E" w:rsidRPr="00432763" w:rsidRDefault="0050385E" w:rsidP="0097065E">
      <w:r>
        <w:t xml:space="preserve">*All pairwise comparisons of early vs. late OHT were not statistically significant (p &gt; 0.05). </w:t>
      </w:r>
    </w:p>
    <w:p w:rsidR="00036D0E" w:rsidRDefault="0097065E" w:rsidP="00036D0E">
      <w:pPr>
        <w:rPr>
          <w:rFonts w:ascii="Arial" w:eastAsia="Times New Roman" w:hAnsi="Arial" w:cs="Arial"/>
          <w:color w:val="000000"/>
          <w:sz w:val="20"/>
          <w:szCs w:val="20"/>
        </w:rPr>
      </w:pPr>
      <w:r>
        <w:br w:type="page"/>
      </w:r>
      <w:commentRangeStart w:id="3"/>
      <w:commentRangeStart w:id="4"/>
      <w:r w:rsidR="00036D0E" w:rsidRPr="00081D1A">
        <w:rPr>
          <w:rFonts w:ascii="Arial" w:eastAsia="Times New Roman" w:hAnsi="Arial" w:cs="Arial"/>
          <w:b/>
          <w:bCs/>
          <w:color w:val="000000"/>
          <w:sz w:val="20"/>
          <w:szCs w:val="20"/>
        </w:rPr>
        <w:lastRenderedPageBreak/>
        <w:t xml:space="preserve">Table </w:t>
      </w:r>
      <w:r w:rsidR="00036D0E">
        <w:rPr>
          <w:rFonts w:ascii="Arial" w:eastAsia="Times New Roman" w:hAnsi="Arial" w:cs="Arial"/>
          <w:b/>
          <w:bCs/>
          <w:color w:val="000000"/>
          <w:sz w:val="20"/>
          <w:szCs w:val="20"/>
        </w:rPr>
        <w:t>4</w:t>
      </w:r>
      <w:r w:rsidR="00036D0E" w:rsidRPr="00081D1A">
        <w:rPr>
          <w:rFonts w:ascii="Arial" w:eastAsia="Times New Roman" w:hAnsi="Arial" w:cs="Arial"/>
          <w:b/>
          <w:bCs/>
          <w:color w:val="000000"/>
          <w:sz w:val="20"/>
          <w:szCs w:val="20"/>
        </w:rPr>
        <w:t>.</w:t>
      </w:r>
      <w:r w:rsidR="00036D0E">
        <w:rPr>
          <w:rFonts w:ascii="Arial" w:eastAsia="Times New Roman" w:hAnsi="Arial" w:cs="Arial"/>
          <w:color w:val="000000"/>
          <w:sz w:val="20"/>
          <w:szCs w:val="20"/>
        </w:rPr>
        <w:t>A generalized linear model was created to evaluate post-LVAD OHT mortality.</w:t>
      </w:r>
      <w:r w:rsidR="00EF5783">
        <w:rPr>
          <w:rFonts w:ascii="Arial" w:eastAsia="Times New Roman" w:hAnsi="Arial" w:cs="Arial"/>
          <w:color w:val="000000"/>
          <w:sz w:val="20"/>
          <w:szCs w:val="20"/>
        </w:rPr>
        <w:t>Positive estimates reflect positive association with increased mortality</w:t>
      </w:r>
      <w:r w:rsidR="006F3CAD">
        <w:rPr>
          <w:rFonts w:ascii="Arial" w:eastAsia="Times New Roman" w:hAnsi="Arial" w:cs="Arial"/>
          <w:color w:val="000000"/>
          <w:sz w:val="20"/>
          <w:szCs w:val="20"/>
        </w:rPr>
        <w:t>.</w:t>
      </w:r>
    </w:p>
    <w:p w:rsidR="00036D0E" w:rsidRDefault="00036D0E" w:rsidP="00036D0E"/>
    <w:tbl>
      <w:tblPr>
        <w:tblW w:w="7059" w:type="dxa"/>
        <w:tblLook w:val="04A0"/>
      </w:tblPr>
      <w:tblGrid>
        <w:gridCol w:w="2808"/>
        <w:gridCol w:w="1080"/>
        <w:gridCol w:w="223"/>
        <w:gridCol w:w="1127"/>
        <w:gridCol w:w="347"/>
        <w:gridCol w:w="1474"/>
      </w:tblGrid>
      <w:tr w:rsidR="00036D0E" w:rsidRPr="00081D1A" w:rsidTr="00036D0E">
        <w:trPr>
          <w:trHeight w:val="631"/>
        </w:trPr>
        <w:tc>
          <w:tcPr>
            <w:tcW w:w="2808" w:type="dxa"/>
            <w:tcBorders>
              <w:top w:val="nil"/>
              <w:left w:val="nil"/>
              <w:bottom w:val="nil"/>
              <w:right w:val="nil"/>
            </w:tcBorders>
            <w:shd w:val="clear" w:color="auto" w:fill="auto"/>
            <w:vAlign w:val="center"/>
            <w:hideMark/>
          </w:tcPr>
          <w:p w:rsidR="00036D0E" w:rsidRPr="00081D1A" w:rsidRDefault="00036D0E" w:rsidP="00DE7CA5">
            <w:pPr>
              <w:rPr>
                <w:rFonts w:ascii="Arial" w:eastAsia="Times New Roman" w:hAnsi="Arial" w:cs="Arial"/>
                <w:b/>
                <w:bCs/>
                <w:color w:val="000000"/>
                <w:sz w:val="20"/>
                <w:szCs w:val="20"/>
              </w:rPr>
            </w:pPr>
          </w:p>
        </w:tc>
        <w:tc>
          <w:tcPr>
            <w:tcW w:w="1303" w:type="dxa"/>
            <w:gridSpan w:val="2"/>
            <w:tcBorders>
              <w:top w:val="single" w:sz="8" w:space="0" w:color="auto"/>
              <w:left w:val="nil"/>
              <w:bottom w:val="single" w:sz="4" w:space="0" w:color="000000"/>
              <w:right w:val="nil"/>
            </w:tcBorders>
            <w:shd w:val="clear" w:color="auto" w:fill="auto"/>
            <w:vAlign w:val="center"/>
            <w:hideMark/>
          </w:tcPr>
          <w:p w:rsidR="00036D0E" w:rsidRPr="00081D1A" w:rsidRDefault="00036D0E"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Estimate</w:t>
            </w:r>
          </w:p>
        </w:tc>
        <w:tc>
          <w:tcPr>
            <w:tcW w:w="1474" w:type="dxa"/>
            <w:gridSpan w:val="2"/>
            <w:tcBorders>
              <w:top w:val="single" w:sz="8" w:space="0" w:color="auto"/>
              <w:left w:val="nil"/>
              <w:right w:val="nil"/>
            </w:tcBorders>
            <w:vAlign w:val="center"/>
          </w:tcPr>
          <w:p w:rsidR="00036D0E" w:rsidRPr="00081D1A" w:rsidRDefault="00574311"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Standard </w:t>
            </w:r>
            <w:r w:rsidR="00036D0E">
              <w:rPr>
                <w:rFonts w:ascii="Arial" w:eastAsia="Times New Roman" w:hAnsi="Arial" w:cs="Arial"/>
                <w:b/>
                <w:bCs/>
                <w:color w:val="000000"/>
                <w:sz w:val="20"/>
                <w:szCs w:val="20"/>
              </w:rPr>
              <w:t>Error</w:t>
            </w:r>
          </w:p>
        </w:tc>
        <w:tc>
          <w:tcPr>
            <w:tcW w:w="1474" w:type="dxa"/>
            <w:tcBorders>
              <w:top w:val="single" w:sz="8" w:space="0" w:color="auto"/>
              <w:left w:val="nil"/>
              <w:bottom w:val="single" w:sz="4" w:space="0" w:color="000000"/>
              <w:right w:val="nil"/>
            </w:tcBorders>
            <w:shd w:val="clear" w:color="auto" w:fill="auto"/>
            <w:vAlign w:val="center"/>
            <w:hideMark/>
          </w:tcPr>
          <w:p w:rsidR="00036D0E" w:rsidRPr="00081D1A" w:rsidRDefault="00036D0E"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P-value</w:t>
            </w:r>
          </w:p>
        </w:tc>
      </w:tr>
      <w:tr w:rsidR="00036D0E" w:rsidRPr="00081D1A" w:rsidTr="00574311">
        <w:trPr>
          <w:trHeight w:val="194"/>
        </w:trPr>
        <w:tc>
          <w:tcPr>
            <w:tcW w:w="2808" w:type="dxa"/>
            <w:tcBorders>
              <w:top w:val="single" w:sz="4" w:space="0" w:color="auto"/>
              <w:left w:val="nil"/>
              <w:bottom w:val="nil"/>
              <w:right w:val="nil"/>
            </w:tcBorders>
            <w:shd w:val="clear" w:color="auto" w:fill="auto"/>
            <w:vAlign w:val="center"/>
            <w:hideMark/>
          </w:tcPr>
          <w:p w:rsidR="00036D0E" w:rsidRPr="00081D1A" w:rsidRDefault="00036D0E"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Age</w:t>
            </w:r>
          </w:p>
        </w:tc>
        <w:tc>
          <w:tcPr>
            <w:tcW w:w="1080" w:type="dxa"/>
            <w:tcBorders>
              <w:top w:val="single" w:sz="4" w:space="0" w:color="auto"/>
              <w:left w:val="nil"/>
              <w:bottom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350" w:type="dxa"/>
            <w:gridSpan w:val="2"/>
            <w:tcBorders>
              <w:top w:val="single" w:sz="4" w:space="0" w:color="auto"/>
              <w:left w:val="nil"/>
              <w:bottom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821" w:type="dxa"/>
            <w:gridSpan w:val="2"/>
            <w:tcBorders>
              <w:top w:val="single" w:sz="4" w:space="0" w:color="auto"/>
              <w:left w:val="nil"/>
              <w:bottom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0.158</w:t>
            </w:r>
          </w:p>
        </w:tc>
      </w:tr>
      <w:tr w:rsidR="00036D0E" w:rsidRPr="00081D1A" w:rsidTr="00574311">
        <w:trPr>
          <w:trHeight w:val="194"/>
        </w:trPr>
        <w:tc>
          <w:tcPr>
            <w:tcW w:w="2808" w:type="dxa"/>
            <w:tcBorders>
              <w:top w:val="nil"/>
              <w:left w:val="nil"/>
              <w:bottom w:val="nil"/>
              <w:right w:val="nil"/>
            </w:tcBorders>
            <w:shd w:val="clear" w:color="auto" w:fill="auto"/>
            <w:vAlign w:val="center"/>
            <w:hideMark/>
          </w:tcPr>
          <w:p w:rsidR="00036D0E" w:rsidRPr="00081D1A" w:rsidRDefault="00EF5783"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Female </w:t>
            </w:r>
            <w:r w:rsidR="00036D0E">
              <w:rPr>
                <w:rFonts w:ascii="Arial" w:eastAsia="Times New Roman" w:hAnsi="Arial" w:cs="Arial"/>
                <w:color w:val="000000"/>
                <w:sz w:val="20"/>
                <w:szCs w:val="20"/>
              </w:rPr>
              <w:t>Sex</w:t>
            </w:r>
          </w:p>
        </w:tc>
        <w:tc>
          <w:tcPr>
            <w:tcW w:w="1080" w:type="dxa"/>
            <w:tcBorders>
              <w:top w:val="nil"/>
              <w:left w:val="nil"/>
              <w:bottom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50" w:type="dxa"/>
            <w:gridSpan w:val="2"/>
            <w:tcBorders>
              <w:top w:val="nil"/>
              <w:left w:val="nil"/>
              <w:bottom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0.075</w:t>
            </w:r>
          </w:p>
        </w:tc>
        <w:tc>
          <w:tcPr>
            <w:tcW w:w="1821" w:type="dxa"/>
            <w:gridSpan w:val="2"/>
            <w:tcBorders>
              <w:top w:val="nil"/>
              <w:left w:val="nil"/>
              <w:bottom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0.342</w:t>
            </w:r>
          </w:p>
        </w:tc>
      </w:tr>
      <w:tr w:rsidR="00036D0E" w:rsidRPr="00081D1A" w:rsidTr="00574311">
        <w:trPr>
          <w:trHeight w:val="194"/>
        </w:trPr>
        <w:tc>
          <w:tcPr>
            <w:tcW w:w="2808" w:type="dxa"/>
            <w:tcBorders>
              <w:top w:val="nil"/>
              <w:left w:val="nil"/>
              <w:bottom w:val="nil"/>
              <w:right w:val="nil"/>
            </w:tcBorders>
            <w:shd w:val="clear" w:color="auto" w:fill="auto"/>
            <w:vAlign w:val="center"/>
            <w:hideMark/>
          </w:tcPr>
          <w:p w:rsidR="00036D0E" w:rsidRPr="00081D1A" w:rsidRDefault="00EF5783"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Caucasian </w:t>
            </w:r>
            <w:r w:rsidR="00036D0E">
              <w:rPr>
                <w:rFonts w:ascii="Arial" w:eastAsia="Times New Roman" w:hAnsi="Arial" w:cs="Arial"/>
                <w:color w:val="000000"/>
                <w:sz w:val="20"/>
                <w:szCs w:val="20"/>
              </w:rPr>
              <w:t>Race</w:t>
            </w:r>
          </w:p>
        </w:tc>
        <w:tc>
          <w:tcPr>
            <w:tcW w:w="1080" w:type="dxa"/>
            <w:tcBorders>
              <w:top w:val="nil"/>
              <w:left w:val="nil"/>
              <w:bottom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-0.010 </w:t>
            </w:r>
          </w:p>
        </w:tc>
        <w:tc>
          <w:tcPr>
            <w:tcW w:w="1350" w:type="dxa"/>
            <w:gridSpan w:val="2"/>
            <w:tcBorders>
              <w:top w:val="nil"/>
              <w:left w:val="nil"/>
              <w:bottom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c>
          <w:tcPr>
            <w:tcW w:w="1821" w:type="dxa"/>
            <w:gridSpan w:val="2"/>
            <w:tcBorders>
              <w:top w:val="nil"/>
              <w:left w:val="nil"/>
              <w:bottom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0.695</w:t>
            </w:r>
          </w:p>
        </w:tc>
      </w:tr>
      <w:tr w:rsidR="00036D0E" w:rsidRPr="00081D1A" w:rsidTr="00574311">
        <w:trPr>
          <w:trHeight w:val="194"/>
        </w:trPr>
        <w:tc>
          <w:tcPr>
            <w:tcW w:w="2808" w:type="dxa"/>
            <w:tcBorders>
              <w:top w:val="nil"/>
              <w:left w:val="nil"/>
              <w:bottom w:val="nil"/>
              <w:right w:val="nil"/>
            </w:tcBorders>
            <w:shd w:val="clear" w:color="auto" w:fill="auto"/>
            <w:vAlign w:val="center"/>
            <w:hideMark/>
          </w:tcPr>
          <w:p w:rsidR="00036D0E" w:rsidRPr="00081D1A" w:rsidRDefault="00036D0E"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Median Household Income</w:t>
            </w:r>
          </w:p>
        </w:tc>
        <w:tc>
          <w:tcPr>
            <w:tcW w:w="1080" w:type="dxa"/>
            <w:tcBorders>
              <w:top w:val="nil"/>
              <w:left w:val="nil"/>
              <w:bottom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350" w:type="dxa"/>
            <w:gridSpan w:val="2"/>
            <w:tcBorders>
              <w:top w:val="nil"/>
              <w:left w:val="nil"/>
              <w:bottom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c>
          <w:tcPr>
            <w:tcW w:w="1821" w:type="dxa"/>
            <w:gridSpan w:val="2"/>
            <w:tcBorders>
              <w:top w:val="nil"/>
              <w:left w:val="nil"/>
              <w:bottom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0.638</w:t>
            </w:r>
          </w:p>
        </w:tc>
      </w:tr>
      <w:tr w:rsidR="00036D0E" w:rsidRPr="00081D1A" w:rsidTr="00574311">
        <w:trPr>
          <w:trHeight w:val="194"/>
        </w:trPr>
        <w:tc>
          <w:tcPr>
            <w:tcW w:w="2808" w:type="dxa"/>
            <w:tcBorders>
              <w:top w:val="nil"/>
              <w:left w:val="nil"/>
              <w:bottom w:val="nil"/>
              <w:right w:val="nil"/>
            </w:tcBorders>
            <w:shd w:val="clear" w:color="auto" w:fill="auto"/>
            <w:vAlign w:val="center"/>
            <w:hideMark/>
          </w:tcPr>
          <w:p w:rsidR="00036D0E" w:rsidRPr="00081D1A" w:rsidRDefault="00036D0E"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Number of Comorbidities</w:t>
            </w:r>
          </w:p>
        </w:tc>
        <w:tc>
          <w:tcPr>
            <w:tcW w:w="1080" w:type="dxa"/>
            <w:tcBorders>
              <w:top w:val="nil"/>
              <w:left w:val="nil"/>
              <w:bottom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0.006</w:t>
            </w:r>
          </w:p>
        </w:tc>
        <w:tc>
          <w:tcPr>
            <w:tcW w:w="1350" w:type="dxa"/>
            <w:gridSpan w:val="2"/>
            <w:tcBorders>
              <w:top w:val="nil"/>
              <w:left w:val="nil"/>
              <w:bottom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0.010</w:t>
            </w:r>
          </w:p>
        </w:tc>
        <w:tc>
          <w:tcPr>
            <w:tcW w:w="1821" w:type="dxa"/>
            <w:gridSpan w:val="2"/>
            <w:tcBorders>
              <w:top w:val="nil"/>
              <w:left w:val="nil"/>
              <w:bottom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0.518</w:t>
            </w:r>
          </w:p>
        </w:tc>
      </w:tr>
      <w:tr w:rsidR="00036D0E" w:rsidRPr="00081D1A" w:rsidTr="00574311">
        <w:trPr>
          <w:trHeight w:val="194"/>
        </w:trPr>
        <w:tc>
          <w:tcPr>
            <w:tcW w:w="2808" w:type="dxa"/>
            <w:tcBorders>
              <w:top w:val="nil"/>
              <w:left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Before 2006 </w:t>
            </w:r>
          </w:p>
        </w:tc>
        <w:tc>
          <w:tcPr>
            <w:tcW w:w="1080" w:type="dxa"/>
            <w:tcBorders>
              <w:top w:val="nil"/>
              <w:left w:val="nil"/>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350" w:type="dxa"/>
            <w:gridSpan w:val="2"/>
            <w:tcBorders>
              <w:top w:val="nil"/>
              <w:left w:val="nil"/>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0.060</w:t>
            </w:r>
          </w:p>
        </w:tc>
        <w:tc>
          <w:tcPr>
            <w:tcW w:w="1821" w:type="dxa"/>
            <w:gridSpan w:val="2"/>
            <w:tcBorders>
              <w:top w:val="nil"/>
              <w:left w:val="nil"/>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0.113</w:t>
            </w:r>
          </w:p>
        </w:tc>
      </w:tr>
      <w:tr w:rsidR="00036D0E" w:rsidRPr="00081D1A" w:rsidTr="00574311">
        <w:trPr>
          <w:trHeight w:val="194"/>
        </w:trPr>
        <w:tc>
          <w:tcPr>
            <w:tcW w:w="2808" w:type="dxa"/>
            <w:tcBorders>
              <w:top w:val="nil"/>
              <w:left w:val="nil"/>
              <w:bottom w:val="single" w:sz="4" w:space="0" w:color="auto"/>
              <w:right w:val="nil"/>
            </w:tcBorders>
            <w:shd w:val="clear" w:color="auto" w:fill="auto"/>
            <w:vAlign w:val="center"/>
            <w:hideMark/>
          </w:tcPr>
          <w:p w:rsidR="00036D0E" w:rsidRPr="00081D1A" w:rsidRDefault="00EF5783"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Early OHT</w:t>
            </w:r>
          </w:p>
        </w:tc>
        <w:tc>
          <w:tcPr>
            <w:tcW w:w="1080" w:type="dxa"/>
            <w:tcBorders>
              <w:top w:val="nil"/>
              <w:left w:val="nil"/>
              <w:bottom w:val="single" w:sz="4" w:space="0" w:color="auto"/>
              <w:right w:val="nil"/>
            </w:tcBorders>
            <w:shd w:val="clear" w:color="auto" w:fill="auto"/>
            <w:vAlign w:val="center"/>
            <w:hideMark/>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0.200</w:t>
            </w:r>
          </w:p>
        </w:tc>
        <w:tc>
          <w:tcPr>
            <w:tcW w:w="1350" w:type="dxa"/>
            <w:gridSpan w:val="2"/>
            <w:tcBorders>
              <w:top w:val="nil"/>
              <w:left w:val="nil"/>
              <w:bottom w:val="single" w:sz="4" w:space="0" w:color="auto"/>
              <w:right w:val="nil"/>
            </w:tcBorders>
            <w:vAlign w:val="center"/>
          </w:tcPr>
          <w:p w:rsidR="00036D0E" w:rsidRPr="00081D1A" w:rsidRDefault="00EF5783" w:rsidP="00EF578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0.067</w:t>
            </w:r>
          </w:p>
        </w:tc>
        <w:tc>
          <w:tcPr>
            <w:tcW w:w="1821" w:type="dxa"/>
            <w:gridSpan w:val="2"/>
            <w:tcBorders>
              <w:top w:val="nil"/>
              <w:left w:val="nil"/>
              <w:bottom w:val="single" w:sz="4" w:space="0" w:color="auto"/>
              <w:right w:val="nil"/>
            </w:tcBorders>
            <w:shd w:val="clear" w:color="auto" w:fill="auto"/>
            <w:vAlign w:val="center"/>
            <w:hideMark/>
          </w:tcPr>
          <w:p w:rsidR="00036D0E" w:rsidRPr="00081D1A" w:rsidRDefault="00EF5783" w:rsidP="00EF578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0.004*</w:t>
            </w:r>
          </w:p>
        </w:tc>
      </w:tr>
    </w:tbl>
    <w:p w:rsidR="00574311" w:rsidRDefault="00EF5783" w:rsidP="00036D0E">
      <w:r>
        <w:t>*p &lt; 0.05</w:t>
      </w:r>
    </w:p>
    <w:p w:rsidR="00574311" w:rsidRDefault="00574311" w:rsidP="00036D0E"/>
    <w:p w:rsidR="00574311" w:rsidRDefault="00574311" w:rsidP="00036D0E"/>
    <w:tbl>
      <w:tblPr>
        <w:tblW w:w="7059" w:type="dxa"/>
        <w:tblLook w:val="04A0"/>
      </w:tblPr>
      <w:tblGrid>
        <w:gridCol w:w="2808"/>
        <w:gridCol w:w="1080"/>
        <w:gridCol w:w="223"/>
        <w:gridCol w:w="1127"/>
        <w:gridCol w:w="347"/>
        <w:gridCol w:w="1474"/>
      </w:tblGrid>
      <w:tr w:rsidR="00574311" w:rsidRPr="00081D1A" w:rsidTr="00DE7CA5">
        <w:trPr>
          <w:trHeight w:val="631"/>
        </w:trPr>
        <w:tc>
          <w:tcPr>
            <w:tcW w:w="2808" w:type="dxa"/>
            <w:tcBorders>
              <w:top w:val="nil"/>
              <w:left w:val="nil"/>
              <w:bottom w:val="nil"/>
              <w:right w:val="nil"/>
            </w:tcBorders>
            <w:shd w:val="clear" w:color="auto" w:fill="auto"/>
            <w:vAlign w:val="center"/>
            <w:hideMark/>
          </w:tcPr>
          <w:p w:rsidR="00574311" w:rsidRPr="00081D1A" w:rsidRDefault="00574311" w:rsidP="00DE7CA5">
            <w:pPr>
              <w:rPr>
                <w:rFonts w:ascii="Arial" w:eastAsia="Times New Roman" w:hAnsi="Arial" w:cs="Arial"/>
                <w:b/>
                <w:bCs/>
                <w:color w:val="000000"/>
                <w:sz w:val="20"/>
                <w:szCs w:val="20"/>
              </w:rPr>
            </w:pPr>
          </w:p>
        </w:tc>
        <w:tc>
          <w:tcPr>
            <w:tcW w:w="1303" w:type="dxa"/>
            <w:gridSpan w:val="2"/>
            <w:tcBorders>
              <w:top w:val="single" w:sz="8" w:space="0" w:color="auto"/>
              <w:left w:val="nil"/>
              <w:bottom w:val="single" w:sz="4" w:space="0" w:color="000000"/>
              <w:right w:val="nil"/>
            </w:tcBorders>
            <w:shd w:val="clear" w:color="auto" w:fill="auto"/>
            <w:vAlign w:val="center"/>
            <w:hideMark/>
          </w:tcPr>
          <w:p w:rsidR="00574311" w:rsidRPr="00081D1A" w:rsidRDefault="00574311"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Estimate</w:t>
            </w:r>
          </w:p>
        </w:tc>
        <w:tc>
          <w:tcPr>
            <w:tcW w:w="1474" w:type="dxa"/>
            <w:gridSpan w:val="2"/>
            <w:tcBorders>
              <w:top w:val="single" w:sz="8" w:space="0" w:color="auto"/>
              <w:left w:val="nil"/>
              <w:right w:val="nil"/>
            </w:tcBorders>
            <w:vAlign w:val="center"/>
          </w:tcPr>
          <w:p w:rsidR="00574311" w:rsidRPr="00081D1A" w:rsidRDefault="00574311"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Standard Error</w:t>
            </w:r>
          </w:p>
        </w:tc>
        <w:tc>
          <w:tcPr>
            <w:tcW w:w="1474" w:type="dxa"/>
            <w:tcBorders>
              <w:top w:val="single" w:sz="8" w:space="0" w:color="auto"/>
              <w:left w:val="nil"/>
              <w:bottom w:val="single" w:sz="4" w:space="0" w:color="000000"/>
              <w:right w:val="nil"/>
            </w:tcBorders>
            <w:shd w:val="clear" w:color="auto" w:fill="auto"/>
            <w:vAlign w:val="center"/>
            <w:hideMark/>
          </w:tcPr>
          <w:p w:rsidR="00574311" w:rsidRPr="00081D1A" w:rsidRDefault="00574311" w:rsidP="00DE7CA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P-value</w:t>
            </w:r>
          </w:p>
        </w:tc>
      </w:tr>
      <w:tr w:rsidR="00574311" w:rsidRPr="00081D1A" w:rsidTr="00DE7CA5">
        <w:trPr>
          <w:trHeight w:val="194"/>
        </w:trPr>
        <w:tc>
          <w:tcPr>
            <w:tcW w:w="2808" w:type="dxa"/>
            <w:tcBorders>
              <w:top w:val="single" w:sz="4" w:space="0" w:color="auto"/>
              <w:left w:val="nil"/>
              <w:bottom w:val="nil"/>
              <w:right w:val="nil"/>
            </w:tcBorders>
            <w:shd w:val="clear" w:color="auto" w:fill="auto"/>
            <w:vAlign w:val="center"/>
            <w:hideMark/>
          </w:tcPr>
          <w:p w:rsidR="00574311" w:rsidRPr="00081D1A" w:rsidRDefault="00574311"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Age</w:t>
            </w:r>
          </w:p>
        </w:tc>
        <w:tc>
          <w:tcPr>
            <w:tcW w:w="1080" w:type="dxa"/>
            <w:tcBorders>
              <w:top w:val="single" w:sz="4" w:space="0" w:color="auto"/>
              <w:left w:val="nil"/>
              <w:bottom w:val="nil"/>
              <w:right w:val="nil"/>
            </w:tcBorders>
            <w:shd w:val="clear" w:color="auto" w:fill="auto"/>
            <w:vAlign w:val="center"/>
            <w:hideMark/>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w:t>
            </w:r>
          </w:p>
        </w:tc>
        <w:tc>
          <w:tcPr>
            <w:tcW w:w="1350" w:type="dxa"/>
            <w:gridSpan w:val="2"/>
            <w:tcBorders>
              <w:top w:val="single" w:sz="4" w:space="0" w:color="auto"/>
              <w:left w:val="nil"/>
              <w:bottom w:val="nil"/>
              <w:right w:val="nil"/>
            </w:tcBorders>
            <w:vAlign w:val="center"/>
          </w:tcPr>
          <w:p w:rsidR="00574311" w:rsidRPr="00081D1A" w:rsidRDefault="00574311" w:rsidP="00DE7CA5">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 xml:space="preserve"> 0.002 </w:t>
            </w:r>
          </w:p>
        </w:tc>
        <w:tc>
          <w:tcPr>
            <w:tcW w:w="1821" w:type="dxa"/>
            <w:gridSpan w:val="2"/>
            <w:tcBorders>
              <w:top w:val="single" w:sz="4" w:space="0" w:color="auto"/>
              <w:left w:val="nil"/>
              <w:bottom w:val="nil"/>
              <w:right w:val="nil"/>
            </w:tcBorders>
            <w:shd w:val="clear" w:color="auto" w:fill="auto"/>
            <w:vAlign w:val="center"/>
            <w:hideMark/>
          </w:tcPr>
          <w:p w:rsidR="00574311" w:rsidRPr="00081D1A" w:rsidRDefault="00574311"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0.035*</w:t>
            </w:r>
          </w:p>
        </w:tc>
      </w:tr>
      <w:tr w:rsidR="00574311" w:rsidRPr="00081D1A" w:rsidTr="00DE7CA5">
        <w:trPr>
          <w:trHeight w:val="194"/>
        </w:trPr>
        <w:tc>
          <w:tcPr>
            <w:tcW w:w="2808" w:type="dxa"/>
            <w:tcBorders>
              <w:top w:val="nil"/>
              <w:left w:val="nil"/>
              <w:bottom w:val="nil"/>
              <w:right w:val="nil"/>
            </w:tcBorders>
            <w:shd w:val="clear" w:color="auto" w:fill="auto"/>
            <w:vAlign w:val="center"/>
            <w:hideMark/>
          </w:tcPr>
          <w:p w:rsidR="00574311" w:rsidRPr="00081D1A" w:rsidRDefault="00574311"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Number of Comorbidities</w:t>
            </w:r>
          </w:p>
        </w:tc>
        <w:tc>
          <w:tcPr>
            <w:tcW w:w="1080" w:type="dxa"/>
            <w:tcBorders>
              <w:top w:val="nil"/>
              <w:left w:val="nil"/>
              <w:bottom w:val="nil"/>
              <w:right w:val="nil"/>
            </w:tcBorders>
            <w:shd w:val="clear" w:color="auto" w:fill="auto"/>
            <w:vAlign w:val="center"/>
            <w:hideMark/>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350" w:type="dxa"/>
            <w:gridSpan w:val="2"/>
            <w:tcBorders>
              <w:top w:val="nil"/>
              <w:left w:val="nil"/>
              <w:bottom w:val="nil"/>
              <w:right w:val="nil"/>
            </w:tcBorders>
            <w:vAlign w:val="center"/>
          </w:tcPr>
          <w:p w:rsidR="00574311" w:rsidRPr="00081D1A" w:rsidRDefault="00574311" w:rsidP="00DE7CA5">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0.010</w:t>
            </w:r>
          </w:p>
        </w:tc>
        <w:tc>
          <w:tcPr>
            <w:tcW w:w="1821" w:type="dxa"/>
            <w:gridSpan w:val="2"/>
            <w:tcBorders>
              <w:top w:val="nil"/>
              <w:left w:val="nil"/>
              <w:bottom w:val="nil"/>
              <w:right w:val="nil"/>
            </w:tcBorders>
            <w:shd w:val="clear" w:color="auto" w:fill="auto"/>
            <w:vAlign w:val="center"/>
            <w:hideMark/>
          </w:tcPr>
          <w:p w:rsidR="00574311" w:rsidRPr="00081D1A" w:rsidRDefault="00574311" w:rsidP="005743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0.726</w:t>
            </w:r>
          </w:p>
        </w:tc>
      </w:tr>
      <w:tr w:rsidR="00574311" w:rsidRPr="00081D1A" w:rsidTr="00DE7CA5">
        <w:trPr>
          <w:trHeight w:val="194"/>
        </w:trPr>
        <w:tc>
          <w:tcPr>
            <w:tcW w:w="2808" w:type="dxa"/>
            <w:tcBorders>
              <w:top w:val="nil"/>
              <w:left w:val="nil"/>
              <w:right w:val="nil"/>
            </w:tcBorders>
            <w:shd w:val="clear" w:color="auto" w:fill="auto"/>
            <w:vAlign w:val="center"/>
            <w:hideMark/>
          </w:tcPr>
          <w:p w:rsidR="00574311" w:rsidRPr="00081D1A" w:rsidRDefault="00574311"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Before 2006 </w:t>
            </w:r>
          </w:p>
        </w:tc>
        <w:tc>
          <w:tcPr>
            <w:tcW w:w="1080" w:type="dxa"/>
            <w:tcBorders>
              <w:top w:val="nil"/>
              <w:left w:val="nil"/>
              <w:right w:val="nil"/>
            </w:tcBorders>
            <w:shd w:val="clear" w:color="auto" w:fill="auto"/>
            <w:vAlign w:val="center"/>
            <w:hideMark/>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w:t>
            </w:r>
          </w:p>
        </w:tc>
        <w:tc>
          <w:tcPr>
            <w:tcW w:w="1350" w:type="dxa"/>
            <w:gridSpan w:val="2"/>
            <w:tcBorders>
              <w:top w:val="nil"/>
              <w:left w:val="nil"/>
              <w:right w:val="nil"/>
            </w:tcBorders>
            <w:vAlign w:val="center"/>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0.061</w:t>
            </w:r>
          </w:p>
        </w:tc>
        <w:tc>
          <w:tcPr>
            <w:tcW w:w="1821" w:type="dxa"/>
            <w:gridSpan w:val="2"/>
            <w:tcBorders>
              <w:top w:val="nil"/>
              <w:left w:val="nil"/>
              <w:right w:val="nil"/>
            </w:tcBorders>
            <w:shd w:val="clear" w:color="auto" w:fill="auto"/>
            <w:vAlign w:val="center"/>
            <w:hideMark/>
          </w:tcPr>
          <w:p w:rsidR="00574311" w:rsidRPr="00081D1A" w:rsidRDefault="00574311" w:rsidP="005743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0.134</w:t>
            </w:r>
          </w:p>
        </w:tc>
      </w:tr>
      <w:tr w:rsidR="00574311" w:rsidRPr="00081D1A" w:rsidTr="00DE7CA5">
        <w:trPr>
          <w:trHeight w:val="194"/>
        </w:trPr>
        <w:tc>
          <w:tcPr>
            <w:tcW w:w="2808" w:type="dxa"/>
            <w:tcBorders>
              <w:top w:val="nil"/>
              <w:left w:val="nil"/>
              <w:bottom w:val="single" w:sz="4" w:space="0" w:color="auto"/>
              <w:right w:val="nil"/>
            </w:tcBorders>
            <w:shd w:val="clear" w:color="auto" w:fill="auto"/>
            <w:vAlign w:val="center"/>
            <w:hideMark/>
          </w:tcPr>
          <w:p w:rsidR="00574311" w:rsidRPr="00081D1A" w:rsidRDefault="00574311"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Early OHT</w:t>
            </w:r>
          </w:p>
        </w:tc>
        <w:tc>
          <w:tcPr>
            <w:tcW w:w="1080" w:type="dxa"/>
            <w:tcBorders>
              <w:top w:val="nil"/>
              <w:left w:val="nil"/>
              <w:bottom w:val="single" w:sz="4" w:space="0" w:color="auto"/>
              <w:right w:val="nil"/>
            </w:tcBorders>
            <w:shd w:val="clear" w:color="auto" w:fill="auto"/>
            <w:vAlign w:val="center"/>
            <w:hideMark/>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0.144</w:t>
            </w:r>
          </w:p>
        </w:tc>
        <w:tc>
          <w:tcPr>
            <w:tcW w:w="1350" w:type="dxa"/>
            <w:gridSpan w:val="2"/>
            <w:tcBorders>
              <w:top w:val="nil"/>
              <w:left w:val="nil"/>
              <w:bottom w:val="single" w:sz="4" w:space="0" w:color="auto"/>
              <w:right w:val="nil"/>
            </w:tcBorders>
            <w:vAlign w:val="center"/>
          </w:tcPr>
          <w:p w:rsidR="00574311" w:rsidRPr="00081D1A" w:rsidRDefault="00574311" w:rsidP="00574311">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0.066</w:t>
            </w:r>
          </w:p>
        </w:tc>
        <w:tc>
          <w:tcPr>
            <w:tcW w:w="1821" w:type="dxa"/>
            <w:gridSpan w:val="2"/>
            <w:tcBorders>
              <w:top w:val="nil"/>
              <w:left w:val="nil"/>
              <w:bottom w:val="single" w:sz="4" w:space="0" w:color="auto"/>
              <w:right w:val="nil"/>
            </w:tcBorders>
            <w:shd w:val="clear" w:color="auto" w:fill="auto"/>
            <w:vAlign w:val="center"/>
            <w:hideMark/>
          </w:tcPr>
          <w:p w:rsidR="00574311" w:rsidRPr="00081D1A" w:rsidRDefault="00574311" w:rsidP="005743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0.030*</w:t>
            </w:r>
          </w:p>
        </w:tc>
      </w:tr>
    </w:tbl>
    <w:p w:rsidR="00574311" w:rsidRDefault="00574311" w:rsidP="00574311">
      <w:r>
        <w:t>*p &lt; 0.05</w:t>
      </w:r>
    </w:p>
    <w:p w:rsidR="00036D0E" w:rsidRDefault="00036D0E" w:rsidP="00036D0E">
      <w:r>
        <w:br w:type="page"/>
      </w:r>
    </w:p>
    <w:commentRangeEnd w:id="3"/>
    <w:commentRangeEnd w:id="4"/>
    <w:p w:rsidR="0097065E" w:rsidRDefault="00C807E1" w:rsidP="009E71B2">
      <w:pPr>
        <w:rPr>
          <w:b/>
          <w:u w:val="single"/>
        </w:rPr>
      </w:pPr>
      <w:r>
        <w:rPr>
          <w:rStyle w:val="CommentReference"/>
        </w:rPr>
        <w:lastRenderedPageBreak/>
        <w:commentReference w:id="3"/>
      </w:r>
      <w:r>
        <w:rPr>
          <w:rStyle w:val="CommentReference"/>
        </w:rPr>
        <w:commentReference w:id="4"/>
      </w:r>
      <w:r w:rsidR="0097065E" w:rsidRPr="00081D1A">
        <w:rPr>
          <w:b/>
          <w:u w:val="single"/>
        </w:rPr>
        <w:t xml:space="preserve">SUPPLEMENTARY </w:t>
      </w:r>
      <w:r w:rsidR="006A7A31">
        <w:rPr>
          <w:b/>
          <w:u w:val="single"/>
        </w:rPr>
        <w:t>TABLES</w:t>
      </w:r>
    </w:p>
    <w:p w:rsidR="0097065E" w:rsidRDefault="0097065E" w:rsidP="0097065E">
      <w:pPr>
        <w:rPr>
          <w:b/>
        </w:rPr>
      </w:pPr>
    </w:p>
    <w:p w:rsidR="009E71B2" w:rsidRDefault="009E71B2" w:rsidP="0097065E">
      <w:pPr>
        <w:rPr>
          <w:b/>
        </w:rPr>
      </w:pPr>
    </w:p>
    <w:tbl>
      <w:tblPr>
        <w:tblpPr w:leftFromText="180" w:rightFromText="180" w:vertAnchor="text" w:horzAnchor="margin" w:tblpXSpec="center" w:tblpY="-5327"/>
        <w:tblOverlap w:val="never"/>
        <w:tblW w:w="8626" w:type="dxa"/>
        <w:tblLook w:val="04A0"/>
      </w:tblPr>
      <w:tblGrid>
        <w:gridCol w:w="3431"/>
        <w:gridCol w:w="1731"/>
        <w:gridCol w:w="1731"/>
        <w:gridCol w:w="1733"/>
      </w:tblGrid>
      <w:tr w:rsidR="00FA4C26" w:rsidRPr="00E12D3A" w:rsidTr="00F55D28">
        <w:trPr>
          <w:trHeight w:val="275"/>
        </w:trPr>
        <w:tc>
          <w:tcPr>
            <w:tcW w:w="8626" w:type="dxa"/>
            <w:gridSpan w:val="4"/>
            <w:vMerge w:val="restart"/>
            <w:tcBorders>
              <w:top w:val="nil"/>
              <w:left w:val="nil"/>
              <w:bottom w:val="single" w:sz="8" w:space="0" w:color="000000"/>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 xml:space="preserve">Supplementary </w:t>
            </w:r>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p>
        </w:tc>
      </w:tr>
      <w:tr w:rsidR="00FA4C26" w:rsidRPr="00E12D3A" w:rsidTr="00F55D28">
        <w:trPr>
          <w:trHeight w:val="275"/>
        </w:trPr>
        <w:tc>
          <w:tcPr>
            <w:tcW w:w="8626" w:type="dxa"/>
            <w:gridSpan w:val="4"/>
            <w:vMerge/>
            <w:tcBorders>
              <w:top w:val="nil"/>
              <w:left w:val="nil"/>
              <w:bottom w:val="single" w:sz="8"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rsidTr="009E71B2">
        <w:trPr>
          <w:trHeight w:val="275"/>
        </w:trPr>
        <w:tc>
          <w:tcPr>
            <w:tcW w:w="3431" w:type="dxa"/>
            <w:vMerge w:val="restart"/>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p>
        </w:tc>
        <w:tc>
          <w:tcPr>
            <w:tcW w:w="1731"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p>
        </w:tc>
        <w:tc>
          <w:tcPr>
            <w:tcW w:w="1733" w:type="dxa"/>
            <w:vMerge w:val="restart"/>
            <w:tcBorders>
              <w:top w:val="single" w:sz="8" w:space="0" w:color="auto"/>
              <w:left w:val="nil"/>
              <w:bottom w:val="single" w:sz="4" w:space="0" w:color="000000"/>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b/>
                <w:bCs/>
                <w:color w:val="000000"/>
                <w:sz w:val="20"/>
                <w:szCs w:val="20"/>
              </w:rPr>
            </w:pPr>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p>
        </w:tc>
      </w:tr>
      <w:tr w:rsidR="00FA4C26" w:rsidRPr="00E12D3A" w:rsidTr="009E71B2">
        <w:trPr>
          <w:trHeight w:val="275"/>
        </w:trPr>
        <w:tc>
          <w:tcPr>
            <w:tcW w:w="3431" w:type="dxa"/>
            <w:vMerge/>
            <w:tcBorders>
              <w:top w:val="nil"/>
              <w:left w:val="nil"/>
              <w:bottom w:val="nil"/>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1731"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c>
          <w:tcPr>
            <w:tcW w:w="1733" w:type="dxa"/>
            <w:vMerge/>
            <w:tcBorders>
              <w:top w:val="single" w:sz="8" w:space="0" w:color="auto"/>
              <w:left w:val="nil"/>
              <w:bottom w:val="single" w:sz="4" w:space="0" w:color="000000"/>
              <w:right w:val="nil"/>
            </w:tcBorders>
            <w:vAlign w:val="center"/>
            <w:hideMark/>
          </w:tcPr>
          <w:p w:rsidR="00FA4C26" w:rsidRPr="00E12D3A" w:rsidRDefault="00FA4C26" w:rsidP="00FA4C26">
            <w:pPr>
              <w:spacing w:after="0" w:line="240" w:lineRule="auto"/>
              <w:rPr>
                <w:rFonts w:ascii="Arial" w:eastAsia="Times New Roman" w:hAnsi="Arial" w:cs="Arial"/>
                <w:b/>
                <w:bCs/>
                <w:color w:val="000000"/>
                <w:sz w:val="20"/>
                <w:szCs w:val="20"/>
              </w:rPr>
            </w:pPr>
          </w:p>
        </w:tc>
      </w:tr>
      <w:tr w:rsidR="00FA4C26" w:rsidRPr="00E12D3A" w:rsidTr="009E71B2">
        <w:trPr>
          <w:trHeight w:val="263"/>
        </w:trPr>
        <w:tc>
          <w:tcPr>
            <w:tcW w:w="3431" w:type="dxa"/>
            <w:tcBorders>
              <w:top w:val="single" w:sz="4" w:space="0" w:color="auto"/>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Mortality, n (%)</w:t>
            </w:r>
          </w:p>
        </w:tc>
        <w:tc>
          <w:tcPr>
            <w:tcW w:w="1731" w:type="dxa"/>
            <w:tcBorders>
              <w:top w:val="single" w:sz="4" w:space="0" w:color="auto"/>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590 (26.5) </w:t>
            </w:r>
          </w:p>
        </w:tc>
        <w:tc>
          <w:tcPr>
            <w:tcW w:w="1731" w:type="dxa"/>
            <w:tcBorders>
              <w:top w:val="nil"/>
              <w:left w:val="nil"/>
              <w:bottom w:val="nil"/>
              <w:right w:val="nil"/>
            </w:tcBorders>
            <w:shd w:val="clear" w:color="auto" w:fill="auto"/>
            <w:vAlign w:val="center"/>
            <w:hideMark/>
          </w:tcPr>
          <w:p w:rsidR="00FA4C26" w:rsidRPr="00093E54" w:rsidRDefault="00FA4C26" w:rsidP="00FA4C26">
            <w:pPr>
              <w:spacing w:after="0" w:line="240" w:lineRule="auto"/>
              <w:jc w:val="center"/>
              <w:rPr>
                <w:rFonts w:ascii="Arial" w:eastAsia="Times New Roman" w:hAnsi="Arial" w:cs="Arial"/>
                <w:b/>
                <w:color w:val="000000"/>
                <w:sz w:val="20"/>
                <w:szCs w:val="20"/>
              </w:rPr>
            </w:pPr>
            <w:r w:rsidRPr="0041009C">
              <w:rPr>
                <w:rFonts w:ascii="Arial" w:eastAsia="Times New Roman" w:hAnsi="Arial" w:cs="Arial"/>
                <w:color w:val="000000"/>
                <w:sz w:val="20"/>
                <w:szCs w:val="20"/>
              </w:rPr>
              <w:t>564(27.3)</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26 (15.9)</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Length of stay, mean ± SD</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40.5  ± 38.9</w:t>
            </w:r>
          </w:p>
        </w:tc>
        <w:tc>
          <w:tcPr>
            <w:tcW w:w="1731" w:type="dxa"/>
            <w:tcBorders>
              <w:top w:val="nil"/>
              <w:left w:val="nil"/>
              <w:bottom w:val="nil"/>
              <w:right w:val="nil"/>
            </w:tcBorders>
            <w:shd w:val="clear" w:color="auto" w:fill="auto"/>
            <w:vAlign w:val="center"/>
            <w:hideMark/>
          </w:tcPr>
          <w:p w:rsidR="00FA4C26" w:rsidRPr="00093E54" w:rsidRDefault="00FA4C26" w:rsidP="00FA4C26">
            <w:pPr>
              <w:spacing w:after="0" w:line="240" w:lineRule="auto"/>
              <w:jc w:val="center"/>
              <w:rPr>
                <w:rFonts w:ascii="Arial" w:eastAsia="Times New Roman" w:hAnsi="Arial" w:cs="Arial"/>
                <w:b/>
                <w:color w:val="000000"/>
                <w:sz w:val="20"/>
                <w:szCs w:val="20"/>
              </w:rPr>
            </w:pPr>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82.8 ± 59.3</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Age, mean ± SD</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53.4 ± 13.7</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55.4 ± 13.2</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48.2 ± 13.5</w:t>
            </w:r>
          </w:p>
        </w:tc>
      </w:tr>
      <w:tr w:rsidR="00FA4C26" w:rsidRPr="00E12D3A" w:rsidTr="00F55D28">
        <w:trPr>
          <w:trHeight w:val="263"/>
        </w:trPr>
        <w:tc>
          <w:tcPr>
            <w:tcW w:w="8626" w:type="dxa"/>
            <w:gridSpan w:val="4"/>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Sex,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Male</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1659 (75.4)</w:t>
            </w:r>
          </w:p>
        </w:tc>
        <w:tc>
          <w:tcPr>
            <w:tcW w:w="1731" w:type="dxa"/>
            <w:tcBorders>
              <w:top w:val="nil"/>
              <w:left w:val="nil"/>
              <w:bottom w:val="nil"/>
              <w:right w:val="nil"/>
            </w:tcBorders>
            <w:shd w:val="clear" w:color="auto" w:fill="auto"/>
            <w:vAlign w:val="center"/>
            <w:hideMark/>
          </w:tcPr>
          <w:p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1525 (74.9)</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134 (81.7)</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Female</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541 (24.6)</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511 (25.1)</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 (18.3)</w:t>
            </w:r>
          </w:p>
        </w:tc>
      </w:tr>
      <w:tr w:rsidR="00FA4C26" w:rsidRPr="00E12D3A" w:rsidTr="00F55D28">
        <w:trPr>
          <w:trHeight w:val="141"/>
        </w:trPr>
        <w:tc>
          <w:tcPr>
            <w:tcW w:w="8626"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Race,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White</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1274 (57.9)</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1185 (58.2)</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89 (54.3)</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Black</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352 (16.0)</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330 (16.2)</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 (13.4)</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Hispanic</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142 (6.5)</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125 (6.1)</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(10.4)</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Asian/Pacific Islander</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 (2.2)</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Native American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(0.2)</w:t>
            </w:r>
          </w:p>
        </w:tc>
        <w:tc>
          <w:tcPr>
            <w:tcW w:w="1731" w:type="dxa"/>
            <w:tcBorders>
              <w:top w:val="nil"/>
              <w:left w:val="nil"/>
              <w:bottom w:val="nil"/>
              <w:right w:val="nil"/>
            </w:tcBorders>
            <w:shd w:val="clear" w:color="auto" w:fill="auto"/>
            <w:vAlign w:val="center"/>
            <w:hideMark/>
          </w:tcPr>
          <w:p w:rsidR="00FA4C26" w:rsidRPr="0041009C" w:rsidRDefault="00FA4C26" w:rsidP="00C45788">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 (0.</w:t>
            </w:r>
            <w:r>
              <w:rPr>
                <w:rFonts w:ascii="Arial" w:eastAsia="Times New Roman" w:hAnsi="Arial" w:cs="Arial"/>
                <w:color w:val="000000"/>
                <w:sz w:val="20"/>
                <w:szCs w:val="20"/>
              </w:rPr>
              <w:t>2</w:t>
            </w:r>
            <w:r w:rsidRPr="0041009C">
              <w:rPr>
                <w:rFonts w:ascii="Arial" w:eastAsia="Times New Roman" w:hAnsi="Arial" w:cs="Arial"/>
                <w:color w:val="000000"/>
                <w:sz w:val="20"/>
                <w:szCs w:val="20"/>
              </w:rPr>
              <w:t>)</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proofErr w:type="spellStart"/>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proofErr w:type="spellEnd"/>
            <w:r w:rsidR="00DE7B3F">
              <w:rPr>
                <w:rFonts w:ascii="Arial" w:eastAsia="Times New Roman" w:hAnsi="Arial" w:cs="Arial"/>
                <w:color w:val="000000"/>
                <w:sz w:val="20"/>
                <w:szCs w:val="20"/>
              </w:rPr>
              <w:t xml:space="preserve"> or unknown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376 (17.1)</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347 (17.0)</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29 (17.7)</w:t>
            </w:r>
          </w:p>
        </w:tc>
      </w:tr>
      <w:tr w:rsidR="00FA4C26" w:rsidRPr="00E12D3A" w:rsidTr="00F55D28">
        <w:trPr>
          <w:trHeight w:val="263"/>
        </w:trPr>
        <w:tc>
          <w:tcPr>
            <w:tcW w:w="8626"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Median household income,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$1-24,999</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475 (21.6)</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447 (22.0)</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28 (17.1)</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$25,000-34,999</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491 (22.3)</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454 (22.3)</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37 (22.6)</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$35,000-44,999</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552 (25.1)</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509 (25.0)</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43 (26.2)</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$45,000 or more</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631 (28.7)</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579 (28.4)</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52 (31.7)</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51 (2.3)</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47 (2.3)</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4 (2.4)</w:t>
            </w:r>
          </w:p>
        </w:tc>
      </w:tr>
      <w:tr w:rsidR="00FA4C26" w:rsidRPr="00E12D3A" w:rsidTr="00F55D28">
        <w:trPr>
          <w:trHeight w:val="263"/>
        </w:trPr>
        <w:tc>
          <w:tcPr>
            <w:tcW w:w="8626"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Comorbidities</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Diabetes</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392 (17.8)</w:t>
            </w:r>
          </w:p>
        </w:tc>
        <w:tc>
          <w:tcPr>
            <w:tcW w:w="1731"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373 (18.3)</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 (11.6)</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Hyperlipidemia</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310 (14.1)</w:t>
            </w:r>
          </w:p>
        </w:tc>
        <w:tc>
          <w:tcPr>
            <w:tcW w:w="1731"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297 (14.6)</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13 (7.9)</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Hypertension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301 (13.7)</w:t>
            </w:r>
          </w:p>
        </w:tc>
        <w:tc>
          <w:tcPr>
            <w:tcW w:w="1731"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291 (14.3)</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10 (6.1)</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History of smoking</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144 (6.5)</w:t>
            </w:r>
          </w:p>
        </w:tc>
        <w:tc>
          <w:tcPr>
            <w:tcW w:w="1731"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137 (6.7)</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7 (4.3)</w:t>
            </w:r>
          </w:p>
        </w:tc>
      </w:tr>
      <w:tr w:rsidR="00FA4C26" w:rsidRPr="00E12D3A" w:rsidTr="009E71B2">
        <w:trPr>
          <w:trHeight w:val="263"/>
        </w:trPr>
        <w:tc>
          <w:tcPr>
            <w:tcW w:w="3431" w:type="dxa"/>
            <w:tcBorders>
              <w:top w:val="nil"/>
              <w:left w:val="nil"/>
              <w:bottom w:val="nil"/>
              <w:right w:val="nil"/>
            </w:tcBorders>
            <w:shd w:val="clear" w:color="auto" w:fill="auto"/>
            <w:vAlign w:val="bottom"/>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96 (4.4)</w:t>
            </w:r>
          </w:p>
        </w:tc>
        <w:tc>
          <w:tcPr>
            <w:tcW w:w="1731" w:type="dxa"/>
            <w:tcBorders>
              <w:top w:val="nil"/>
              <w:left w:val="nil"/>
              <w:bottom w:val="nil"/>
              <w:right w:val="nil"/>
            </w:tcBorders>
            <w:shd w:val="clear" w:color="auto" w:fill="auto"/>
            <w:vAlign w:val="center"/>
            <w:hideMark/>
          </w:tcPr>
          <w:p w:rsidR="00FA4C26" w:rsidRPr="00183AE0" w:rsidRDefault="00FA4C26" w:rsidP="00FA4C26">
            <w:pPr>
              <w:spacing w:after="0" w:line="240" w:lineRule="auto"/>
              <w:jc w:val="center"/>
              <w:rPr>
                <w:rFonts w:ascii="Arial" w:eastAsia="Times New Roman" w:hAnsi="Arial" w:cs="Arial"/>
                <w:color w:val="000000"/>
                <w:sz w:val="20"/>
                <w:szCs w:val="20"/>
              </w:rPr>
            </w:pPr>
            <w:r w:rsidRPr="00183AE0">
              <w:rPr>
                <w:rFonts w:ascii="Arial" w:eastAsia="Times New Roman" w:hAnsi="Arial" w:cs="Arial"/>
                <w:color w:val="000000"/>
                <w:sz w:val="20"/>
                <w:szCs w:val="20"/>
              </w:rPr>
              <w:t>96 (4.7)</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Number of comorbid diagnosis, mean ± SD</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12.7 ± 2.9</w:t>
            </w:r>
          </w:p>
        </w:tc>
        <w:tc>
          <w:tcPr>
            <w:tcW w:w="1731" w:type="dxa"/>
            <w:tcBorders>
              <w:top w:val="nil"/>
              <w:left w:val="nil"/>
              <w:bottom w:val="nil"/>
              <w:right w:val="nil"/>
            </w:tcBorders>
            <w:shd w:val="clear" w:color="auto" w:fill="auto"/>
            <w:vAlign w:val="center"/>
            <w:hideMark/>
          </w:tcPr>
          <w:p w:rsidR="00FA4C26" w:rsidRPr="0041009C" w:rsidRDefault="00FA4C26" w:rsidP="00FA4C26">
            <w:pPr>
              <w:spacing w:after="0" w:line="240" w:lineRule="auto"/>
              <w:jc w:val="center"/>
              <w:rPr>
                <w:rFonts w:ascii="Arial" w:eastAsia="Times New Roman" w:hAnsi="Arial" w:cs="Arial"/>
                <w:color w:val="000000"/>
                <w:sz w:val="20"/>
                <w:szCs w:val="20"/>
              </w:rPr>
            </w:pPr>
            <w:r w:rsidRPr="0041009C">
              <w:rPr>
                <w:rFonts w:ascii="Arial" w:eastAsia="Times New Roman" w:hAnsi="Arial" w:cs="Arial"/>
                <w:color w:val="000000"/>
                <w:sz w:val="20"/>
                <w:szCs w:val="20"/>
              </w:rPr>
              <w:t>12.8 ± 2.9</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12.3 ± 3.1</w:t>
            </w:r>
          </w:p>
        </w:tc>
      </w:tr>
      <w:tr w:rsidR="00FA4C26" w:rsidRPr="00E12D3A" w:rsidTr="00F55D28">
        <w:trPr>
          <w:trHeight w:val="263"/>
        </w:trPr>
        <w:tc>
          <w:tcPr>
            <w:tcW w:w="8626" w:type="dxa"/>
            <w:gridSpan w:val="4"/>
            <w:tcBorders>
              <w:top w:val="nil"/>
              <w:left w:val="nil"/>
              <w:bottom w:val="nil"/>
              <w:right w:val="nil"/>
            </w:tcBorders>
            <w:shd w:val="clear" w:color="auto" w:fill="auto"/>
            <w:hideMark/>
          </w:tcPr>
          <w:p w:rsidR="00FA4C26" w:rsidRPr="00E12D3A" w:rsidRDefault="00FA4C26" w:rsidP="00FA4C26">
            <w:pPr>
              <w:spacing w:after="0" w:line="240" w:lineRule="auto"/>
              <w:rPr>
                <w:rFonts w:ascii="Arial" w:eastAsia="Times New Roman" w:hAnsi="Arial" w:cs="Arial"/>
                <w:color w:val="000000"/>
                <w:sz w:val="20"/>
                <w:szCs w:val="20"/>
              </w:rPr>
            </w:pPr>
            <w:r w:rsidRPr="00E12D3A">
              <w:rPr>
                <w:rFonts w:ascii="Arial" w:eastAsia="Times New Roman" w:hAnsi="Arial" w:cs="Arial"/>
                <w:color w:val="000000"/>
                <w:sz w:val="20"/>
                <w:szCs w:val="20"/>
              </w:rPr>
              <w:t>Location of hospital,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Rural</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17 (0.8)</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 (0.8)</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Urban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2181 (99.1)</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2017 (99.1)</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164 (100.0)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55D28">
        <w:trPr>
          <w:trHeight w:val="263"/>
        </w:trPr>
        <w:tc>
          <w:tcPr>
            <w:tcW w:w="8626" w:type="dxa"/>
            <w:gridSpan w:val="4"/>
            <w:tcBorders>
              <w:top w:val="nil"/>
              <w:left w:val="nil"/>
              <w:bottom w:val="nil"/>
              <w:right w:val="nil"/>
            </w:tcBorders>
            <w:shd w:val="clear" w:color="auto" w:fill="auto"/>
            <w:hideMark/>
          </w:tcPr>
          <w:p w:rsidR="00FA4C26" w:rsidRPr="00E12D3A" w:rsidRDefault="003E6A83" w:rsidP="00FA4C2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w:t>
            </w:r>
            <w:r w:rsidR="00FA4C26" w:rsidRPr="00E12D3A">
              <w:rPr>
                <w:rFonts w:ascii="Arial" w:eastAsia="Times New Roman" w:hAnsi="Arial" w:cs="Arial"/>
                <w:color w:val="000000"/>
                <w:sz w:val="20"/>
                <w:szCs w:val="20"/>
              </w:rPr>
              <w:t>ize of hospital,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Small</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38 (1.7)</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32 (1.6)</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6 (3.7)</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Medium</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229 (10.4)</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211 (10.4)</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18 (11.0)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Large</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1931 (87.8)</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1791 (88.0)</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140 (85.4)</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r w:rsidR="00FA4C26" w:rsidRPr="00E12D3A" w:rsidTr="00F55D28">
        <w:trPr>
          <w:trHeight w:val="263"/>
        </w:trPr>
        <w:tc>
          <w:tcPr>
            <w:tcW w:w="8626" w:type="dxa"/>
            <w:gridSpan w:val="4"/>
            <w:tcBorders>
              <w:top w:val="nil"/>
              <w:left w:val="nil"/>
              <w:bottom w:val="nil"/>
              <w:right w:val="nil"/>
            </w:tcBorders>
            <w:shd w:val="clear" w:color="auto" w:fill="auto"/>
            <w:hideMark/>
          </w:tcPr>
          <w:p w:rsidR="00FA4C26" w:rsidRPr="00127DD5" w:rsidRDefault="00FA4C26" w:rsidP="00FA4C26">
            <w:pPr>
              <w:spacing w:after="0" w:line="240" w:lineRule="auto"/>
              <w:rPr>
                <w:rFonts w:ascii="Arial" w:eastAsia="Times New Roman" w:hAnsi="Arial" w:cs="Arial"/>
                <w:color w:val="000000"/>
                <w:sz w:val="20"/>
                <w:szCs w:val="20"/>
              </w:rPr>
            </w:pPr>
            <w:r w:rsidRPr="00127DD5">
              <w:rPr>
                <w:rFonts w:ascii="Arial" w:eastAsia="Times New Roman" w:hAnsi="Arial" w:cs="Arial"/>
                <w:color w:val="000000"/>
                <w:sz w:val="20"/>
                <w:szCs w:val="20"/>
              </w:rPr>
              <w:t>Teaching status of hospital, n (%)</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Nonteaching</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165 (7.5)</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160 (7.9)</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5 (3.0)</w:t>
            </w:r>
          </w:p>
        </w:tc>
      </w:tr>
      <w:tr w:rsidR="00FA4C26" w:rsidRPr="00E12D3A" w:rsidTr="009E71B2">
        <w:trPr>
          <w:trHeight w:val="263"/>
        </w:trPr>
        <w:tc>
          <w:tcPr>
            <w:tcW w:w="34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ind w:firstLineChars="100" w:firstLine="200"/>
              <w:rPr>
                <w:rFonts w:ascii="Arial" w:eastAsia="Times New Roman" w:hAnsi="Arial" w:cs="Arial"/>
                <w:color w:val="000000"/>
                <w:sz w:val="20"/>
                <w:szCs w:val="20"/>
              </w:rPr>
            </w:pPr>
            <w:r w:rsidRPr="00E12D3A">
              <w:rPr>
                <w:rFonts w:ascii="Arial" w:eastAsia="Times New Roman" w:hAnsi="Arial" w:cs="Arial"/>
                <w:color w:val="000000"/>
                <w:sz w:val="20"/>
                <w:szCs w:val="20"/>
              </w:rPr>
              <w:t>Teaching</w:t>
            </w:r>
          </w:p>
        </w:tc>
        <w:tc>
          <w:tcPr>
            <w:tcW w:w="1731"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2033 (92.4)</w:t>
            </w:r>
          </w:p>
        </w:tc>
        <w:tc>
          <w:tcPr>
            <w:tcW w:w="1731" w:type="dxa"/>
            <w:tcBorders>
              <w:top w:val="nil"/>
              <w:left w:val="nil"/>
              <w:bottom w:val="nil"/>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1874 (92.0)</w:t>
            </w:r>
          </w:p>
        </w:tc>
        <w:tc>
          <w:tcPr>
            <w:tcW w:w="1733" w:type="dxa"/>
            <w:tcBorders>
              <w:top w:val="nil"/>
              <w:left w:val="nil"/>
              <w:bottom w:val="nil"/>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159 (97.0)</w:t>
            </w:r>
          </w:p>
        </w:tc>
      </w:tr>
      <w:tr w:rsidR="00FA4C26" w:rsidRPr="00E12D3A" w:rsidTr="009E71B2">
        <w:trPr>
          <w:trHeight w:val="263"/>
        </w:trPr>
        <w:tc>
          <w:tcPr>
            <w:tcW w:w="3431" w:type="dxa"/>
            <w:tcBorders>
              <w:top w:val="nil"/>
              <w:left w:val="nil"/>
              <w:bottom w:val="single" w:sz="8" w:space="0" w:color="auto"/>
              <w:right w:val="nil"/>
            </w:tcBorders>
            <w:shd w:val="clear" w:color="auto" w:fill="auto"/>
            <w:vAlign w:val="center"/>
            <w:hideMark/>
          </w:tcPr>
          <w:p w:rsidR="00FA4C26" w:rsidRPr="00E12D3A" w:rsidRDefault="00DE7B3F" w:rsidP="00FA4C26">
            <w:pPr>
              <w:spacing w:after="0" w:line="240" w:lineRule="auto"/>
              <w:ind w:firstLineChars="100" w:firstLine="200"/>
              <w:rPr>
                <w:rFonts w:ascii="Arial" w:eastAsia="Times New Roman" w:hAnsi="Arial" w:cs="Arial"/>
                <w:color w:val="000000"/>
                <w:sz w:val="20"/>
                <w:szCs w:val="20"/>
              </w:rPr>
            </w:pPr>
            <w:r>
              <w:rPr>
                <w:rFonts w:ascii="Arial" w:eastAsia="Times New Roman" w:hAnsi="Arial" w:cs="Arial"/>
                <w:color w:val="000000"/>
                <w:sz w:val="20"/>
                <w:szCs w:val="20"/>
              </w:rPr>
              <w:t>Unknown</w:t>
            </w:r>
          </w:p>
        </w:tc>
        <w:tc>
          <w:tcPr>
            <w:tcW w:w="1731" w:type="dxa"/>
            <w:tcBorders>
              <w:top w:val="nil"/>
              <w:left w:val="nil"/>
              <w:bottom w:val="single" w:sz="8" w:space="0" w:color="auto"/>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2 (0.1)</w:t>
            </w:r>
          </w:p>
        </w:tc>
        <w:tc>
          <w:tcPr>
            <w:tcW w:w="1731" w:type="dxa"/>
            <w:tcBorders>
              <w:top w:val="nil"/>
              <w:left w:val="nil"/>
              <w:bottom w:val="single" w:sz="8" w:space="0" w:color="auto"/>
              <w:right w:val="nil"/>
            </w:tcBorders>
            <w:shd w:val="clear" w:color="auto" w:fill="auto"/>
            <w:vAlign w:val="center"/>
            <w:hideMark/>
          </w:tcPr>
          <w:p w:rsidR="00FA4C26" w:rsidRPr="00127DD5" w:rsidRDefault="00FA4C26" w:rsidP="00FA4C26">
            <w:pPr>
              <w:spacing w:after="0" w:line="240" w:lineRule="auto"/>
              <w:jc w:val="center"/>
              <w:rPr>
                <w:rFonts w:ascii="Arial" w:eastAsia="Times New Roman" w:hAnsi="Arial" w:cs="Arial"/>
                <w:color w:val="000000"/>
                <w:sz w:val="20"/>
                <w:szCs w:val="20"/>
              </w:rPr>
            </w:pPr>
            <w:r w:rsidRPr="00127DD5">
              <w:rPr>
                <w:rFonts w:ascii="Arial" w:eastAsia="Times New Roman" w:hAnsi="Arial" w:cs="Arial"/>
                <w:color w:val="000000"/>
                <w:sz w:val="20"/>
                <w:szCs w:val="20"/>
              </w:rPr>
              <w:t>2 (0.1)</w:t>
            </w:r>
          </w:p>
        </w:tc>
        <w:tc>
          <w:tcPr>
            <w:tcW w:w="1733" w:type="dxa"/>
            <w:tcBorders>
              <w:top w:val="nil"/>
              <w:left w:val="nil"/>
              <w:bottom w:val="single" w:sz="8" w:space="0" w:color="auto"/>
              <w:right w:val="nil"/>
            </w:tcBorders>
            <w:shd w:val="clear" w:color="auto" w:fill="auto"/>
            <w:vAlign w:val="center"/>
            <w:hideMark/>
          </w:tcPr>
          <w:p w:rsidR="00FA4C26" w:rsidRPr="00E12D3A" w:rsidRDefault="00FA4C26" w:rsidP="00FA4C26">
            <w:pPr>
              <w:spacing w:after="0" w:line="240" w:lineRule="auto"/>
              <w:jc w:val="center"/>
              <w:rPr>
                <w:rFonts w:ascii="Arial" w:eastAsia="Times New Roman" w:hAnsi="Arial" w:cs="Arial"/>
                <w:color w:val="000000"/>
                <w:sz w:val="20"/>
                <w:szCs w:val="20"/>
              </w:rPr>
            </w:pPr>
            <w:r w:rsidRPr="00E12D3A">
              <w:rPr>
                <w:rFonts w:ascii="Arial" w:eastAsia="Times New Roman" w:hAnsi="Arial" w:cs="Arial"/>
                <w:color w:val="000000"/>
                <w:sz w:val="20"/>
                <w:szCs w:val="20"/>
              </w:rPr>
              <w:t>0 (0.0)</w:t>
            </w:r>
          </w:p>
        </w:tc>
      </w:tr>
    </w:tbl>
    <w:p w:rsidR="0097065E" w:rsidRPr="002C79F8" w:rsidRDefault="0097065E" w:rsidP="0097065E"/>
    <w:p w:rsidR="006E641A" w:rsidRDefault="006E641A" w:rsidP="00C657D5">
      <w:pPr>
        <w:spacing w:line="360" w:lineRule="auto"/>
        <w:rPr>
          <w:rFonts w:ascii="Times New Roman" w:hAnsi="Times New Roman" w:cs="Times New Roman"/>
          <w:sz w:val="24"/>
          <w:szCs w:val="24"/>
        </w:rPr>
      </w:pPr>
    </w:p>
    <w:p w:rsidR="009E71B2" w:rsidRDefault="009E71B2" w:rsidP="00C657D5">
      <w:pPr>
        <w:spacing w:line="360" w:lineRule="auto"/>
        <w:rPr>
          <w:rFonts w:ascii="Times New Roman" w:hAnsi="Times New Roman" w:cs="Times New Roman"/>
          <w:sz w:val="24"/>
          <w:szCs w:val="24"/>
        </w:rPr>
      </w:pPr>
    </w:p>
    <w:p w:rsidR="009E71B2" w:rsidRDefault="009E71B2" w:rsidP="00C657D5">
      <w:pPr>
        <w:spacing w:line="360" w:lineRule="auto"/>
        <w:rPr>
          <w:rFonts w:ascii="Times New Roman" w:hAnsi="Times New Roman" w:cs="Times New Roman"/>
          <w:sz w:val="24"/>
          <w:szCs w:val="24"/>
        </w:rPr>
      </w:pPr>
    </w:p>
    <w:p w:rsidR="009E71B2" w:rsidRDefault="009E71B2" w:rsidP="00C657D5">
      <w:pPr>
        <w:spacing w:line="360" w:lineRule="auto"/>
        <w:rPr>
          <w:rFonts w:ascii="Times New Roman" w:hAnsi="Times New Roman" w:cs="Times New Roman"/>
          <w:sz w:val="24"/>
          <w:szCs w:val="24"/>
        </w:rPr>
      </w:pPr>
    </w:p>
    <w:tbl>
      <w:tblPr>
        <w:tblW w:w="7922" w:type="dxa"/>
        <w:tblLook w:val="04A0"/>
      </w:tblPr>
      <w:tblGrid>
        <w:gridCol w:w="4531"/>
        <w:gridCol w:w="3391"/>
      </w:tblGrid>
      <w:tr w:rsidR="009E71B2" w:rsidRPr="002C79F8" w:rsidTr="00DE7CA5">
        <w:trPr>
          <w:trHeight w:val="240"/>
        </w:trPr>
        <w:tc>
          <w:tcPr>
            <w:tcW w:w="7922" w:type="dxa"/>
            <w:gridSpan w:val="2"/>
            <w:vMerge w:val="restart"/>
            <w:tcBorders>
              <w:top w:val="nil"/>
              <w:left w:val="nil"/>
              <w:bottom w:val="single" w:sz="8" w:space="0" w:color="000000"/>
              <w:right w:val="nil"/>
            </w:tcBorders>
            <w:shd w:val="clear" w:color="auto" w:fill="auto"/>
            <w:vAlign w:val="center"/>
            <w:hideMark/>
          </w:tcPr>
          <w:p w:rsidR="009E71B2" w:rsidRDefault="009E71B2" w:rsidP="00DE7CA5">
            <w:pPr>
              <w:spacing w:after="0" w:line="240" w:lineRule="auto"/>
              <w:rPr>
                <w:rFonts w:ascii="Arial" w:eastAsia="Times New Roman" w:hAnsi="Arial" w:cs="Arial"/>
                <w:b/>
                <w:bCs/>
                <w:color w:val="000000"/>
                <w:sz w:val="20"/>
                <w:szCs w:val="20"/>
              </w:rPr>
            </w:pPr>
          </w:p>
          <w:p w:rsidR="009E71B2" w:rsidRDefault="009E71B2" w:rsidP="00DE7CA5">
            <w:pPr>
              <w:spacing w:after="0" w:line="240" w:lineRule="auto"/>
              <w:rPr>
                <w:rFonts w:ascii="Arial" w:eastAsia="Times New Roman" w:hAnsi="Arial" w:cs="Arial"/>
                <w:b/>
                <w:bCs/>
                <w:color w:val="000000"/>
                <w:sz w:val="20"/>
                <w:szCs w:val="20"/>
              </w:rPr>
            </w:pPr>
          </w:p>
          <w:p w:rsidR="009E71B2" w:rsidRPr="002C79F8" w:rsidRDefault="009E71B2" w:rsidP="009E71B2">
            <w:pPr>
              <w:spacing w:after="0" w:line="240" w:lineRule="auto"/>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 xml:space="preserve">Supplementary 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Pr>
                <w:rFonts w:ascii="Arial" w:eastAsia="Times New Roman" w:hAnsi="Arial" w:cs="Arial"/>
                <w:color w:val="000000"/>
                <w:sz w:val="20"/>
                <w:szCs w:val="20"/>
              </w:rPr>
              <w:t>ICD9 codes</w:t>
            </w:r>
            <w:r w:rsidRPr="002C79F8">
              <w:rPr>
                <w:rFonts w:ascii="Arial" w:eastAsia="Times New Roman" w:hAnsi="Arial" w:cs="Arial"/>
                <w:color w:val="000000"/>
                <w:sz w:val="20"/>
                <w:szCs w:val="20"/>
              </w:rPr>
              <w:t xml:space="preserve"> of diagnosis and procedures </w:t>
            </w:r>
          </w:p>
        </w:tc>
      </w:tr>
      <w:tr w:rsidR="009E71B2" w:rsidRPr="002C79F8" w:rsidTr="00DE7CA5">
        <w:trPr>
          <w:trHeight w:val="240"/>
        </w:trPr>
        <w:tc>
          <w:tcPr>
            <w:tcW w:w="7922" w:type="dxa"/>
            <w:gridSpan w:val="2"/>
            <w:vMerge/>
            <w:tcBorders>
              <w:top w:val="nil"/>
              <w:left w:val="nil"/>
              <w:bottom w:val="single" w:sz="8" w:space="0" w:color="000000"/>
              <w:right w:val="nil"/>
            </w:tcBorders>
            <w:vAlign w:val="center"/>
            <w:hideMark/>
          </w:tcPr>
          <w:p w:rsidR="009E71B2" w:rsidRPr="002C79F8" w:rsidRDefault="009E71B2" w:rsidP="00DE7CA5">
            <w:pPr>
              <w:spacing w:after="0" w:line="240" w:lineRule="auto"/>
              <w:rPr>
                <w:rFonts w:ascii="Arial" w:eastAsia="Times New Roman" w:hAnsi="Arial" w:cs="Arial"/>
                <w:b/>
                <w:bCs/>
                <w:color w:val="000000"/>
                <w:sz w:val="20"/>
                <w:szCs w:val="20"/>
              </w:rPr>
            </w:pPr>
          </w:p>
        </w:tc>
      </w:tr>
      <w:tr w:rsidR="009E71B2" w:rsidRPr="002C79F8" w:rsidTr="00DE7CA5">
        <w:trPr>
          <w:trHeight w:val="240"/>
        </w:trPr>
        <w:tc>
          <w:tcPr>
            <w:tcW w:w="4531" w:type="dxa"/>
            <w:vMerge w:val="restart"/>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Diagnosis/Procedure</w:t>
            </w:r>
          </w:p>
        </w:tc>
        <w:tc>
          <w:tcPr>
            <w:tcW w:w="3391" w:type="dxa"/>
            <w:vMerge w:val="restart"/>
            <w:tcBorders>
              <w:top w:val="single" w:sz="8" w:space="0" w:color="auto"/>
              <w:left w:val="nil"/>
              <w:bottom w:val="single" w:sz="4" w:space="0" w:color="000000"/>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b/>
                <w:bCs/>
                <w:color w:val="000000"/>
                <w:sz w:val="20"/>
                <w:szCs w:val="20"/>
              </w:rPr>
            </w:pPr>
            <w:r w:rsidRPr="002C79F8">
              <w:rPr>
                <w:rFonts w:ascii="Arial" w:eastAsia="Times New Roman" w:hAnsi="Arial" w:cs="Arial"/>
                <w:b/>
                <w:bCs/>
                <w:color w:val="000000"/>
                <w:sz w:val="20"/>
                <w:szCs w:val="20"/>
              </w:rPr>
              <w:t>ICD9 Code(s)</w:t>
            </w:r>
          </w:p>
        </w:tc>
      </w:tr>
      <w:tr w:rsidR="009E71B2" w:rsidRPr="002C79F8" w:rsidTr="00DE7CA5">
        <w:trPr>
          <w:trHeight w:val="240"/>
        </w:trPr>
        <w:tc>
          <w:tcPr>
            <w:tcW w:w="4531" w:type="dxa"/>
            <w:vMerge/>
            <w:tcBorders>
              <w:top w:val="nil"/>
              <w:left w:val="nil"/>
              <w:bottom w:val="nil"/>
              <w:right w:val="nil"/>
            </w:tcBorders>
            <w:vAlign w:val="center"/>
            <w:hideMark/>
          </w:tcPr>
          <w:p w:rsidR="009E71B2" w:rsidRPr="002C79F8" w:rsidRDefault="009E71B2" w:rsidP="00DE7CA5">
            <w:pPr>
              <w:spacing w:after="0" w:line="240" w:lineRule="auto"/>
              <w:rPr>
                <w:rFonts w:ascii="Arial" w:eastAsia="Times New Roman" w:hAnsi="Arial" w:cs="Arial"/>
                <w:b/>
                <w:bCs/>
                <w:color w:val="000000"/>
                <w:sz w:val="20"/>
                <w:szCs w:val="20"/>
              </w:rPr>
            </w:pPr>
          </w:p>
        </w:tc>
        <w:tc>
          <w:tcPr>
            <w:tcW w:w="3391" w:type="dxa"/>
            <w:vMerge/>
            <w:tcBorders>
              <w:top w:val="single" w:sz="8" w:space="0" w:color="auto"/>
              <w:left w:val="nil"/>
              <w:bottom w:val="single" w:sz="4" w:space="0" w:color="000000"/>
              <w:right w:val="nil"/>
            </w:tcBorders>
            <w:vAlign w:val="center"/>
            <w:hideMark/>
          </w:tcPr>
          <w:p w:rsidR="009E71B2" w:rsidRPr="002C79F8" w:rsidRDefault="009E71B2" w:rsidP="00DE7CA5">
            <w:pPr>
              <w:spacing w:after="0" w:line="240" w:lineRule="auto"/>
              <w:rPr>
                <w:rFonts w:ascii="Arial" w:eastAsia="Times New Roman" w:hAnsi="Arial" w:cs="Arial"/>
                <w:b/>
                <w:bCs/>
                <w:color w:val="000000"/>
                <w:sz w:val="20"/>
                <w:szCs w:val="20"/>
              </w:rPr>
            </w:pPr>
          </w:p>
        </w:tc>
      </w:tr>
      <w:tr w:rsidR="009E71B2" w:rsidRPr="002C79F8" w:rsidTr="00DE7CA5">
        <w:trPr>
          <w:trHeight w:val="219"/>
        </w:trPr>
        <w:tc>
          <w:tcPr>
            <w:tcW w:w="4531" w:type="dxa"/>
            <w:tcBorders>
              <w:top w:val="single" w:sz="4" w:space="0" w:color="auto"/>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Left ventricular assist device</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3766</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Orthotopic</w:t>
            </w:r>
            <w:r w:rsidRPr="002C79F8">
              <w:rPr>
                <w:rFonts w:ascii="Arial" w:eastAsia="Times New Roman" w:hAnsi="Arial" w:cs="Arial"/>
                <w:color w:val="000000"/>
                <w:sz w:val="20"/>
                <w:szCs w:val="20"/>
              </w:rPr>
              <w:t xml:space="preserve"> heart transplant</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3751, 375</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Swan-Ganz catheterization</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8964</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Diabetes</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25000-25099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Disorders of lipoid metabolism</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2720-2729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Hypertension</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4010-4019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History of or current use of tobacco</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V1582, 3051</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27800, 27801</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Reoperation</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3403, 3764, 3479, 341, 3749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Sepsis</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99591, 99592</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respiratory failure </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51881</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Postoperative cardiac complication </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9971, 4294</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Acute renal failure</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5845-5849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Postoperative bleeding</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4513, 4523, 9904, 9905, 9907, 9909</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Stroke</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43491</w:t>
            </w:r>
          </w:p>
        </w:tc>
      </w:tr>
      <w:tr w:rsidR="009E71B2" w:rsidRPr="002C79F8" w:rsidTr="00DE7CA5">
        <w:trPr>
          <w:trHeight w:val="219"/>
        </w:trPr>
        <w:tc>
          <w:tcPr>
            <w:tcW w:w="453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Acute liver failure </w:t>
            </w:r>
          </w:p>
        </w:tc>
        <w:tc>
          <w:tcPr>
            <w:tcW w:w="3391" w:type="dxa"/>
            <w:tcBorders>
              <w:top w:val="nil"/>
              <w:left w:val="nil"/>
              <w:bottom w:val="nil"/>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570</w:t>
            </w:r>
          </w:p>
        </w:tc>
      </w:tr>
      <w:tr w:rsidR="009E71B2" w:rsidRPr="002C79F8" w:rsidTr="00DE7CA5">
        <w:trPr>
          <w:trHeight w:val="219"/>
        </w:trPr>
        <w:tc>
          <w:tcPr>
            <w:tcW w:w="4531" w:type="dxa"/>
            <w:tcBorders>
              <w:top w:val="nil"/>
              <w:left w:val="nil"/>
              <w:bottom w:val="single" w:sz="8" w:space="0" w:color="auto"/>
              <w:right w:val="nil"/>
            </w:tcBorders>
            <w:shd w:val="clear" w:color="auto" w:fill="auto"/>
            <w:vAlign w:val="center"/>
            <w:hideMark/>
          </w:tcPr>
          <w:p w:rsidR="009E71B2" w:rsidRPr="002C79F8" w:rsidRDefault="009E71B2" w:rsidP="00DE7CA5">
            <w:pPr>
              <w:spacing w:after="0" w:line="240" w:lineRule="auto"/>
              <w:rPr>
                <w:rFonts w:ascii="Arial" w:eastAsia="Times New Roman" w:hAnsi="Arial" w:cs="Arial"/>
                <w:color w:val="000000"/>
                <w:sz w:val="20"/>
                <w:szCs w:val="20"/>
              </w:rPr>
            </w:pPr>
            <w:r w:rsidRPr="002C79F8">
              <w:rPr>
                <w:rFonts w:ascii="Arial" w:eastAsia="Times New Roman" w:hAnsi="Arial" w:cs="Arial"/>
                <w:color w:val="000000"/>
                <w:sz w:val="20"/>
                <w:szCs w:val="20"/>
              </w:rPr>
              <w:t xml:space="preserve">Device failure </w:t>
            </w:r>
          </w:p>
        </w:tc>
        <w:tc>
          <w:tcPr>
            <w:tcW w:w="3391" w:type="dxa"/>
            <w:tcBorders>
              <w:top w:val="nil"/>
              <w:left w:val="nil"/>
              <w:bottom w:val="single" w:sz="8" w:space="0" w:color="auto"/>
              <w:right w:val="nil"/>
            </w:tcBorders>
            <w:shd w:val="clear" w:color="auto" w:fill="auto"/>
            <w:vAlign w:val="center"/>
            <w:hideMark/>
          </w:tcPr>
          <w:p w:rsidR="009E71B2" w:rsidRPr="002C79F8" w:rsidRDefault="009E71B2" w:rsidP="00DE7CA5">
            <w:pPr>
              <w:spacing w:after="0" w:line="240" w:lineRule="auto"/>
              <w:jc w:val="center"/>
              <w:rPr>
                <w:rFonts w:ascii="Arial" w:eastAsia="Times New Roman" w:hAnsi="Arial" w:cs="Arial"/>
                <w:color w:val="000000"/>
                <w:sz w:val="20"/>
                <w:szCs w:val="20"/>
              </w:rPr>
            </w:pPr>
            <w:r w:rsidRPr="002C79F8">
              <w:rPr>
                <w:rFonts w:ascii="Arial" w:eastAsia="Times New Roman" w:hAnsi="Arial" w:cs="Arial"/>
                <w:color w:val="000000"/>
                <w:sz w:val="20"/>
                <w:szCs w:val="20"/>
              </w:rPr>
              <w:t>99609</w:t>
            </w:r>
          </w:p>
        </w:tc>
      </w:tr>
    </w:tbl>
    <w:p w:rsidR="009E71B2" w:rsidRPr="00FB22B2" w:rsidRDefault="009E71B2" w:rsidP="00C657D5">
      <w:pPr>
        <w:spacing w:line="360" w:lineRule="auto"/>
        <w:rPr>
          <w:rFonts w:ascii="Times New Roman" w:hAnsi="Times New Roman" w:cs="Times New Roman"/>
          <w:sz w:val="24"/>
          <w:szCs w:val="24"/>
        </w:rPr>
      </w:pPr>
    </w:p>
    <w:sectPr w:rsidR="009E71B2"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Ouyang" w:date="2016-05-14T11:13:00Z" w:initials="DO">
    <w:p w:rsidR="00DE7CA5" w:rsidRDefault="00DE7CA5">
      <w:pPr>
        <w:pStyle w:val="CommentText"/>
      </w:pPr>
      <w:r>
        <w:rPr>
          <w:rStyle w:val="CommentReference"/>
        </w:rPr>
        <w:annotationRef/>
      </w:r>
      <w:r>
        <w:t>New</w:t>
      </w:r>
    </w:p>
  </w:comment>
  <w:comment w:id="1" w:author="David Ouyang" w:date="2016-05-14T11:15:00Z" w:initials="DO">
    <w:p w:rsidR="00DE7CA5" w:rsidRDefault="00DE7CA5">
      <w:pPr>
        <w:pStyle w:val="CommentText"/>
      </w:pPr>
      <w:r>
        <w:rPr>
          <w:rStyle w:val="CommentReference"/>
        </w:rPr>
        <w:annotationRef/>
      </w:r>
      <w:r>
        <w:t>New</w:t>
      </w:r>
    </w:p>
  </w:comment>
  <w:comment w:id="3" w:author="David Ouyang" w:date="2016-05-14T11:15:00Z" w:initials="DO">
    <w:p w:rsidR="00DE7CA5" w:rsidRDefault="00DE7CA5">
      <w:pPr>
        <w:pStyle w:val="CommentText"/>
      </w:pPr>
      <w:r>
        <w:rPr>
          <w:rStyle w:val="CommentReference"/>
        </w:rPr>
        <w:annotationRef/>
      </w:r>
      <w:proofErr w:type="spellStart"/>
      <w:r>
        <w:t>dsdfsafasdfsafs</w:t>
      </w:r>
      <w:proofErr w:type="spellEnd"/>
    </w:p>
  </w:comment>
  <w:comment w:id="4" w:author="David Ouyang" w:date="2016-05-14T11:14:00Z" w:initials="DO">
    <w:p w:rsidR="00DE7CA5" w:rsidRDefault="00DE7CA5">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307C1" w15:done="0"/>
  <w15:commentEx w15:paraId="4C4D60B0" w15:done="0"/>
  <w15:commentEx w15:paraId="4F831727" w15:done="0"/>
  <w15:commentEx w15:paraId="731C1D7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58AA"/>
    <w:rsid w:val="00031399"/>
    <w:rsid w:val="00036D0E"/>
    <w:rsid w:val="00037CE4"/>
    <w:rsid w:val="000548AD"/>
    <w:rsid w:val="00063233"/>
    <w:rsid w:val="00080D48"/>
    <w:rsid w:val="00082748"/>
    <w:rsid w:val="00094F4B"/>
    <w:rsid w:val="000A7615"/>
    <w:rsid w:val="000C08F4"/>
    <w:rsid w:val="000E1DA3"/>
    <w:rsid w:val="00126DFC"/>
    <w:rsid w:val="00150E55"/>
    <w:rsid w:val="001879CE"/>
    <w:rsid w:val="001B580B"/>
    <w:rsid w:val="001C74E6"/>
    <w:rsid w:val="001D2EB0"/>
    <w:rsid w:val="001F31C5"/>
    <w:rsid w:val="00202BEF"/>
    <w:rsid w:val="0023243F"/>
    <w:rsid w:val="00241249"/>
    <w:rsid w:val="0025051B"/>
    <w:rsid w:val="00261958"/>
    <w:rsid w:val="002840AC"/>
    <w:rsid w:val="0029381B"/>
    <w:rsid w:val="002A3C2B"/>
    <w:rsid w:val="002B2BF0"/>
    <w:rsid w:val="002C36ED"/>
    <w:rsid w:val="002C56BD"/>
    <w:rsid w:val="002C7213"/>
    <w:rsid w:val="002E363E"/>
    <w:rsid w:val="00306657"/>
    <w:rsid w:val="003146A9"/>
    <w:rsid w:val="003351F3"/>
    <w:rsid w:val="00384168"/>
    <w:rsid w:val="003B15BF"/>
    <w:rsid w:val="003B551C"/>
    <w:rsid w:val="003E0043"/>
    <w:rsid w:val="003E6A83"/>
    <w:rsid w:val="00401F27"/>
    <w:rsid w:val="004025CA"/>
    <w:rsid w:val="00404679"/>
    <w:rsid w:val="00413B33"/>
    <w:rsid w:val="00420447"/>
    <w:rsid w:val="0047100F"/>
    <w:rsid w:val="0047164F"/>
    <w:rsid w:val="00471DDD"/>
    <w:rsid w:val="00472161"/>
    <w:rsid w:val="00475CC8"/>
    <w:rsid w:val="00481A78"/>
    <w:rsid w:val="00484AB0"/>
    <w:rsid w:val="004C1D3A"/>
    <w:rsid w:val="004D2A4F"/>
    <w:rsid w:val="004D32F9"/>
    <w:rsid w:val="004E3532"/>
    <w:rsid w:val="004F73E9"/>
    <w:rsid w:val="005024C0"/>
    <w:rsid w:val="0050385E"/>
    <w:rsid w:val="005169C3"/>
    <w:rsid w:val="00523553"/>
    <w:rsid w:val="00526BE8"/>
    <w:rsid w:val="00562A21"/>
    <w:rsid w:val="00574311"/>
    <w:rsid w:val="005925E3"/>
    <w:rsid w:val="00601038"/>
    <w:rsid w:val="00623D68"/>
    <w:rsid w:val="00626FF6"/>
    <w:rsid w:val="00670432"/>
    <w:rsid w:val="00691BEA"/>
    <w:rsid w:val="006A28ED"/>
    <w:rsid w:val="006A7A31"/>
    <w:rsid w:val="006C7F64"/>
    <w:rsid w:val="006E641A"/>
    <w:rsid w:val="006F3CAD"/>
    <w:rsid w:val="00735973"/>
    <w:rsid w:val="007505C4"/>
    <w:rsid w:val="007572BA"/>
    <w:rsid w:val="007573DD"/>
    <w:rsid w:val="0077093C"/>
    <w:rsid w:val="00770A45"/>
    <w:rsid w:val="007866C2"/>
    <w:rsid w:val="00790211"/>
    <w:rsid w:val="008035B7"/>
    <w:rsid w:val="008166A8"/>
    <w:rsid w:val="00825184"/>
    <w:rsid w:val="0084132A"/>
    <w:rsid w:val="008579D6"/>
    <w:rsid w:val="00864FA3"/>
    <w:rsid w:val="00875256"/>
    <w:rsid w:val="008C3377"/>
    <w:rsid w:val="008D5E4A"/>
    <w:rsid w:val="008D7EFD"/>
    <w:rsid w:val="00901344"/>
    <w:rsid w:val="009222BE"/>
    <w:rsid w:val="00941B68"/>
    <w:rsid w:val="00962F9B"/>
    <w:rsid w:val="0097065E"/>
    <w:rsid w:val="009775E8"/>
    <w:rsid w:val="00983D66"/>
    <w:rsid w:val="009E0B22"/>
    <w:rsid w:val="009E71B2"/>
    <w:rsid w:val="009F101A"/>
    <w:rsid w:val="00A21265"/>
    <w:rsid w:val="00A229B2"/>
    <w:rsid w:val="00A40576"/>
    <w:rsid w:val="00A453B9"/>
    <w:rsid w:val="00A53B55"/>
    <w:rsid w:val="00A65EE7"/>
    <w:rsid w:val="00A710A6"/>
    <w:rsid w:val="00A95856"/>
    <w:rsid w:val="00AB2B8E"/>
    <w:rsid w:val="00AF5CEF"/>
    <w:rsid w:val="00AF6C43"/>
    <w:rsid w:val="00B43BFC"/>
    <w:rsid w:val="00B51BCB"/>
    <w:rsid w:val="00B67D89"/>
    <w:rsid w:val="00B83C6E"/>
    <w:rsid w:val="00B90CD0"/>
    <w:rsid w:val="00BA515C"/>
    <w:rsid w:val="00BD2314"/>
    <w:rsid w:val="00BE4AE1"/>
    <w:rsid w:val="00C10538"/>
    <w:rsid w:val="00C23DD4"/>
    <w:rsid w:val="00C2537F"/>
    <w:rsid w:val="00C27524"/>
    <w:rsid w:val="00C45788"/>
    <w:rsid w:val="00C554AD"/>
    <w:rsid w:val="00C657D5"/>
    <w:rsid w:val="00C71C57"/>
    <w:rsid w:val="00C74E8B"/>
    <w:rsid w:val="00C807E1"/>
    <w:rsid w:val="00C8476D"/>
    <w:rsid w:val="00CC6FB6"/>
    <w:rsid w:val="00CE15F8"/>
    <w:rsid w:val="00D0470B"/>
    <w:rsid w:val="00D12DF0"/>
    <w:rsid w:val="00D312B8"/>
    <w:rsid w:val="00D646D3"/>
    <w:rsid w:val="00DA677F"/>
    <w:rsid w:val="00DB18A1"/>
    <w:rsid w:val="00DC26C3"/>
    <w:rsid w:val="00DD1763"/>
    <w:rsid w:val="00DD315E"/>
    <w:rsid w:val="00DD6555"/>
    <w:rsid w:val="00DE0037"/>
    <w:rsid w:val="00DE1472"/>
    <w:rsid w:val="00DE7180"/>
    <w:rsid w:val="00DE7B3F"/>
    <w:rsid w:val="00DE7CA5"/>
    <w:rsid w:val="00E14865"/>
    <w:rsid w:val="00E155BB"/>
    <w:rsid w:val="00E35356"/>
    <w:rsid w:val="00E361EF"/>
    <w:rsid w:val="00E6277E"/>
    <w:rsid w:val="00E637F5"/>
    <w:rsid w:val="00E65733"/>
    <w:rsid w:val="00E728BA"/>
    <w:rsid w:val="00E74594"/>
    <w:rsid w:val="00E767B3"/>
    <w:rsid w:val="00E80430"/>
    <w:rsid w:val="00E804DB"/>
    <w:rsid w:val="00EB56CB"/>
    <w:rsid w:val="00EC2D7A"/>
    <w:rsid w:val="00ED43E8"/>
    <w:rsid w:val="00EE4BAC"/>
    <w:rsid w:val="00EF5783"/>
    <w:rsid w:val="00EF798B"/>
    <w:rsid w:val="00F55D28"/>
    <w:rsid w:val="00F73963"/>
    <w:rsid w:val="00F86176"/>
    <w:rsid w:val="00F87E1C"/>
    <w:rsid w:val="00FA093D"/>
    <w:rsid w:val="00FA4003"/>
    <w:rsid w:val="00FA4C26"/>
    <w:rsid w:val="00FB069F"/>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after="0" w:line="240" w:lineRule="auto"/>
    </w:p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clustered"/>
        <c:ser>
          <c:idx val="0"/>
          <c:order val="0"/>
          <c:spPr>
            <a:solidFill>
              <a:schemeClr val="dk1">
                <a:tint val="88500"/>
              </a:schemeClr>
            </a:solidFill>
            <a:ln>
              <a:noFill/>
            </a:ln>
            <a:effectLst/>
          </c:spPr>
          <c:dPt>
            <c:idx val="4"/>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axId val="177957888"/>
        <c:axId val="210230272"/>
      </c:barChart>
      <c:catAx>
        <c:axId val="17795788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56"/>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30272"/>
        <c:crosses val="autoZero"/>
        <c:auto val="1"/>
        <c:lblAlgn val="ctr"/>
        <c:lblOffset val="100"/>
      </c:catAx>
      <c:valAx>
        <c:axId val="21023027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57888"/>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7724-1C42-4F41-9AC9-31B15D24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21</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21</cp:revision>
  <dcterms:created xsi:type="dcterms:W3CDTF">2016-05-14T15:28:00Z</dcterms:created>
  <dcterms:modified xsi:type="dcterms:W3CDTF">2017-01-03T16:48:00Z</dcterms:modified>
</cp:coreProperties>
</file>