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E5FE4" w14:textId="1EAB733A" w:rsidR="006C7F64" w:rsidRPr="00796959" w:rsidRDefault="00F33799" w:rsidP="00796959">
      <w:pPr>
        <w:rPr>
          <w:rFonts w:ascii="Book Antiqua" w:hAnsi="Book Antiqua" w:cs="Times New Roman"/>
          <w:sz w:val="24"/>
          <w:szCs w:val="24"/>
        </w:rPr>
      </w:pPr>
      <w:r w:rsidRPr="00796959">
        <w:rPr>
          <w:rFonts w:ascii="Book Antiqua" w:hAnsi="Book Antiqua" w:cs="Times New Roman"/>
          <w:sz w:val="24"/>
          <w:szCs w:val="24"/>
        </w:rPr>
        <w:t>Name of Journal: World Journal of Cardiology</w:t>
      </w:r>
      <w:r w:rsidRPr="00796959">
        <w:rPr>
          <w:rFonts w:ascii="Book Antiqua" w:hAnsi="Book Antiqua" w:cs="Times New Roman"/>
          <w:sz w:val="24"/>
          <w:szCs w:val="24"/>
        </w:rPr>
        <w:br/>
        <w:t xml:space="preserve">ESPS Manuscript NO: </w:t>
      </w:r>
      <w:r w:rsidRPr="00796959">
        <w:rPr>
          <w:rFonts w:ascii="Book Antiqua" w:hAnsi="Book Antiqua"/>
          <w:color w:val="000000"/>
          <w:sz w:val="24"/>
          <w:szCs w:val="24"/>
          <w:shd w:val="clear" w:color="auto" w:fill="FFFFFF"/>
        </w:rPr>
        <w:t>03292324</w:t>
      </w:r>
    </w:p>
    <w:p w14:paraId="6BDDEC89" w14:textId="24954587" w:rsidR="00F33799" w:rsidRPr="00796959" w:rsidRDefault="00F33799" w:rsidP="00796959">
      <w:pPr>
        <w:rPr>
          <w:rFonts w:ascii="Book Antiqua" w:hAnsi="Book Antiqua" w:cs="Times New Roman"/>
          <w:sz w:val="24"/>
          <w:szCs w:val="24"/>
        </w:rPr>
      </w:pPr>
      <w:r w:rsidRPr="00796959">
        <w:rPr>
          <w:rFonts w:ascii="Book Antiqua" w:hAnsi="Book Antiqua" w:cs="Times New Roman"/>
          <w:sz w:val="24"/>
          <w:szCs w:val="24"/>
        </w:rPr>
        <w:t>Manuscript Type: Retrospective Cohort Study</w:t>
      </w:r>
    </w:p>
    <w:p w14:paraId="1E336C9C" w14:textId="77777777" w:rsidR="00F33799" w:rsidRPr="00796959" w:rsidRDefault="00F33799" w:rsidP="00796959">
      <w:pPr>
        <w:rPr>
          <w:rFonts w:ascii="Book Antiqua" w:hAnsi="Book Antiqua" w:cs="Times New Roman"/>
          <w:b/>
          <w:sz w:val="24"/>
          <w:szCs w:val="24"/>
        </w:rPr>
      </w:pPr>
    </w:p>
    <w:p w14:paraId="5463EA4E" w14:textId="77777777" w:rsidR="00F33799" w:rsidRPr="00796959" w:rsidRDefault="00F33799" w:rsidP="00796959">
      <w:pPr>
        <w:jc w:val="center"/>
        <w:rPr>
          <w:rFonts w:ascii="Book Antiqua" w:hAnsi="Book Antiqua" w:cs="Times New Roman"/>
          <w:b/>
          <w:sz w:val="24"/>
          <w:szCs w:val="24"/>
        </w:rPr>
      </w:pPr>
    </w:p>
    <w:p w14:paraId="0AA274E4" w14:textId="259AF656" w:rsidR="00F33799" w:rsidRPr="00796959" w:rsidRDefault="006F13F2" w:rsidP="00796959">
      <w:pPr>
        <w:rPr>
          <w:rFonts w:ascii="Book Antiqua" w:hAnsi="Book Antiqua" w:cs="Times New Roman"/>
          <w:b/>
          <w:sz w:val="24"/>
          <w:szCs w:val="24"/>
        </w:rPr>
      </w:pPr>
      <w:r w:rsidRPr="00796959">
        <w:rPr>
          <w:rFonts w:ascii="Book Antiqua" w:hAnsi="Book Antiqua"/>
          <w:b/>
          <w:color w:val="000000"/>
          <w:sz w:val="24"/>
          <w:szCs w:val="24"/>
          <w:shd w:val="clear" w:color="auto" w:fill="FFFFFF"/>
        </w:rPr>
        <w:t>Optimal timing of same-admission orthotopic heart transplantation after left ventricular assist device (LVAD) implantation</w:t>
      </w:r>
      <w:r w:rsidRPr="00796959" w:rsidDel="006F13F2">
        <w:rPr>
          <w:rFonts w:ascii="Book Antiqua" w:hAnsi="Book Antiqua" w:cs="Times New Roman"/>
          <w:b/>
          <w:sz w:val="24"/>
          <w:szCs w:val="24"/>
        </w:rPr>
        <w:t xml:space="preserve"> </w:t>
      </w:r>
    </w:p>
    <w:p w14:paraId="156B0FF2" w14:textId="77777777" w:rsidR="00F33799" w:rsidRPr="00796959" w:rsidRDefault="00F33799" w:rsidP="00796959">
      <w:pPr>
        <w:rPr>
          <w:rFonts w:ascii="Book Antiqua" w:hAnsi="Book Antiqua" w:cs="Times New Roman"/>
          <w:b/>
          <w:sz w:val="24"/>
          <w:szCs w:val="24"/>
        </w:rPr>
      </w:pPr>
    </w:p>
    <w:p w14:paraId="1E586B67" w14:textId="77777777" w:rsidR="00D646D3" w:rsidRPr="00796959" w:rsidRDefault="00D646D3" w:rsidP="00796959">
      <w:pPr>
        <w:rPr>
          <w:rFonts w:ascii="Book Antiqua" w:hAnsi="Book Antiqua" w:cs="Times New Roman"/>
          <w:sz w:val="24"/>
          <w:szCs w:val="24"/>
          <w:vertAlign w:val="superscript"/>
        </w:rPr>
      </w:pPr>
      <w:r w:rsidRPr="00796959">
        <w:rPr>
          <w:rFonts w:ascii="Book Antiqua" w:hAnsi="Book Antiqua" w:cs="Times New Roman"/>
          <w:sz w:val="24"/>
          <w:szCs w:val="24"/>
        </w:rPr>
        <w:t>David Ouyang, MD</w:t>
      </w:r>
      <w:r w:rsidRPr="00796959">
        <w:rPr>
          <w:rFonts w:ascii="Book Antiqua" w:hAnsi="Book Antiqua" w:cs="Times New Roman"/>
          <w:sz w:val="24"/>
          <w:szCs w:val="24"/>
          <w:vertAlign w:val="superscript"/>
        </w:rPr>
        <w:t>1,</w:t>
      </w:r>
      <w:r w:rsidR="00790211" w:rsidRPr="00796959">
        <w:rPr>
          <w:rFonts w:ascii="Book Antiqua" w:hAnsi="Book Antiqua" w:cs="Times New Roman"/>
          <w:sz w:val="24"/>
          <w:szCs w:val="24"/>
          <w:vertAlign w:val="superscript"/>
        </w:rPr>
        <w:t>3</w:t>
      </w:r>
      <w:r w:rsidRPr="00796959">
        <w:rPr>
          <w:rFonts w:ascii="Book Antiqua" w:hAnsi="Book Antiqua" w:cs="Times New Roman"/>
          <w:sz w:val="24"/>
          <w:szCs w:val="24"/>
        </w:rPr>
        <w:t>, Gunsagar Gulati</w:t>
      </w:r>
      <w:r w:rsidRPr="00796959">
        <w:rPr>
          <w:rFonts w:ascii="Book Antiqua" w:hAnsi="Book Antiqua" w:cs="Times New Roman"/>
          <w:sz w:val="24"/>
          <w:szCs w:val="24"/>
          <w:vertAlign w:val="superscript"/>
        </w:rPr>
        <w:t>1,</w:t>
      </w:r>
      <w:r w:rsidR="00790211" w:rsidRPr="00796959">
        <w:rPr>
          <w:rFonts w:ascii="Book Antiqua" w:hAnsi="Book Antiqua" w:cs="Times New Roman"/>
          <w:sz w:val="24"/>
          <w:szCs w:val="24"/>
          <w:vertAlign w:val="superscript"/>
        </w:rPr>
        <w:t>3</w:t>
      </w:r>
      <w:r w:rsidRPr="00796959">
        <w:rPr>
          <w:rFonts w:ascii="Book Antiqua" w:hAnsi="Book Antiqua" w:cs="Times New Roman"/>
          <w:sz w:val="24"/>
          <w:szCs w:val="24"/>
        </w:rPr>
        <w:t xml:space="preserve">, </w:t>
      </w:r>
      <w:r w:rsidR="00790211" w:rsidRPr="00796959">
        <w:rPr>
          <w:rFonts w:ascii="Book Antiqua" w:hAnsi="Book Antiqua" w:cs="Times New Roman"/>
          <w:sz w:val="24"/>
          <w:szCs w:val="24"/>
        </w:rPr>
        <w:t>Richard Ha</w:t>
      </w:r>
      <w:r w:rsidR="00790211" w:rsidRPr="00796959">
        <w:rPr>
          <w:rFonts w:ascii="Book Antiqua" w:hAnsi="Book Antiqua" w:cs="Times New Roman"/>
          <w:sz w:val="24"/>
          <w:szCs w:val="24"/>
          <w:vertAlign w:val="superscript"/>
        </w:rPr>
        <w:t>2</w:t>
      </w:r>
      <w:r w:rsidR="00790211" w:rsidRPr="00796959">
        <w:rPr>
          <w:rFonts w:ascii="Book Antiqua" w:hAnsi="Book Antiqua" w:cs="Times New Roman"/>
          <w:sz w:val="24"/>
          <w:szCs w:val="24"/>
        </w:rPr>
        <w:t xml:space="preserve">, </w:t>
      </w:r>
      <w:r w:rsidRPr="00796959">
        <w:rPr>
          <w:rFonts w:ascii="Book Antiqua" w:hAnsi="Book Antiqua" w:cs="Times New Roman"/>
          <w:sz w:val="24"/>
          <w:szCs w:val="24"/>
        </w:rPr>
        <w:t>Dipanjan Banerjee, MD</w:t>
      </w:r>
      <w:r w:rsidR="00A40576" w:rsidRPr="00796959">
        <w:rPr>
          <w:rFonts w:ascii="Book Antiqua" w:hAnsi="Book Antiqua" w:cs="Times New Roman"/>
          <w:sz w:val="24"/>
          <w:szCs w:val="24"/>
        </w:rPr>
        <w:t xml:space="preserve"> MS</w:t>
      </w:r>
      <w:r w:rsidR="00A40576" w:rsidRPr="00796959">
        <w:rPr>
          <w:rFonts w:ascii="Book Antiqua" w:hAnsi="Book Antiqua" w:cs="Times New Roman"/>
          <w:sz w:val="24"/>
          <w:szCs w:val="24"/>
          <w:vertAlign w:val="superscript"/>
        </w:rPr>
        <w:t>1</w:t>
      </w:r>
    </w:p>
    <w:p w14:paraId="2497796F" w14:textId="77777777" w:rsidR="005A3D6E" w:rsidRPr="00796959" w:rsidRDefault="005A3D6E" w:rsidP="00796959">
      <w:pPr>
        <w:rPr>
          <w:rFonts w:ascii="Book Antiqua" w:hAnsi="Book Antiqua" w:cs="Times New Roman"/>
          <w:sz w:val="24"/>
          <w:szCs w:val="24"/>
        </w:rPr>
      </w:pPr>
    </w:p>
    <w:p w14:paraId="621A4BB3" w14:textId="77777777" w:rsidR="005A3D6E" w:rsidRPr="00796959" w:rsidRDefault="005A3D6E" w:rsidP="00796959">
      <w:pPr>
        <w:rPr>
          <w:rFonts w:ascii="Book Antiqua" w:hAnsi="Book Antiqua" w:cs="Times New Roman"/>
          <w:sz w:val="24"/>
          <w:szCs w:val="24"/>
        </w:rPr>
      </w:pPr>
    </w:p>
    <w:p w14:paraId="411D202A" w14:textId="3B094ADB" w:rsidR="006C7F64" w:rsidRPr="00796959" w:rsidRDefault="00A40576" w:rsidP="00796959">
      <w:pPr>
        <w:rPr>
          <w:rFonts w:ascii="Book Antiqua" w:hAnsi="Book Antiqua" w:cs="Times New Roman"/>
          <w:sz w:val="24"/>
          <w:szCs w:val="24"/>
        </w:rPr>
      </w:pPr>
      <w:r w:rsidRPr="00796959">
        <w:rPr>
          <w:rFonts w:ascii="Book Antiqua" w:hAnsi="Book Antiqua" w:cs="Times New Roman"/>
          <w:sz w:val="24"/>
          <w:szCs w:val="24"/>
        </w:rPr>
        <w:t>1</w:t>
      </w:r>
      <w:r w:rsidR="00D646D3" w:rsidRPr="00796959">
        <w:rPr>
          <w:rFonts w:ascii="Book Antiqua" w:hAnsi="Book Antiqua" w:cs="Times New Roman"/>
          <w:sz w:val="24"/>
          <w:szCs w:val="24"/>
        </w:rPr>
        <w:t>. Stanford University School of Medicine, Stanford, CA 94305, USA.</w:t>
      </w:r>
      <w:r w:rsidR="00D525EC" w:rsidRPr="00796959">
        <w:rPr>
          <w:rFonts w:ascii="Book Antiqua" w:hAnsi="Book Antiqua" w:cs="Times New Roman"/>
          <w:sz w:val="24"/>
          <w:szCs w:val="24"/>
        </w:rPr>
        <w:t xml:space="preserve"> </w:t>
      </w:r>
      <w:r w:rsidR="00790211" w:rsidRPr="00796959">
        <w:rPr>
          <w:rFonts w:ascii="Book Antiqua" w:hAnsi="Book Antiqua" w:cs="Times New Roman"/>
          <w:sz w:val="24"/>
          <w:szCs w:val="24"/>
        </w:rPr>
        <w:t>2.</w:t>
      </w:r>
      <w:r w:rsidR="00D525EC" w:rsidRPr="00796959">
        <w:rPr>
          <w:rFonts w:ascii="Book Antiqua" w:hAnsi="Book Antiqua" w:cs="Times New Roman"/>
          <w:sz w:val="24"/>
          <w:szCs w:val="24"/>
        </w:rPr>
        <w:t xml:space="preserve"> </w:t>
      </w:r>
      <w:r w:rsidR="00790211" w:rsidRPr="00796959">
        <w:rPr>
          <w:rFonts w:ascii="Book Antiqua" w:hAnsi="Book Antiqua" w:cs="Times New Roman"/>
          <w:color w:val="000000"/>
          <w:sz w:val="24"/>
          <w:szCs w:val="24"/>
          <w:shd w:val="clear" w:color="auto" w:fill="FFFFFF"/>
        </w:rPr>
        <w:t>Division of Adult Cardiac Surgery, Department of Cardiothoracic Surgery.</w:t>
      </w:r>
      <w:r w:rsidR="00D525EC" w:rsidRPr="00796959">
        <w:rPr>
          <w:rFonts w:ascii="Book Antiqua" w:hAnsi="Book Antiqua" w:cs="Times New Roman"/>
          <w:color w:val="000000"/>
          <w:sz w:val="24"/>
          <w:szCs w:val="24"/>
          <w:shd w:val="clear" w:color="auto" w:fill="FFFFFF"/>
        </w:rPr>
        <w:t xml:space="preserve"> </w:t>
      </w:r>
      <w:r w:rsidR="00790211" w:rsidRPr="00796959">
        <w:rPr>
          <w:rFonts w:ascii="Book Antiqua" w:hAnsi="Book Antiqua" w:cs="Times New Roman"/>
          <w:sz w:val="24"/>
          <w:szCs w:val="24"/>
        </w:rPr>
        <w:t>3</w:t>
      </w:r>
      <w:r w:rsidRPr="00796959">
        <w:rPr>
          <w:rFonts w:ascii="Book Antiqua" w:hAnsi="Book Antiqua" w:cs="Times New Roman"/>
          <w:sz w:val="24"/>
          <w:szCs w:val="24"/>
        </w:rPr>
        <w:t>. These authors contributed equally to this work.</w:t>
      </w:r>
    </w:p>
    <w:p w14:paraId="29D04477" w14:textId="77777777" w:rsidR="00F33799" w:rsidRPr="00796959" w:rsidRDefault="00F33799" w:rsidP="00796959">
      <w:pPr>
        <w:rPr>
          <w:rFonts w:ascii="Book Antiqua" w:hAnsi="Book Antiqua"/>
          <w:sz w:val="24"/>
          <w:szCs w:val="24"/>
        </w:rPr>
      </w:pPr>
    </w:p>
    <w:p w14:paraId="515F2F75" w14:textId="77777777" w:rsidR="00F33799" w:rsidRPr="00796959" w:rsidRDefault="00F33799" w:rsidP="00796959">
      <w:pPr>
        <w:rPr>
          <w:rFonts w:ascii="Book Antiqua" w:hAnsi="Book Antiqua"/>
          <w:sz w:val="24"/>
          <w:szCs w:val="24"/>
        </w:rPr>
      </w:pPr>
      <w:r w:rsidRPr="00796959">
        <w:rPr>
          <w:rFonts w:ascii="Book Antiqua" w:hAnsi="Book Antiqua"/>
          <w:sz w:val="24"/>
          <w:szCs w:val="24"/>
        </w:rPr>
        <w:t>Institutional review board statement: The study was reviewed and approved for publication by our Institutional Reviewer</w:t>
      </w:r>
    </w:p>
    <w:p w14:paraId="3457A909" w14:textId="77777777" w:rsidR="00F33799" w:rsidRPr="00796959" w:rsidRDefault="00F33799" w:rsidP="00796959">
      <w:pPr>
        <w:rPr>
          <w:rFonts w:ascii="Book Antiqua" w:hAnsi="Book Antiqua"/>
          <w:sz w:val="24"/>
          <w:szCs w:val="24"/>
        </w:rPr>
      </w:pPr>
    </w:p>
    <w:p w14:paraId="21FC8D52" w14:textId="77777777" w:rsidR="00F33799" w:rsidRPr="00796959" w:rsidRDefault="00F33799" w:rsidP="00796959">
      <w:pPr>
        <w:rPr>
          <w:rFonts w:ascii="Book Antiqua" w:hAnsi="Book Antiqua"/>
          <w:sz w:val="24"/>
          <w:szCs w:val="24"/>
        </w:rPr>
      </w:pPr>
      <w:r w:rsidRPr="00796959">
        <w:rPr>
          <w:rFonts w:ascii="Book Antiqua" w:hAnsi="Book Antiqua"/>
          <w:sz w:val="24"/>
          <w:szCs w:val="24"/>
        </w:rPr>
        <w:t xml:space="preserve">Informed consent statement: All study participants or their legal guardian provided informed written consent about personal and medical data collection prior to study enrolment. </w:t>
      </w:r>
    </w:p>
    <w:p w14:paraId="02BD169B" w14:textId="77777777" w:rsidR="00F33799" w:rsidRPr="00796959" w:rsidRDefault="00F33799" w:rsidP="00796959">
      <w:pPr>
        <w:rPr>
          <w:rFonts w:ascii="Book Antiqua" w:hAnsi="Book Antiqua"/>
          <w:sz w:val="24"/>
          <w:szCs w:val="24"/>
        </w:rPr>
      </w:pPr>
    </w:p>
    <w:p w14:paraId="2B18F706" w14:textId="77777777" w:rsidR="00F33799" w:rsidRPr="00796959" w:rsidRDefault="00F33799" w:rsidP="00796959">
      <w:pPr>
        <w:rPr>
          <w:rFonts w:ascii="Book Antiqua" w:hAnsi="Book Antiqua"/>
          <w:sz w:val="24"/>
          <w:szCs w:val="24"/>
        </w:rPr>
      </w:pPr>
      <w:r w:rsidRPr="00796959">
        <w:rPr>
          <w:rFonts w:ascii="Book Antiqua" w:hAnsi="Book Antiqua"/>
          <w:sz w:val="24"/>
          <w:szCs w:val="24"/>
        </w:rPr>
        <w:t xml:space="preserve">Conflict-of-interest statement: All the Authors have no conflict of interest related to the manuscript. </w:t>
      </w:r>
    </w:p>
    <w:p w14:paraId="07B2354C" w14:textId="77777777" w:rsidR="00F33799" w:rsidRPr="00796959" w:rsidRDefault="00F33799" w:rsidP="00796959">
      <w:pPr>
        <w:rPr>
          <w:rFonts w:ascii="Book Antiqua" w:hAnsi="Book Antiqua"/>
          <w:sz w:val="24"/>
          <w:szCs w:val="24"/>
        </w:rPr>
      </w:pPr>
    </w:p>
    <w:p w14:paraId="5AB35563" w14:textId="366EB003" w:rsidR="00F33799" w:rsidRPr="00796959" w:rsidRDefault="00F33799" w:rsidP="00796959">
      <w:pPr>
        <w:rPr>
          <w:rFonts w:ascii="Book Antiqua" w:hAnsi="Book Antiqua"/>
          <w:sz w:val="24"/>
          <w:szCs w:val="24"/>
        </w:rPr>
      </w:pPr>
      <w:r w:rsidRPr="00796959">
        <w:rPr>
          <w:rFonts w:ascii="Book Antiqua" w:hAnsi="Book Antiqua"/>
          <w:sz w:val="24"/>
          <w:szCs w:val="24"/>
        </w:rPr>
        <w:t>Data sharing statement: The original anonymous dataset is available on request from the corresponding author at</w:t>
      </w:r>
      <w:r w:rsidRPr="00796959">
        <w:rPr>
          <w:rFonts w:ascii="Book Antiqua" w:hAnsi="Book Antiqua" w:cs="Times New Roman"/>
          <w:color w:val="555555"/>
          <w:sz w:val="24"/>
          <w:szCs w:val="24"/>
          <w:shd w:val="clear" w:color="auto" w:fill="FFFFFF"/>
        </w:rPr>
        <w:t xml:space="preserve"> dipanjan@stanford.edu</w:t>
      </w:r>
      <w:r w:rsidRPr="00796959">
        <w:rPr>
          <w:rFonts w:ascii="Book Antiqua" w:hAnsi="Book Antiqua"/>
          <w:sz w:val="24"/>
          <w:szCs w:val="24"/>
        </w:rPr>
        <w:t xml:space="preserve">. </w:t>
      </w:r>
    </w:p>
    <w:p w14:paraId="648D616B" w14:textId="77777777" w:rsidR="00F33799" w:rsidRPr="00796959" w:rsidRDefault="00F33799" w:rsidP="00796959">
      <w:pPr>
        <w:rPr>
          <w:rFonts w:ascii="Book Antiqua" w:hAnsi="Book Antiqua"/>
          <w:sz w:val="24"/>
          <w:szCs w:val="24"/>
        </w:rPr>
      </w:pPr>
    </w:p>
    <w:p w14:paraId="474F6478" w14:textId="173CB96A" w:rsidR="00F33799" w:rsidRPr="00796959" w:rsidRDefault="00F33799" w:rsidP="00796959">
      <w:pPr>
        <w:rPr>
          <w:rFonts w:ascii="Book Antiqua" w:hAnsi="Book Antiqua" w:cs="Times New Roman"/>
          <w:sz w:val="24"/>
          <w:szCs w:val="24"/>
        </w:rPr>
      </w:pPr>
      <w:r w:rsidRPr="00796959">
        <w:rPr>
          <w:rFonts w:ascii="Book Antiqua" w:hAnsi="Book Antiqua"/>
          <w:sz w:val="24"/>
          <w:szCs w:val="24"/>
        </w:rPr>
        <w:lastRenderedPageBreak/>
        <w:t xml:space="preserve">Open-Access: This article is an open-access article which was selected by an in-house editor and fully peer-reviewed by external reviewers. It is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w:t>
      </w:r>
      <w:bookmarkStart w:id="0" w:name="_GoBack"/>
      <w:bookmarkEnd w:id="0"/>
      <w:r w:rsidRPr="00796959">
        <w:rPr>
          <w:rFonts w:ascii="Book Antiqua" w:hAnsi="Book Antiqua"/>
          <w:sz w:val="24"/>
          <w:szCs w:val="24"/>
        </w:rPr>
        <w:t>http://creativecommons.org/licenses/by-nc/4.0/</w:t>
      </w:r>
    </w:p>
    <w:p w14:paraId="22A27836" w14:textId="77777777" w:rsidR="00DE0037" w:rsidRPr="00796959" w:rsidRDefault="00DE0037" w:rsidP="00796959">
      <w:pPr>
        <w:rPr>
          <w:rFonts w:ascii="Book Antiqua" w:hAnsi="Book Antiqua" w:cs="Times New Roman"/>
          <w:sz w:val="24"/>
          <w:szCs w:val="24"/>
        </w:rPr>
      </w:pPr>
    </w:p>
    <w:p w14:paraId="4DEA8602" w14:textId="77777777" w:rsidR="00DE0037" w:rsidRPr="00796959" w:rsidRDefault="00DE0037" w:rsidP="00796959">
      <w:pPr>
        <w:rPr>
          <w:rFonts w:ascii="Book Antiqua" w:hAnsi="Book Antiqua" w:cs="Times New Roman"/>
          <w:b/>
          <w:sz w:val="24"/>
          <w:szCs w:val="24"/>
        </w:rPr>
      </w:pPr>
    </w:p>
    <w:p w14:paraId="3923E520" w14:textId="77777777" w:rsidR="00A40576" w:rsidRPr="00796959" w:rsidRDefault="006C7F64" w:rsidP="00796959">
      <w:pPr>
        <w:rPr>
          <w:rFonts w:ascii="Book Antiqua" w:hAnsi="Book Antiqua" w:cs="Times New Roman"/>
          <w:color w:val="000000"/>
          <w:sz w:val="24"/>
          <w:szCs w:val="24"/>
          <w:shd w:val="clear" w:color="auto" w:fill="FFFFFF"/>
        </w:rPr>
      </w:pPr>
      <w:r w:rsidRPr="00796959">
        <w:rPr>
          <w:rFonts w:ascii="Book Antiqua" w:hAnsi="Book Antiqua" w:cs="Times New Roman"/>
          <w:b/>
          <w:sz w:val="24"/>
          <w:szCs w:val="24"/>
        </w:rPr>
        <w:t xml:space="preserve">Address for Correspondence: </w:t>
      </w:r>
      <w:r w:rsidRPr="00796959">
        <w:rPr>
          <w:rFonts w:ascii="Book Antiqua" w:hAnsi="Book Antiqua" w:cs="Times New Roman"/>
          <w:b/>
          <w:sz w:val="24"/>
          <w:szCs w:val="24"/>
        </w:rPr>
        <w:br/>
      </w:r>
      <w:r w:rsidR="00A40576" w:rsidRPr="00796959">
        <w:rPr>
          <w:rFonts w:ascii="Book Antiqua" w:hAnsi="Book Antiqua" w:cs="Times New Roman"/>
          <w:sz w:val="24"/>
          <w:szCs w:val="24"/>
        </w:rPr>
        <w:t>Dipanjan Banerjee</w:t>
      </w:r>
      <w:r w:rsidRPr="00796959">
        <w:rPr>
          <w:rFonts w:ascii="Book Antiqua" w:hAnsi="Book Antiqua" w:cs="Times New Roman"/>
          <w:sz w:val="24"/>
          <w:szCs w:val="24"/>
        </w:rPr>
        <w:t>, MD</w:t>
      </w:r>
      <w:r w:rsidR="00A40576" w:rsidRPr="00796959">
        <w:rPr>
          <w:rFonts w:ascii="Book Antiqua" w:hAnsi="Book Antiqua" w:cs="Times New Roman"/>
          <w:sz w:val="24"/>
          <w:szCs w:val="24"/>
        </w:rPr>
        <w:t xml:space="preserve"> MS</w:t>
      </w:r>
    </w:p>
    <w:p w14:paraId="3119D3C5" w14:textId="77777777" w:rsidR="00A40576" w:rsidRPr="00796959" w:rsidRDefault="00A40576" w:rsidP="00796959">
      <w:pPr>
        <w:rPr>
          <w:rFonts w:ascii="Book Antiqua" w:hAnsi="Book Antiqua" w:cs="Times New Roman"/>
          <w:color w:val="000000"/>
          <w:sz w:val="24"/>
          <w:szCs w:val="24"/>
          <w:shd w:val="clear" w:color="auto" w:fill="FFFFFF"/>
        </w:rPr>
      </w:pPr>
      <w:r w:rsidRPr="00796959">
        <w:rPr>
          <w:rFonts w:ascii="Book Antiqua" w:hAnsi="Book Antiqua" w:cs="Times New Roman"/>
          <w:color w:val="000000"/>
          <w:sz w:val="24"/>
          <w:szCs w:val="24"/>
          <w:shd w:val="clear" w:color="auto" w:fill="FFFFFF"/>
        </w:rPr>
        <w:t>300 Pasteur Dr MC 5319</w:t>
      </w:r>
    </w:p>
    <w:p w14:paraId="46DDE98F" w14:textId="77777777" w:rsidR="00A40576" w:rsidRPr="00796959" w:rsidRDefault="00A40576" w:rsidP="00796959">
      <w:pPr>
        <w:rPr>
          <w:rFonts w:ascii="Book Antiqua" w:hAnsi="Book Antiqua" w:cs="Times New Roman"/>
          <w:color w:val="000000"/>
          <w:sz w:val="24"/>
          <w:szCs w:val="24"/>
          <w:shd w:val="clear" w:color="auto" w:fill="FFFFFF"/>
        </w:rPr>
      </w:pPr>
      <w:r w:rsidRPr="00796959">
        <w:rPr>
          <w:rFonts w:ascii="Book Antiqua" w:hAnsi="Book Antiqua" w:cs="Times New Roman"/>
          <w:color w:val="000000"/>
          <w:sz w:val="24"/>
          <w:szCs w:val="24"/>
          <w:shd w:val="clear" w:color="auto" w:fill="FFFFFF"/>
        </w:rPr>
        <w:t>A260</w:t>
      </w:r>
    </w:p>
    <w:p w14:paraId="4A55E73E" w14:textId="77777777" w:rsidR="00A40576" w:rsidRPr="00796959" w:rsidRDefault="00A40576" w:rsidP="00796959">
      <w:pPr>
        <w:rPr>
          <w:rFonts w:ascii="Book Antiqua" w:hAnsi="Book Antiqua" w:cs="Times New Roman"/>
          <w:color w:val="000000"/>
          <w:sz w:val="24"/>
          <w:szCs w:val="24"/>
          <w:shd w:val="clear" w:color="auto" w:fill="FFFFFF"/>
        </w:rPr>
      </w:pPr>
      <w:r w:rsidRPr="00796959">
        <w:rPr>
          <w:rFonts w:ascii="Book Antiqua" w:hAnsi="Book Antiqua" w:cs="Times New Roman"/>
          <w:color w:val="000000"/>
          <w:sz w:val="24"/>
          <w:szCs w:val="24"/>
          <w:shd w:val="clear" w:color="auto" w:fill="FFFFFF"/>
        </w:rPr>
        <w:t>Stanford, CA94305</w:t>
      </w:r>
    </w:p>
    <w:p w14:paraId="5C951CA0" w14:textId="77777777" w:rsidR="00A40576" w:rsidRPr="00796959" w:rsidRDefault="00A40576" w:rsidP="00796959">
      <w:pPr>
        <w:rPr>
          <w:rFonts w:ascii="Book Antiqua" w:hAnsi="Book Antiqua" w:cs="Times New Roman"/>
          <w:color w:val="000000"/>
          <w:sz w:val="24"/>
          <w:szCs w:val="24"/>
          <w:shd w:val="clear" w:color="auto" w:fill="FFFFFF"/>
        </w:rPr>
      </w:pPr>
      <w:r w:rsidRPr="00796959">
        <w:rPr>
          <w:rFonts w:ascii="Book Antiqua" w:hAnsi="Book Antiqua" w:cs="Times New Roman"/>
          <w:color w:val="000000"/>
          <w:sz w:val="24"/>
          <w:szCs w:val="24"/>
          <w:shd w:val="clear" w:color="auto" w:fill="FFFFFF"/>
        </w:rPr>
        <w:t>Tel: (650) 723-6459</w:t>
      </w:r>
    </w:p>
    <w:p w14:paraId="5F77FD91" w14:textId="77777777" w:rsidR="006C7F64" w:rsidRPr="00796959" w:rsidRDefault="00A40576" w:rsidP="00796959">
      <w:pPr>
        <w:rPr>
          <w:rFonts w:ascii="Book Antiqua" w:hAnsi="Book Antiqua" w:cs="Times New Roman"/>
          <w:color w:val="000000"/>
          <w:sz w:val="24"/>
          <w:szCs w:val="24"/>
          <w:shd w:val="clear" w:color="auto" w:fill="FFFFFF"/>
        </w:rPr>
      </w:pPr>
      <w:r w:rsidRPr="00796959">
        <w:rPr>
          <w:rFonts w:ascii="Book Antiqua" w:hAnsi="Book Antiqua" w:cs="Times New Roman"/>
          <w:color w:val="000000"/>
          <w:sz w:val="24"/>
          <w:szCs w:val="24"/>
          <w:shd w:val="clear" w:color="auto" w:fill="FFFFFF"/>
        </w:rPr>
        <w:t>Fax: (650) 723-8392</w:t>
      </w:r>
      <w:r w:rsidR="006C7F64" w:rsidRPr="00796959">
        <w:rPr>
          <w:rStyle w:val="Strong"/>
          <w:rFonts w:ascii="Book Antiqua" w:hAnsi="Book Antiqua" w:cs="Times New Roman"/>
          <w:b w:val="0"/>
          <w:bCs w:val="0"/>
          <w:color w:val="000001"/>
          <w:sz w:val="24"/>
          <w:szCs w:val="24"/>
        </w:rPr>
        <w:br/>
        <w:t xml:space="preserve">Email: </w:t>
      </w:r>
      <w:r w:rsidRPr="00796959">
        <w:rPr>
          <w:rFonts w:ascii="Book Antiqua" w:hAnsi="Book Antiqua" w:cs="Times New Roman"/>
          <w:color w:val="555555"/>
          <w:sz w:val="24"/>
          <w:szCs w:val="24"/>
          <w:shd w:val="clear" w:color="auto" w:fill="FFFFFF"/>
        </w:rPr>
        <w:t>dipanjan@stanford.edu</w:t>
      </w:r>
      <w:r w:rsidR="00AF6C43" w:rsidRPr="00796959">
        <w:rPr>
          <w:rFonts w:ascii="Book Antiqua" w:hAnsi="Book Antiqua" w:cs="Times New Roman"/>
          <w:color w:val="555555"/>
          <w:sz w:val="24"/>
          <w:szCs w:val="24"/>
          <w:shd w:val="clear" w:color="auto" w:fill="FFFFFF"/>
        </w:rPr>
        <w:br/>
      </w:r>
    </w:p>
    <w:p w14:paraId="4940B4A7" w14:textId="77777777" w:rsidR="007C47B8" w:rsidRPr="00796959" w:rsidRDefault="007C47B8" w:rsidP="00796959">
      <w:pPr>
        <w:rPr>
          <w:rFonts w:ascii="Book Antiqua" w:hAnsi="Book Antiqua" w:cs="Times New Roman"/>
          <w:color w:val="000000"/>
          <w:sz w:val="24"/>
          <w:szCs w:val="24"/>
          <w:shd w:val="clear" w:color="auto" w:fill="FFFFFF"/>
        </w:rPr>
      </w:pPr>
    </w:p>
    <w:p w14:paraId="19AA8EAD" w14:textId="77777777" w:rsidR="00F33799" w:rsidRPr="00796959" w:rsidRDefault="00F33799" w:rsidP="00796959">
      <w:pPr>
        <w:rPr>
          <w:rFonts w:ascii="Book Antiqua" w:hAnsi="Book Antiqua" w:cs="Times New Roman"/>
          <w:color w:val="000000"/>
          <w:sz w:val="24"/>
          <w:szCs w:val="24"/>
          <w:shd w:val="clear" w:color="auto" w:fill="FFFFFF"/>
        </w:rPr>
      </w:pPr>
    </w:p>
    <w:p w14:paraId="3F303846" w14:textId="77777777" w:rsidR="00F33799" w:rsidRPr="00796959" w:rsidRDefault="00F33799" w:rsidP="00796959">
      <w:pPr>
        <w:rPr>
          <w:rFonts w:ascii="Book Antiqua" w:hAnsi="Book Antiqua" w:cs="Times New Roman"/>
          <w:color w:val="000000"/>
          <w:sz w:val="24"/>
          <w:szCs w:val="24"/>
          <w:shd w:val="clear" w:color="auto" w:fill="FFFFFF"/>
        </w:rPr>
      </w:pPr>
    </w:p>
    <w:p w14:paraId="37EB9C76" w14:textId="77777777" w:rsidR="00F33799" w:rsidRPr="00796959" w:rsidRDefault="00F33799" w:rsidP="00796959">
      <w:pPr>
        <w:rPr>
          <w:rFonts w:ascii="Book Antiqua" w:hAnsi="Book Antiqua" w:cs="Times New Roman"/>
          <w:color w:val="000000"/>
          <w:sz w:val="24"/>
          <w:szCs w:val="24"/>
          <w:shd w:val="clear" w:color="auto" w:fill="FFFFFF"/>
        </w:rPr>
      </w:pPr>
    </w:p>
    <w:p w14:paraId="64DE3C32" w14:textId="77777777" w:rsidR="00F33799" w:rsidRPr="00796959" w:rsidRDefault="00F33799" w:rsidP="00796959">
      <w:pPr>
        <w:rPr>
          <w:rFonts w:ascii="Book Antiqua" w:hAnsi="Book Antiqua" w:cs="Times New Roman"/>
          <w:color w:val="000000"/>
          <w:sz w:val="24"/>
          <w:szCs w:val="24"/>
          <w:shd w:val="clear" w:color="auto" w:fill="FFFFFF"/>
        </w:rPr>
      </w:pPr>
    </w:p>
    <w:p w14:paraId="3CB8487E" w14:textId="77777777" w:rsidR="00F33799" w:rsidRPr="00796959" w:rsidRDefault="00F33799" w:rsidP="00796959">
      <w:pPr>
        <w:rPr>
          <w:rFonts w:ascii="Book Antiqua" w:hAnsi="Book Antiqua" w:cs="Times New Roman"/>
          <w:color w:val="000000"/>
          <w:sz w:val="24"/>
          <w:szCs w:val="24"/>
          <w:shd w:val="clear" w:color="auto" w:fill="FFFFFF"/>
        </w:rPr>
      </w:pPr>
    </w:p>
    <w:p w14:paraId="04C1ED0F" w14:textId="77777777" w:rsidR="00F33799" w:rsidRPr="00796959" w:rsidRDefault="00F33799" w:rsidP="00796959">
      <w:pPr>
        <w:rPr>
          <w:rFonts w:ascii="Book Antiqua" w:hAnsi="Book Antiqua" w:cs="Times New Roman"/>
          <w:color w:val="000000"/>
          <w:sz w:val="24"/>
          <w:szCs w:val="24"/>
          <w:shd w:val="clear" w:color="auto" w:fill="FFFFFF"/>
        </w:rPr>
      </w:pPr>
    </w:p>
    <w:p w14:paraId="1EAFFF6A" w14:textId="77777777" w:rsidR="00F33799" w:rsidRPr="00796959" w:rsidRDefault="00F33799" w:rsidP="00796959">
      <w:pPr>
        <w:rPr>
          <w:rFonts w:ascii="Book Antiqua" w:hAnsi="Book Antiqua" w:cs="Times New Roman"/>
          <w:color w:val="000000"/>
          <w:sz w:val="24"/>
          <w:szCs w:val="24"/>
          <w:shd w:val="clear" w:color="auto" w:fill="FFFFFF"/>
        </w:rPr>
      </w:pPr>
    </w:p>
    <w:p w14:paraId="1C7C45EA" w14:textId="77777777" w:rsidR="00F33799" w:rsidRPr="00796959" w:rsidRDefault="00F33799" w:rsidP="00796959">
      <w:pPr>
        <w:rPr>
          <w:rFonts w:ascii="Book Antiqua" w:hAnsi="Book Antiqua" w:cs="Times New Roman"/>
          <w:color w:val="000000"/>
          <w:sz w:val="24"/>
          <w:szCs w:val="24"/>
          <w:shd w:val="clear" w:color="auto" w:fill="FFFFFF"/>
        </w:rPr>
      </w:pPr>
    </w:p>
    <w:p w14:paraId="525F57C4" w14:textId="77777777" w:rsidR="007C47B8" w:rsidRPr="00796959" w:rsidRDefault="007C47B8" w:rsidP="00796959">
      <w:pPr>
        <w:rPr>
          <w:rFonts w:ascii="Book Antiqua" w:hAnsi="Book Antiqua" w:cs="Times New Roman"/>
          <w:color w:val="000000"/>
          <w:sz w:val="24"/>
          <w:szCs w:val="24"/>
          <w:shd w:val="clear" w:color="auto" w:fill="FFFFFF"/>
        </w:rPr>
      </w:pPr>
    </w:p>
    <w:p w14:paraId="2EB6D6AB" w14:textId="77777777" w:rsidR="007C47B8" w:rsidRPr="00796959" w:rsidRDefault="007C47B8" w:rsidP="00796959">
      <w:pPr>
        <w:rPr>
          <w:rFonts w:ascii="Book Antiqua" w:hAnsi="Book Antiqua" w:cs="Times New Roman"/>
          <w:color w:val="000000"/>
          <w:sz w:val="24"/>
          <w:szCs w:val="24"/>
          <w:shd w:val="clear" w:color="auto" w:fill="FFFFFF"/>
        </w:rPr>
      </w:pPr>
    </w:p>
    <w:p w14:paraId="19477C8B" w14:textId="3CB57254" w:rsidR="006C7F64" w:rsidRPr="00796959" w:rsidRDefault="006C7F64" w:rsidP="00796959">
      <w:pPr>
        <w:rPr>
          <w:rFonts w:ascii="Book Antiqua" w:hAnsi="Book Antiqua" w:cs="Times New Roman"/>
          <w:b/>
          <w:sz w:val="24"/>
          <w:szCs w:val="24"/>
        </w:rPr>
      </w:pPr>
      <w:r w:rsidRPr="00796959">
        <w:rPr>
          <w:rFonts w:ascii="Book Antiqua" w:hAnsi="Book Antiqua" w:cs="Times New Roman"/>
          <w:b/>
          <w:sz w:val="24"/>
          <w:szCs w:val="24"/>
        </w:rPr>
        <w:lastRenderedPageBreak/>
        <w:t>Abstract</w:t>
      </w:r>
      <w:r w:rsidR="00AB2B8E" w:rsidRPr="00796959">
        <w:rPr>
          <w:rFonts w:ascii="Book Antiqua" w:hAnsi="Book Antiqua" w:cs="Times New Roman"/>
          <w:b/>
          <w:sz w:val="24"/>
          <w:szCs w:val="24"/>
        </w:rPr>
        <w:t xml:space="preserve"> </w:t>
      </w:r>
    </w:p>
    <w:p w14:paraId="6681A44E" w14:textId="6A01BB47" w:rsidR="00AB2B8E" w:rsidRPr="00796959" w:rsidRDefault="006C7F64" w:rsidP="00796959">
      <w:pPr>
        <w:rPr>
          <w:rFonts w:ascii="Book Antiqua" w:hAnsi="Book Antiqua" w:cs="Times New Roman"/>
          <w:sz w:val="24"/>
          <w:szCs w:val="24"/>
        </w:rPr>
      </w:pPr>
      <w:r w:rsidRPr="00796959">
        <w:rPr>
          <w:rFonts w:ascii="Book Antiqua" w:hAnsi="Book Antiqua" w:cs="Times New Roman"/>
          <w:b/>
          <w:sz w:val="24"/>
          <w:szCs w:val="24"/>
        </w:rPr>
        <w:t>B</w:t>
      </w:r>
      <w:r w:rsidR="0047164F" w:rsidRPr="00796959">
        <w:rPr>
          <w:rFonts w:ascii="Book Antiqua" w:hAnsi="Book Antiqua" w:cs="Times New Roman"/>
          <w:b/>
          <w:sz w:val="24"/>
          <w:szCs w:val="24"/>
        </w:rPr>
        <w:t>ackground</w:t>
      </w:r>
      <w:r w:rsidRPr="00796959">
        <w:rPr>
          <w:rFonts w:ascii="Book Antiqua" w:hAnsi="Book Antiqua" w:cs="Times New Roman"/>
          <w:b/>
          <w:sz w:val="24"/>
          <w:szCs w:val="24"/>
        </w:rPr>
        <w:t xml:space="preserve"> - </w:t>
      </w:r>
      <w:r w:rsidR="00A40576" w:rsidRPr="00796959">
        <w:rPr>
          <w:rFonts w:ascii="Book Antiqua" w:hAnsi="Book Antiqua" w:cs="Times New Roman"/>
          <w:sz w:val="24"/>
          <w:szCs w:val="24"/>
        </w:rPr>
        <w:t xml:space="preserve">The optimal timing </w:t>
      </w:r>
      <w:r w:rsidR="00DB4FB7" w:rsidRPr="00796959">
        <w:rPr>
          <w:rFonts w:ascii="Book Antiqua" w:hAnsi="Book Antiqua" w:cs="Times New Roman"/>
          <w:sz w:val="24"/>
          <w:szCs w:val="24"/>
        </w:rPr>
        <w:t>of</w:t>
      </w:r>
      <w:r w:rsidR="00A40576" w:rsidRPr="00796959">
        <w:rPr>
          <w:rFonts w:ascii="Book Antiqua" w:hAnsi="Book Antiqua" w:cs="Times New Roman"/>
          <w:sz w:val="24"/>
          <w:szCs w:val="24"/>
        </w:rPr>
        <w:t xml:space="preserve"> </w:t>
      </w:r>
      <w:r w:rsidR="00DB4FB7" w:rsidRPr="00796959">
        <w:rPr>
          <w:rFonts w:ascii="Book Antiqua" w:hAnsi="Book Antiqua" w:cs="Times New Roman"/>
          <w:sz w:val="24"/>
          <w:szCs w:val="24"/>
        </w:rPr>
        <w:t xml:space="preserve">same-admission </w:t>
      </w:r>
      <w:r w:rsidR="00A40576" w:rsidRPr="00796959">
        <w:rPr>
          <w:rFonts w:ascii="Book Antiqua" w:hAnsi="Book Antiqua" w:cs="Times New Roman"/>
          <w:sz w:val="24"/>
          <w:szCs w:val="24"/>
        </w:rPr>
        <w:t xml:space="preserve">orthotopic heart transplantation (OHT) after the implantation of left ventricular assist devices (LVAD) is unknown. Some have argued that performing OHT early after LVAD placement poses an increased risk of morbidity and mortality to patients. </w:t>
      </w:r>
    </w:p>
    <w:p w14:paraId="16892CF0" w14:textId="4B5A38ED" w:rsidR="000548AD" w:rsidRPr="00796959" w:rsidRDefault="00AB2B8E" w:rsidP="00796959">
      <w:pPr>
        <w:rPr>
          <w:rFonts w:ascii="Book Antiqua" w:hAnsi="Book Antiqua" w:cs="Times New Roman"/>
          <w:sz w:val="24"/>
          <w:szCs w:val="24"/>
        </w:rPr>
      </w:pPr>
      <w:r w:rsidRPr="00796959">
        <w:rPr>
          <w:rFonts w:ascii="Book Antiqua" w:hAnsi="Book Antiqua" w:cs="Times New Roman"/>
          <w:b/>
          <w:sz w:val="24"/>
          <w:szCs w:val="24"/>
        </w:rPr>
        <w:t xml:space="preserve">Objectives - </w:t>
      </w:r>
      <w:r w:rsidR="000548AD" w:rsidRPr="00796959">
        <w:rPr>
          <w:rFonts w:ascii="Book Antiqua" w:hAnsi="Book Antiqua" w:cs="Times New Roman"/>
          <w:sz w:val="24"/>
          <w:szCs w:val="24"/>
        </w:rPr>
        <w:t xml:space="preserve">In this study, we describe </w:t>
      </w:r>
      <w:r w:rsidR="00DB18A1" w:rsidRPr="00796959">
        <w:rPr>
          <w:rFonts w:ascii="Book Antiqua" w:hAnsi="Book Antiqua" w:cs="Times New Roman"/>
          <w:sz w:val="24"/>
          <w:szCs w:val="24"/>
        </w:rPr>
        <w:t>the impact</w:t>
      </w:r>
      <w:r w:rsidR="000548AD" w:rsidRPr="00796959">
        <w:rPr>
          <w:rFonts w:ascii="Book Antiqua" w:hAnsi="Book Antiqua" w:cs="Times New Roman"/>
          <w:sz w:val="24"/>
          <w:szCs w:val="24"/>
        </w:rPr>
        <w:t xml:space="preserve"> of timing of </w:t>
      </w:r>
      <w:r w:rsidR="00DB4FB7" w:rsidRPr="00796959">
        <w:rPr>
          <w:rFonts w:ascii="Book Antiqua" w:hAnsi="Book Antiqua" w:cs="Times New Roman"/>
          <w:sz w:val="24"/>
          <w:szCs w:val="24"/>
        </w:rPr>
        <w:t xml:space="preserve">same-admission OHT after LVAD implantation </w:t>
      </w:r>
      <w:r w:rsidR="000548AD" w:rsidRPr="00796959">
        <w:rPr>
          <w:rFonts w:ascii="Book Antiqua" w:hAnsi="Book Antiqua" w:cs="Times New Roman"/>
          <w:sz w:val="24"/>
          <w:szCs w:val="24"/>
        </w:rPr>
        <w:t xml:space="preserve">on in-hospital </w:t>
      </w:r>
      <w:r w:rsidRPr="00796959">
        <w:rPr>
          <w:rFonts w:ascii="Book Antiqua" w:hAnsi="Book Antiqua" w:cs="Times New Roman"/>
          <w:sz w:val="24"/>
          <w:szCs w:val="24"/>
        </w:rPr>
        <w:t>mortality</w:t>
      </w:r>
      <w:r w:rsidR="00404679" w:rsidRPr="00796959">
        <w:rPr>
          <w:rFonts w:ascii="Book Antiqua" w:hAnsi="Book Antiqua" w:cs="Times New Roman"/>
          <w:sz w:val="24"/>
          <w:szCs w:val="24"/>
        </w:rPr>
        <w:t xml:space="preserve"> and </w:t>
      </w:r>
      <w:r w:rsidR="00F804EB" w:rsidRPr="00796959">
        <w:rPr>
          <w:rFonts w:ascii="Book Antiqua" w:hAnsi="Book Antiqua" w:cs="Times New Roman"/>
          <w:sz w:val="24"/>
          <w:szCs w:val="24"/>
        </w:rPr>
        <w:t xml:space="preserve">post-transplant </w:t>
      </w:r>
      <w:r w:rsidR="00404679" w:rsidRPr="00796959">
        <w:rPr>
          <w:rFonts w:ascii="Book Antiqua" w:hAnsi="Book Antiqua" w:cs="Times New Roman"/>
          <w:sz w:val="24"/>
          <w:szCs w:val="24"/>
        </w:rPr>
        <w:t>length of stay</w:t>
      </w:r>
      <w:r w:rsidR="00DB18A1" w:rsidRPr="00796959">
        <w:rPr>
          <w:rFonts w:ascii="Book Antiqua" w:hAnsi="Book Antiqua" w:cs="Times New Roman"/>
          <w:sz w:val="24"/>
          <w:szCs w:val="24"/>
        </w:rPr>
        <w:t>.</w:t>
      </w:r>
    </w:p>
    <w:p w14:paraId="278DBC8B" w14:textId="252F4E29" w:rsidR="00DB18A1" w:rsidRPr="00796959" w:rsidRDefault="00471DDD" w:rsidP="00796959">
      <w:pPr>
        <w:rPr>
          <w:rFonts w:ascii="Book Antiqua" w:hAnsi="Book Antiqua" w:cs="Times New Roman"/>
          <w:b/>
          <w:sz w:val="24"/>
          <w:szCs w:val="24"/>
        </w:rPr>
      </w:pPr>
      <w:r w:rsidRPr="00796959">
        <w:rPr>
          <w:rFonts w:ascii="Book Antiqua" w:hAnsi="Book Antiqua" w:cs="Times New Roman"/>
          <w:b/>
          <w:sz w:val="24"/>
          <w:szCs w:val="24"/>
        </w:rPr>
        <w:t xml:space="preserve">Methods </w:t>
      </w:r>
      <w:r w:rsidR="00A40576" w:rsidRPr="00796959">
        <w:rPr>
          <w:rFonts w:ascii="Book Antiqua" w:hAnsi="Book Antiqua" w:cs="Times New Roman"/>
          <w:b/>
          <w:sz w:val="24"/>
          <w:szCs w:val="24"/>
        </w:rPr>
        <w:t xml:space="preserve">- </w:t>
      </w:r>
      <w:r w:rsidR="00A40576" w:rsidRPr="00796959">
        <w:rPr>
          <w:rFonts w:ascii="Book Antiqua" w:hAnsi="Book Antiqua" w:cs="Times New Roman"/>
          <w:sz w:val="24"/>
          <w:szCs w:val="24"/>
        </w:rPr>
        <w:t xml:space="preserve">Using data from the Nationwide Inpatient Sample (NIS) from 1998 to 2011, we identified patients 18 years of age or </w:t>
      </w:r>
      <w:r w:rsidR="00DB4FB7" w:rsidRPr="00796959">
        <w:rPr>
          <w:rFonts w:ascii="Book Antiqua" w:hAnsi="Book Antiqua" w:cs="Times New Roman"/>
          <w:sz w:val="24"/>
          <w:szCs w:val="24"/>
        </w:rPr>
        <w:t xml:space="preserve">older </w:t>
      </w:r>
      <w:r w:rsidR="00A40576" w:rsidRPr="00796959">
        <w:rPr>
          <w:rFonts w:ascii="Book Antiqua" w:hAnsi="Book Antiqua" w:cs="Times New Roman"/>
          <w:sz w:val="24"/>
          <w:szCs w:val="24"/>
        </w:rPr>
        <w:t xml:space="preserve">who underwent implantation of a LVAD and for </w:t>
      </w:r>
      <w:r w:rsidR="00AB2B8E" w:rsidRPr="00796959">
        <w:rPr>
          <w:rFonts w:ascii="Book Antiqua" w:hAnsi="Book Antiqua" w:cs="Times New Roman"/>
          <w:sz w:val="24"/>
          <w:szCs w:val="24"/>
        </w:rPr>
        <w:t>whom</w:t>
      </w:r>
      <w:r w:rsidR="00DB4FB7" w:rsidRPr="00796959">
        <w:rPr>
          <w:rFonts w:ascii="Book Antiqua" w:hAnsi="Book Antiqua" w:cs="Times New Roman"/>
          <w:sz w:val="24"/>
          <w:szCs w:val="24"/>
        </w:rPr>
        <w:t xml:space="preserve"> </w:t>
      </w:r>
      <w:r w:rsidR="00A40576" w:rsidRPr="00796959">
        <w:rPr>
          <w:rFonts w:ascii="Book Antiqua" w:hAnsi="Book Antiqua" w:cs="Times New Roman"/>
          <w:sz w:val="24"/>
          <w:szCs w:val="24"/>
        </w:rPr>
        <w:t xml:space="preserve">the </w:t>
      </w:r>
      <w:r w:rsidR="00DB4FB7" w:rsidRPr="00796959">
        <w:rPr>
          <w:rFonts w:ascii="Book Antiqua" w:hAnsi="Book Antiqua" w:cs="Times New Roman"/>
          <w:sz w:val="24"/>
          <w:szCs w:val="24"/>
        </w:rPr>
        <w:t>procedure date</w:t>
      </w:r>
      <w:r w:rsidR="00A40576" w:rsidRPr="00796959">
        <w:rPr>
          <w:rFonts w:ascii="Book Antiqua" w:hAnsi="Book Antiqua" w:cs="Times New Roman"/>
          <w:sz w:val="24"/>
          <w:szCs w:val="24"/>
        </w:rPr>
        <w:t xml:space="preserve"> was available. We calculated in</w:t>
      </w:r>
      <w:r w:rsidR="00AB2B8E" w:rsidRPr="00796959">
        <w:rPr>
          <w:rFonts w:ascii="Book Antiqua" w:hAnsi="Book Antiqua" w:cs="Times New Roman"/>
          <w:sz w:val="24"/>
          <w:szCs w:val="24"/>
        </w:rPr>
        <w:t>-</w:t>
      </w:r>
      <w:r w:rsidR="00A40576" w:rsidRPr="00796959">
        <w:rPr>
          <w:rFonts w:ascii="Book Antiqua" w:hAnsi="Book Antiqua" w:cs="Times New Roman"/>
          <w:sz w:val="24"/>
          <w:szCs w:val="24"/>
        </w:rPr>
        <w:t xml:space="preserve">hospital mortality for those patients who underwent OHT during the same hospitalization as a function of time from LVAD to OHT, adjusting for age, sex, race, household income, and number of comorbid diagnoses. Finally, we analyzed the effect of time to OHT after LVAD </w:t>
      </w:r>
      <w:r w:rsidR="00F804EB" w:rsidRPr="00796959">
        <w:rPr>
          <w:rFonts w:ascii="Book Antiqua" w:hAnsi="Book Antiqua" w:cs="Times New Roman"/>
          <w:sz w:val="24"/>
          <w:szCs w:val="24"/>
        </w:rPr>
        <w:t xml:space="preserve">implantation </w:t>
      </w:r>
      <w:r w:rsidR="00A40576" w:rsidRPr="00796959">
        <w:rPr>
          <w:rFonts w:ascii="Book Antiqua" w:hAnsi="Book Antiqua" w:cs="Times New Roman"/>
          <w:sz w:val="24"/>
          <w:szCs w:val="24"/>
        </w:rPr>
        <w:t>on the length of hospital stay post-</w:t>
      </w:r>
      <w:r w:rsidR="00DB18A1" w:rsidRPr="00796959">
        <w:rPr>
          <w:rFonts w:ascii="Book Antiqua" w:hAnsi="Book Antiqua" w:cs="Times New Roman"/>
          <w:sz w:val="24"/>
          <w:szCs w:val="24"/>
        </w:rPr>
        <w:t>transplant.</w:t>
      </w:r>
    </w:p>
    <w:p w14:paraId="0386F3AC" w14:textId="57BC92A3" w:rsidR="00A40576" w:rsidRPr="00796959" w:rsidRDefault="00DB18A1" w:rsidP="00796959">
      <w:pPr>
        <w:rPr>
          <w:rFonts w:ascii="Book Antiqua" w:hAnsi="Book Antiqua" w:cs="Times New Roman"/>
          <w:sz w:val="24"/>
          <w:szCs w:val="24"/>
        </w:rPr>
      </w:pPr>
      <w:r w:rsidRPr="00796959">
        <w:rPr>
          <w:rFonts w:ascii="Book Antiqua" w:hAnsi="Book Antiqua" w:cs="Times New Roman"/>
          <w:b/>
          <w:sz w:val="24"/>
          <w:szCs w:val="24"/>
        </w:rPr>
        <w:t>Results</w:t>
      </w:r>
      <w:r w:rsidR="00A40576" w:rsidRPr="00796959">
        <w:rPr>
          <w:rFonts w:ascii="Book Antiqua" w:hAnsi="Book Antiqua" w:cs="Times New Roman"/>
          <w:sz w:val="24"/>
          <w:szCs w:val="24"/>
        </w:rPr>
        <w:t xml:space="preserve"> - 2200 patients underwent implantation of a LVAD in this cohort. 164 (7.5%) patients also underwent OHT during the same hospitalization, which occurred on average 32 days (IQR 7.75 - 66 days) after LVAD implantation. Of patients who underwent OHT, patients who underwent transplantation within 7 days of LVAD implantation (‘early’) experienced increased in-hospital mortality (26.8% vs. 12.2%, p = 0.0483) compared to patients who underwent transplant after 8 days (‘late’).</w:t>
      </w:r>
      <w:r w:rsidR="00F804EB" w:rsidRPr="00796959">
        <w:rPr>
          <w:rFonts w:ascii="Book Antiqua" w:hAnsi="Book Antiqua" w:cs="Times New Roman"/>
          <w:sz w:val="24"/>
          <w:szCs w:val="24"/>
        </w:rPr>
        <w:t xml:space="preserve"> </w:t>
      </w:r>
      <w:r w:rsidR="00A40576" w:rsidRPr="00796959">
        <w:rPr>
          <w:rFonts w:ascii="Book Antiqua" w:hAnsi="Book Antiqua" w:cs="Times New Roman"/>
          <w:sz w:val="24"/>
          <w:szCs w:val="24"/>
        </w:rPr>
        <w:t>There was no statistically significant difference in age, sex, race, household income, or number of comorbid diagnoses</w:t>
      </w:r>
      <w:r w:rsidR="00F804EB" w:rsidRPr="00796959">
        <w:rPr>
          <w:rFonts w:ascii="Book Antiqua" w:hAnsi="Book Antiqua" w:cs="Times New Roman"/>
          <w:sz w:val="24"/>
          <w:szCs w:val="24"/>
        </w:rPr>
        <w:t xml:space="preserve"> between the early and late groups</w:t>
      </w:r>
      <w:r w:rsidR="00A40576" w:rsidRPr="00796959">
        <w:rPr>
          <w:rFonts w:ascii="Book Antiqua" w:hAnsi="Book Antiqua" w:cs="Times New Roman"/>
          <w:sz w:val="24"/>
          <w:szCs w:val="24"/>
        </w:rPr>
        <w:t xml:space="preserve">.  Post-transplant </w:t>
      </w:r>
      <w:r w:rsidR="00094F4B" w:rsidRPr="00796959">
        <w:rPr>
          <w:rFonts w:ascii="Book Antiqua" w:hAnsi="Book Antiqua" w:cs="Times New Roman"/>
          <w:sz w:val="24"/>
          <w:szCs w:val="24"/>
        </w:rPr>
        <w:t>length of stay</w:t>
      </w:r>
      <w:r w:rsidR="00F804EB" w:rsidRPr="00796959">
        <w:rPr>
          <w:rFonts w:ascii="Book Antiqua" w:hAnsi="Book Antiqua" w:cs="Times New Roman"/>
          <w:sz w:val="24"/>
          <w:szCs w:val="24"/>
        </w:rPr>
        <w:t xml:space="preserve"> </w:t>
      </w:r>
      <w:r w:rsidR="00A40576" w:rsidRPr="00796959">
        <w:rPr>
          <w:rFonts w:ascii="Book Antiqua" w:hAnsi="Book Antiqua" w:cs="Times New Roman"/>
          <w:sz w:val="24"/>
          <w:szCs w:val="24"/>
        </w:rPr>
        <w:t xml:space="preserve">after LVAD </w:t>
      </w:r>
      <w:r w:rsidR="006B55A3" w:rsidRPr="00796959">
        <w:rPr>
          <w:rFonts w:ascii="Book Antiqua" w:hAnsi="Book Antiqua" w:cs="Times New Roman"/>
          <w:sz w:val="24"/>
          <w:szCs w:val="24"/>
        </w:rPr>
        <w:t xml:space="preserve">implantation </w:t>
      </w:r>
      <w:r w:rsidR="00A40576" w:rsidRPr="00796959">
        <w:rPr>
          <w:rFonts w:ascii="Book Antiqua" w:hAnsi="Book Antiqua" w:cs="Times New Roman"/>
          <w:sz w:val="24"/>
          <w:szCs w:val="24"/>
        </w:rPr>
        <w:t xml:space="preserve">was </w:t>
      </w:r>
      <w:r w:rsidR="006B55A3" w:rsidRPr="00796959">
        <w:rPr>
          <w:rFonts w:ascii="Book Antiqua" w:hAnsi="Book Antiqua" w:cs="Times New Roman"/>
          <w:sz w:val="24"/>
          <w:szCs w:val="24"/>
        </w:rPr>
        <w:t xml:space="preserve">also </w:t>
      </w:r>
      <w:r w:rsidR="00A40576" w:rsidRPr="00796959">
        <w:rPr>
          <w:rFonts w:ascii="Book Antiqua" w:hAnsi="Book Antiqua" w:cs="Times New Roman"/>
          <w:sz w:val="24"/>
          <w:szCs w:val="24"/>
        </w:rPr>
        <w:t xml:space="preserve">not significantly different between patients </w:t>
      </w:r>
      <w:r w:rsidR="006B55A3" w:rsidRPr="00796959">
        <w:rPr>
          <w:rFonts w:ascii="Book Antiqua" w:hAnsi="Book Antiqua" w:cs="Times New Roman"/>
          <w:sz w:val="24"/>
          <w:szCs w:val="24"/>
        </w:rPr>
        <w:t xml:space="preserve">who underwent early versus late OHT. </w:t>
      </w:r>
    </w:p>
    <w:p w14:paraId="6B3EB26C" w14:textId="328D139B" w:rsidR="00A40576" w:rsidRPr="00796959" w:rsidRDefault="00A53B55" w:rsidP="00796959">
      <w:pPr>
        <w:rPr>
          <w:rFonts w:ascii="Book Antiqua" w:hAnsi="Book Antiqua" w:cs="Times New Roman"/>
          <w:sz w:val="24"/>
          <w:szCs w:val="24"/>
        </w:rPr>
      </w:pPr>
      <w:r w:rsidRPr="00796959">
        <w:rPr>
          <w:rFonts w:ascii="Book Antiqua" w:hAnsi="Book Antiqua" w:cs="Times New Roman"/>
          <w:b/>
          <w:sz w:val="24"/>
          <w:szCs w:val="24"/>
        </w:rPr>
        <w:t>Conclusions</w:t>
      </w:r>
      <w:r w:rsidR="006C7F64" w:rsidRPr="00796959">
        <w:rPr>
          <w:rFonts w:ascii="Book Antiqua" w:hAnsi="Book Antiqua" w:cs="Times New Roman"/>
          <w:sz w:val="24"/>
          <w:szCs w:val="24"/>
        </w:rPr>
        <w:t xml:space="preserve"> - </w:t>
      </w:r>
      <w:r w:rsidR="00A40576" w:rsidRPr="00796959">
        <w:rPr>
          <w:rFonts w:ascii="Book Antiqua" w:hAnsi="Book Antiqua" w:cs="Times New Roman"/>
          <w:sz w:val="24"/>
          <w:szCs w:val="24"/>
        </w:rPr>
        <w:t>In this cohort of patients who received LVADs, the rate of in-hospital mortality after OHT was lower for patients who underwent late OHT (</w:t>
      </w:r>
      <w:r w:rsidR="00A43E09" w:rsidRPr="00796959">
        <w:rPr>
          <w:rFonts w:ascii="Book Antiqua" w:hAnsi="Book Antiqua" w:cs="Times New Roman"/>
          <w:sz w:val="24"/>
          <w:szCs w:val="24"/>
        </w:rPr>
        <w:t>at least 8</w:t>
      </w:r>
      <w:r w:rsidR="00A40576" w:rsidRPr="00796959">
        <w:rPr>
          <w:rFonts w:ascii="Book Antiqua" w:hAnsi="Book Antiqua" w:cs="Times New Roman"/>
          <w:sz w:val="24"/>
          <w:szCs w:val="24"/>
        </w:rPr>
        <w:t xml:space="preserve"> days </w:t>
      </w:r>
      <w:r w:rsidR="00A43E09" w:rsidRPr="00796959">
        <w:rPr>
          <w:rFonts w:ascii="Book Antiqua" w:hAnsi="Book Antiqua" w:cs="Times New Roman"/>
          <w:sz w:val="24"/>
          <w:szCs w:val="24"/>
        </w:rPr>
        <w:t xml:space="preserve">after </w:t>
      </w:r>
      <w:r w:rsidR="00A40576" w:rsidRPr="00796959">
        <w:rPr>
          <w:rFonts w:ascii="Book Antiqua" w:hAnsi="Book Antiqua" w:cs="Times New Roman"/>
          <w:sz w:val="24"/>
          <w:szCs w:val="24"/>
        </w:rPr>
        <w:t xml:space="preserve">LVAD implantation) compared to patients who underwent </w:t>
      </w:r>
      <w:r w:rsidR="00AB2B8E" w:rsidRPr="00796959">
        <w:rPr>
          <w:rFonts w:ascii="Book Antiqua" w:hAnsi="Book Antiqua" w:cs="Times New Roman"/>
          <w:sz w:val="24"/>
          <w:szCs w:val="24"/>
        </w:rPr>
        <w:t xml:space="preserve">early </w:t>
      </w:r>
      <w:r w:rsidR="00A40576" w:rsidRPr="00796959">
        <w:rPr>
          <w:rFonts w:ascii="Book Antiqua" w:hAnsi="Book Antiqua" w:cs="Times New Roman"/>
          <w:sz w:val="24"/>
          <w:szCs w:val="24"/>
        </w:rPr>
        <w:t>OHT</w:t>
      </w:r>
      <w:r w:rsidR="00AB2B8E" w:rsidRPr="00796959">
        <w:rPr>
          <w:rFonts w:ascii="Book Antiqua" w:hAnsi="Book Antiqua" w:cs="Times New Roman"/>
          <w:sz w:val="24"/>
          <w:szCs w:val="24"/>
        </w:rPr>
        <w:t>.</w:t>
      </w:r>
      <w:r w:rsidR="002C7213" w:rsidRPr="00796959">
        <w:rPr>
          <w:rFonts w:ascii="Book Antiqua" w:hAnsi="Book Antiqua" w:cs="Times New Roman"/>
          <w:sz w:val="24"/>
          <w:szCs w:val="24"/>
        </w:rPr>
        <w:t xml:space="preserve"> </w:t>
      </w:r>
      <w:r w:rsidR="006B55A3" w:rsidRPr="00796959">
        <w:rPr>
          <w:rFonts w:ascii="Book Antiqua" w:hAnsi="Book Antiqua" w:cs="Times New Roman"/>
          <w:sz w:val="24"/>
          <w:szCs w:val="24"/>
        </w:rPr>
        <w:t>Delayed timing of</w:t>
      </w:r>
      <w:r w:rsidR="00A40576" w:rsidRPr="00796959">
        <w:rPr>
          <w:rFonts w:ascii="Book Antiqua" w:hAnsi="Book Antiqua" w:cs="Times New Roman"/>
          <w:sz w:val="24"/>
          <w:szCs w:val="24"/>
        </w:rPr>
        <w:t xml:space="preserve"> OHT after LVAD </w:t>
      </w:r>
      <w:r w:rsidR="006B55A3" w:rsidRPr="00796959">
        <w:rPr>
          <w:rFonts w:ascii="Book Antiqua" w:hAnsi="Book Antiqua" w:cs="Times New Roman"/>
          <w:sz w:val="24"/>
          <w:szCs w:val="24"/>
        </w:rPr>
        <w:t xml:space="preserve">implantation </w:t>
      </w:r>
      <w:r w:rsidR="00A40576" w:rsidRPr="00796959">
        <w:rPr>
          <w:rFonts w:ascii="Book Antiqua" w:hAnsi="Book Antiqua" w:cs="Times New Roman"/>
          <w:sz w:val="24"/>
          <w:szCs w:val="24"/>
        </w:rPr>
        <w:t>did not correlate with longer hospital stays post</w:t>
      </w:r>
      <w:r w:rsidR="006B55A3" w:rsidRPr="00796959">
        <w:rPr>
          <w:rFonts w:ascii="Book Antiqua" w:hAnsi="Book Antiqua" w:cs="Times New Roman"/>
          <w:sz w:val="24"/>
          <w:szCs w:val="24"/>
        </w:rPr>
        <w:t>-transplant</w:t>
      </w:r>
      <w:r w:rsidR="00A40576" w:rsidRPr="00796959">
        <w:rPr>
          <w:rFonts w:ascii="Book Antiqua" w:hAnsi="Book Antiqua" w:cs="Times New Roman"/>
          <w:sz w:val="24"/>
          <w:szCs w:val="24"/>
        </w:rPr>
        <w:t>.</w:t>
      </w:r>
    </w:p>
    <w:p w14:paraId="5F4FC820" w14:textId="77777777" w:rsidR="00384168" w:rsidRPr="00796959" w:rsidRDefault="00C71C57" w:rsidP="00796959">
      <w:pPr>
        <w:rPr>
          <w:rFonts w:ascii="Book Antiqua" w:hAnsi="Book Antiqua" w:cs="Times New Roman"/>
          <w:b/>
          <w:sz w:val="24"/>
          <w:szCs w:val="24"/>
        </w:rPr>
      </w:pPr>
      <w:r w:rsidRPr="00796959">
        <w:rPr>
          <w:rFonts w:ascii="Book Antiqua" w:hAnsi="Book Antiqua" w:cs="Times New Roman"/>
          <w:b/>
          <w:sz w:val="24"/>
          <w:szCs w:val="24"/>
        </w:rPr>
        <w:lastRenderedPageBreak/>
        <w:t>Key Words –</w:t>
      </w:r>
      <w:r w:rsidR="00484AB0" w:rsidRPr="00796959">
        <w:rPr>
          <w:rFonts w:ascii="Book Antiqua" w:hAnsi="Book Antiqua" w:cs="Times New Roman"/>
          <w:sz w:val="24"/>
          <w:szCs w:val="24"/>
        </w:rPr>
        <w:t xml:space="preserve"> Mechanical Circulatory Support, Orthotopic Heart Transplant, Bridge to Transplant Left Ventricular Assist Device Outcomes</w:t>
      </w:r>
    </w:p>
    <w:p w14:paraId="120F9BF4" w14:textId="1730AE4D" w:rsidR="0097065E" w:rsidRPr="00796959" w:rsidRDefault="0097065E" w:rsidP="00796959">
      <w:pPr>
        <w:rPr>
          <w:rFonts w:ascii="Book Antiqua" w:hAnsi="Book Antiqua" w:cs="Times New Roman"/>
          <w:sz w:val="24"/>
          <w:szCs w:val="24"/>
        </w:rPr>
      </w:pPr>
      <w:r w:rsidRPr="00796959">
        <w:rPr>
          <w:rFonts w:ascii="Book Antiqua" w:hAnsi="Book Antiqua" w:cs="Times New Roman"/>
          <w:b/>
          <w:sz w:val="24"/>
          <w:szCs w:val="24"/>
        </w:rPr>
        <w:t>Abbreviations</w:t>
      </w:r>
      <w:r w:rsidRPr="00796959">
        <w:rPr>
          <w:rFonts w:ascii="Book Antiqua" w:hAnsi="Book Antiqua" w:cs="Times New Roman"/>
          <w:sz w:val="24"/>
          <w:szCs w:val="24"/>
        </w:rPr>
        <w:t xml:space="preserve"> – LVAD - Left Ventricular Assist Device</w:t>
      </w:r>
    </w:p>
    <w:p w14:paraId="7BDE8CE5" w14:textId="77777777" w:rsidR="0097065E" w:rsidRPr="00796959" w:rsidRDefault="0097065E" w:rsidP="00796959">
      <w:pPr>
        <w:rPr>
          <w:rFonts w:ascii="Book Antiqua" w:hAnsi="Book Antiqua" w:cs="Times New Roman"/>
          <w:sz w:val="24"/>
          <w:szCs w:val="24"/>
        </w:rPr>
      </w:pPr>
      <w:r w:rsidRPr="00796959">
        <w:rPr>
          <w:rFonts w:ascii="Book Antiqua" w:hAnsi="Book Antiqua" w:cs="Times New Roman"/>
          <w:sz w:val="24"/>
          <w:szCs w:val="24"/>
        </w:rPr>
        <w:t>OHT - Orthotopic Heart Transplant</w:t>
      </w:r>
    </w:p>
    <w:p w14:paraId="27606971" w14:textId="2E196E5A" w:rsidR="006E641A" w:rsidRPr="00796959" w:rsidRDefault="006C7F64" w:rsidP="00796959">
      <w:pPr>
        <w:rPr>
          <w:rFonts w:ascii="Book Antiqua" w:hAnsi="Book Antiqua" w:cs="Times New Roman"/>
          <w:b/>
          <w:sz w:val="24"/>
          <w:szCs w:val="24"/>
        </w:rPr>
      </w:pPr>
      <w:r w:rsidRPr="00796959">
        <w:rPr>
          <w:rFonts w:ascii="Book Antiqua" w:hAnsi="Book Antiqua" w:cs="Times New Roman"/>
          <w:b/>
          <w:sz w:val="24"/>
          <w:szCs w:val="24"/>
        </w:rPr>
        <w:t>Introduction</w:t>
      </w:r>
    </w:p>
    <w:p w14:paraId="474E7D75" w14:textId="77777777" w:rsidR="004333EC" w:rsidRPr="00796959" w:rsidRDefault="004C1D3A" w:rsidP="00796959">
      <w:pPr>
        <w:pStyle w:val="NoSpacing"/>
        <w:spacing w:line="360" w:lineRule="auto"/>
        <w:rPr>
          <w:rFonts w:ascii="Book Antiqua" w:hAnsi="Book Antiqua" w:cs="Times New Roman"/>
          <w:sz w:val="24"/>
          <w:szCs w:val="24"/>
        </w:rPr>
      </w:pPr>
      <w:r w:rsidRPr="00796959">
        <w:rPr>
          <w:rFonts w:ascii="Book Antiqua" w:hAnsi="Book Antiqua" w:cs="Times New Roman"/>
          <w:sz w:val="24"/>
          <w:szCs w:val="24"/>
        </w:rPr>
        <w:tab/>
      </w:r>
      <w:r w:rsidR="002C36ED" w:rsidRPr="00796959">
        <w:rPr>
          <w:rFonts w:ascii="Book Antiqua" w:hAnsi="Book Antiqua" w:cs="Times New Roman"/>
          <w:sz w:val="24"/>
          <w:szCs w:val="24"/>
        </w:rPr>
        <w:t>Heart failure (HF) affects an estimated 5.8 million people in the United States and contributes to over 300,000 deaths every year</w:t>
      </w:r>
      <w:r w:rsidR="002C36ED" w:rsidRPr="00796959">
        <w:rPr>
          <w:rFonts w:ascii="Book Antiqua" w:hAnsi="Book Antiqua" w:cs="Times New Roman"/>
          <w:sz w:val="24"/>
          <w:szCs w:val="24"/>
          <w:vertAlign w:val="superscript"/>
        </w:rPr>
        <w:t>1,2</w:t>
      </w:r>
      <w:r w:rsidR="002C36ED" w:rsidRPr="00796959">
        <w:rPr>
          <w:rFonts w:ascii="Book Antiqua" w:hAnsi="Book Antiqua" w:cs="Times New Roman"/>
          <w:sz w:val="24"/>
          <w:szCs w:val="24"/>
        </w:rPr>
        <w:t xml:space="preserve">. It is the most common cause of hospital admission and readmission in people </w:t>
      </w:r>
      <w:r w:rsidR="00465ACD" w:rsidRPr="00796959">
        <w:rPr>
          <w:rFonts w:ascii="Book Antiqua" w:hAnsi="Book Antiqua" w:cs="Times New Roman"/>
          <w:sz w:val="24"/>
          <w:szCs w:val="24"/>
        </w:rPr>
        <w:t xml:space="preserve">greater than </w:t>
      </w:r>
      <w:r w:rsidR="002C36ED" w:rsidRPr="00796959">
        <w:rPr>
          <w:rFonts w:ascii="Book Antiqua" w:hAnsi="Book Antiqua" w:cs="Times New Roman"/>
          <w:sz w:val="24"/>
          <w:szCs w:val="24"/>
        </w:rPr>
        <w:t>65 years</w:t>
      </w:r>
      <w:r w:rsidR="00465ACD" w:rsidRPr="00796959">
        <w:rPr>
          <w:rFonts w:ascii="Book Antiqua" w:hAnsi="Book Antiqua" w:cs="Times New Roman"/>
          <w:sz w:val="24"/>
          <w:szCs w:val="24"/>
        </w:rPr>
        <w:t xml:space="preserve"> of age</w:t>
      </w:r>
      <w:r w:rsidR="002C36ED" w:rsidRPr="00796959">
        <w:rPr>
          <w:rFonts w:ascii="Book Antiqua" w:hAnsi="Book Antiqua" w:cs="Times New Roman"/>
          <w:sz w:val="24"/>
          <w:szCs w:val="24"/>
        </w:rPr>
        <w:t>, annually accounting for over 2.4 million hospitalizations</w:t>
      </w:r>
      <w:r w:rsidR="002C36ED" w:rsidRPr="00796959">
        <w:rPr>
          <w:rFonts w:ascii="Book Antiqua" w:hAnsi="Book Antiqua" w:cs="Times New Roman"/>
          <w:sz w:val="24"/>
          <w:szCs w:val="24"/>
          <w:vertAlign w:val="superscript"/>
        </w:rPr>
        <w:t>2,3</w:t>
      </w:r>
      <w:r w:rsidR="002C36ED" w:rsidRPr="00796959">
        <w:rPr>
          <w:rFonts w:ascii="Book Antiqua" w:hAnsi="Book Antiqua" w:cs="Times New Roman"/>
          <w:sz w:val="24"/>
          <w:szCs w:val="24"/>
        </w:rPr>
        <w:t xml:space="preserve"> and $39 billion in healthcare costs</w:t>
      </w:r>
      <w:r w:rsidR="002C36ED" w:rsidRPr="00796959">
        <w:rPr>
          <w:rFonts w:ascii="Book Antiqua" w:hAnsi="Book Antiqua" w:cs="Times New Roman"/>
          <w:sz w:val="24"/>
          <w:szCs w:val="24"/>
          <w:vertAlign w:val="superscript"/>
        </w:rPr>
        <w:t>1,4</w:t>
      </w:r>
      <w:r w:rsidR="002C36ED" w:rsidRPr="00796959">
        <w:rPr>
          <w:rFonts w:ascii="Book Antiqua" w:hAnsi="Book Antiqua" w:cs="Times New Roman"/>
          <w:sz w:val="24"/>
          <w:szCs w:val="24"/>
        </w:rPr>
        <w:t xml:space="preserve">. Although most patients respond favorably to standard medical treatment, a considerable number </w:t>
      </w:r>
      <w:r w:rsidR="00B51BCB" w:rsidRPr="00796959">
        <w:rPr>
          <w:rFonts w:ascii="Book Antiqua" w:hAnsi="Book Antiqua" w:cs="Times New Roman"/>
          <w:sz w:val="24"/>
          <w:szCs w:val="24"/>
        </w:rPr>
        <w:t xml:space="preserve">of patients </w:t>
      </w:r>
      <w:r w:rsidR="002C36ED" w:rsidRPr="00796959">
        <w:rPr>
          <w:rFonts w:ascii="Book Antiqua" w:hAnsi="Book Antiqua" w:cs="Times New Roman"/>
          <w:sz w:val="24"/>
          <w:szCs w:val="24"/>
        </w:rPr>
        <w:t>progress to end-stage heart failure refractory to medical therapy</w:t>
      </w:r>
      <w:r w:rsidR="002C36ED" w:rsidRPr="00796959">
        <w:rPr>
          <w:rFonts w:ascii="Book Antiqua" w:hAnsi="Book Antiqua" w:cs="Times New Roman"/>
          <w:sz w:val="24"/>
          <w:szCs w:val="24"/>
          <w:vertAlign w:val="superscript"/>
        </w:rPr>
        <w:t>5</w:t>
      </w:r>
      <w:r w:rsidR="002C36ED" w:rsidRPr="00796959">
        <w:rPr>
          <w:rFonts w:ascii="Book Antiqua" w:hAnsi="Book Antiqua" w:cs="Times New Roman"/>
          <w:sz w:val="24"/>
          <w:szCs w:val="24"/>
        </w:rPr>
        <w:t xml:space="preserve">. Currently, </w:t>
      </w:r>
      <w:r w:rsidR="00E6277E" w:rsidRPr="00796959">
        <w:rPr>
          <w:rFonts w:ascii="Book Antiqua" w:hAnsi="Book Antiqua" w:cs="Times New Roman"/>
          <w:sz w:val="24"/>
          <w:szCs w:val="24"/>
        </w:rPr>
        <w:t>orthotopic</w:t>
      </w:r>
      <w:r w:rsidR="006B55A3" w:rsidRPr="00796959">
        <w:rPr>
          <w:rFonts w:ascii="Book Antiqua" w:hAnsi="Book Antiqua" w:cs="Times New Roman"/>
          <w:sz w:val="24"/>
          <w:szCs w:val="24"/>
        </w:rPr>
        <w:t xml:space="preserve"> </w:t>
      </w:r>
      <w:r w:rsidR="002C36ED" w:rsidRPr="00796959">
        <w:rPr>
          <w:rFonts w:ascii="Book Antiqua" w:hAnsi="Book Antiqua" w:cs="Times New Roman"/>
          <w:sz w:val="24"/>
          <w:szCs w:val="24"/>
        </w:rPr>
        <w:t>heart transplant (OHT) is the gold standard therapy for these patients</w:t>
      </w:r>
      <w:r w:rsidR="002C36ED" w:rsidRPr="00796959">
        <w:rPr>
          <w:rFonts w:ascii="Book Antiqua" w:hAnsi="Book Antiqua" w:cs="Times New Roman"/>
          <w:sz w:val="24"/>
          <w:szCs w:val="24"/>
          <w:vertAlign w:val="superscript"/>
        </w:rPr>
        <w:t>6</w:t>
      </w:r>
      <w:r w:rsidR="00465ACD" w:rsidRPr="00796959">
        <w:rPr>
          <w:rFonts w:ascii="Book Antiqua" w:hAnsi="Book Antiqua" w:cs="Times New Roman"/>
          <w:sz w:val="24"/>
          <w:szCs w:val="24"/>
          <w:vertAlign w:val="superscript"/>
        </w:rPr>
        <w:t>-</w:t>
      </w:r>
      <w:r w:rsidR="00B51BCB" w:rsidRPr="00796959">
        <w:rPr>
          <w:rFonts w:ascii="Book Antiqua" w:hAnsi="Book Antiqua" w:cs="Times New Roman"/>
          <w:sz w:val="24"/>
          <w:szCs w:val="24"/>
          <w:vertAlign w:val="superscript"/>
        </w:rPr>
        <w:t>8</w:t>
      </w:r>
      <w:r w:rsidR="00B51BCB" w:rsidRPr="00796959">
        <w:rPr>
          <w:rFonts w:ascii="Book Antiqua" w:hAnsi="Book Antiqua" w:cs="Times New Roman"/>
          <w:sz w:val="24"/>
          <w:szCs w:val="24"/>
        </w:rPr>
        <w:t xml:space="preserve">, </w:t>
      </w:r>
      <w:r w:rsidR="00094F4B" w:rsidRPr="00796959">
        <w:rPr>
          <w:rFonts w:ascii="Book Antiqua" w:hAnsi="Book Antiqua" w:cs="Times New Roman"/>
          <w:sz w:val="24"/>
          <w:szCs w:val="24"/>
        </w:rPr>
        <w:t>but</w:t>
      </w:r>
      <w:r w:rsidR="006B55A3" w:rsidRPr="00796959">
        <w:rPr>
          <w:rFonts w:ascii="Book Antiqua" w:hAnsi="Book Antiqua" w:cs="Times New Roman"/>
          <w:sz w:val="24"/>
          <w:szCs w:val="24"/>
        </w:rPr>
        <w:t xml:space="preserve"> </w:t>
      </w:r>
      <w:r w:rsidR="002C36ED" w:rsidRPr="00796959">
        <w:rPr>
          <w:rFonts w:ascii="Book Antiqua" w:hAnsi="Book Antiqua" w:cs="Times New Roman"/>
          <w:sz w:val="24"/>
          <w:szCs w:val="24"/>
        </w:rPr>
        <w:t xml:space="preserve">the number of donor hearts available for transplantation </w:t>
      </w:r>
      <w:r w:rsidR="00E6277E" w:rsidRPr="00796959">
        <w:rPr>
          <w:rFonts w:ascii="Book Antiqua" w:hAnsi="Book Antiqua" w:cs="Times New Roman"/>
          <w:sz w:val="24"/>
          <w:szCs w:val="24"/>
        </w:rPr>
        <w:t>is</w:t>
      </w:r>
      <w:r w:rsidR="00465ACD" w:rsidRPr="00796959">
        <w:rPr>
          <w:rFonts w:ascii="Book Antiqua" w:hAnsi="Book Antiqua" w:cs="Times New Roman"/>
          <w:sz w:val="24"/>
          <w:szCs w:val="24"/>
        </w:rPr>
        <w:t xml:space="preserve"> </w:t>
      </w:r>
      <w:r w:rsidR="002C36ED" w:rsidRPr="00796959">
        <w:rPr>
          <w:rFonts w:ascii="Book Antiqua" w:hAnsi="Book Antiqua" w:cs="Times New Roman"/>
          <w:sz w:val="24"/>
          <w:szCs w:val="24"/>
        </w:rPr>
        <w:t xml:space="preserve">far fewer than the number of patients </w:t>
      </w:r>
      <w:r w:rsidR="00094F4B" w:rsidRPr="00796959">
        <w:rPr>
          <w:rFonts w:ascii="Book Antiqua" w:hAnsi="Book Antiqua" w:cs="Times New Roman"/>
          <w:sz w:val="24"/>
          <w:szCs w:val="24"/>
        </w:rPr>
        <w:t>on the transplant list</w:t>
      </w:r>
      <w:r w:rsidR="002C36ED" w:rsidRPr="00796959">
        <w:rPr>
          <w:rFonts w:ascii="Book Antiqua" w:hAnsi="Book Antiqua" w:cs="Times New Roman"/>
          <w:sz w:val="24"/>
          <w:szCs w:val="24"/>
        </w:rPr>
        <w:t xml:space="preserve">. </w:t>
      </w:r>
      <w:r w:rsidR="00BD2314" w:rsidRPr="00796959">
        <w:rPr>
          <w:rFonts w:ascii="Book Antiqua" w:hAnsi="Book Antiqua" w:cs="Times New Roman"/>
          <w:sz w:val="24"/>
          <w:szCs w:val="24"/>
        </w:rPr>
        <w:t>For this reason</w:t>
      </w:r>
      <w:r w:rsidR="00465ACD" w:rsidRPr="00796959">
        <w:rPr>
          <w:rFonts w:ascii="Book Antiqua" w:hAnsi="Book Antiqua" w:cs="Times New Roman"/>
          <w:sz w:val="24"/>
          <w:szCs w:val="24"/>
        </w:rPr>
        <w:t xml:space="preserve">, </w:t>
      </w:r>
      <w:r w:rsidR="00094F4B" w:rsidRPr="00796959">
        <w:rPr>
          <w:rFonts w:ascii="Book Antiqua" w:hAnsi="Book Antiqua" w:cs="Times New Roman"/>
          <w:sz w:val="24"/>
          <w:szCs w:val="24"/>
        </w:rPr>
        <w:t>left ventricular assist devices (</w:t>
      </w:r>
      <w:r w:rsidRPr="00796959">
        <w:rPr>
          <w:rFonts w:ascii="Book Antiqua" w:hAnsi="Book Antiqua" w:cs="Times New Roman"/>
          <w:sz w:val="24"/>
          <w:szCs w:val="24"/>
        </w:rPr>
        <w:t>LVADs</w:t>
      </w:r>
      <w:r w:rsidR="00094F4B" w:rsidRPr="00796959">
        <w:rPr>
          <w:rFonts w:ascii="Book Antiqua" w:hAnsi="Book Antiqua" w:cs="Times New Roman"/>
          <w:sz w:val="24"/>
          <w:szCs w:val="24"/>
        </w:rPr>
        <w:t>)</w:t>
      </w:r>
      <w:r w:rsidR="00465ACD" w:rsidRPr="00796959">
        <w:rPr>
          <w:rFonts w:ascii="Book Antiqua" w:hAnsi="Book Antiqua" w:cs="Times New Roman"/>
          <w:sz w:val="24"/>
          <w:szCs w:val="24"/>
        </w:rPr>
        <w:t>, a class of electromechanical devices for cardiac circulatory support,</w:t>
      </w:r>
      <w:r w:rsidRPr="00796959">
        <w:rPr>
          <w:rFonts w:ascii="Book Antiqua" w:hAnsi="Book Antiqua" w:cs="Times New Roman"/>
          <w:sz w:val="24"/>
          <w:szCs w:val="24"/>
        </w:rPr>
        <w:t xml:space="preserve"> are </w:t>
      </w:r>
      <w:r w:rsidR="00BD2314" w:rsidRPr="00796959">
        <w:rPr>
          <w:rFonts w:ascii="Book Antiqua" w:hAnsi="Book Antiqua" w:cs="Times New Roman"/>
          <w:sz w:val="24"/>
          <w:szCs w:val="24"/>
        </w:rPr>
        <w:t>increasingly being used to bridge patients to cardiac transplantation</w:t>
      </w:r>
      <w:r w:rsidR="00D312B8" w:rsidRPr="00796959">
        <w:rPr>
          <w:rFonts w:ascii="Book Antiqua" w:hAnsi="Book Antiqua" w:cs="Times New Roman"/>
          <w:sz w:val="24"/>
          <w:szCs w:val="24"/>
          <w:vertAlign w:val="superscript"/>
        </w:rPr>
        <w:t>5</w:t>
      </w:r>
      <w:r w:rsidR="00BD2314" w:rsidRPr="00796959">
        <w:rPr>
          <w:rFonts w:ascii="Book Antiqua" w:hAnsi="Book Antiqua" w:cs="Times New Roman"/>
          <w:sz w:val="24"/>
          <w:szCs w:val="24"/>
        </w:rPr>
        <w:t>.</w:t>
      </w:r>
      <w:r w:rsidRPr="00796959">
        <w:rPr>
          <w:rFonts w:ascii="Book Antiqua" w:hAnsi="Book Antiqua" w:cs="Times New Roman"/>
          <w:sz w:val="24"/>
          <w:szCs w:val="24"/>
        </w:rPr>
        <w:br/>
      </w:r>
      <w:r w:rsidRPr="00796959">
        <w:rPr>
          <w:rFonts w:ascii="Book Antiqua" w:hAnsi="Book Antiqua" w:cs="Times New Roman"/>
          <w:sz w:val="24"/>
          <w:szCs w:val="24"/>
        </w:rPr>
        <w:tab/>
      </w:r>
      <w:r w:rsidR="002C36ED" w:rsidRPr="00796959">
        <w:rPr>
          <w:rFonts w:ascii="Book Antiqua" w:hAnsi="Book Antiqua" w:cs="Times New Roman"/>
          <w:sz w:val="24"/>
          <w:szCs w:val="24"/>
        </w:rPr>
        <w:t>The REMATCH trial in 2001 showed significant mortality reductions in patients placed on a pulsatile-flow LVAD compared to standard medical treatment</w:t>
      </w:r>
      <w:r w:rsidR="002C36ED" w:rsidRPr="00796959">
        <w:rPr>
          <w:rFonts w:ascii="Book Antiqua" w:hAnsi="Book Antiqua" w:cs="Times New Roman"/>
          <w:sz w:val="24"/>
          <w:szCs w:val="24"/>
          <w:vertAlign w:val="superscript"/>
        </w:rPr>
        <w:t>9</w:t>
      </w:r>
      <w:r w:rsidR="002C36ED" w:rsidRPr="00796959">
        <w:rPr>
          <w:rFonts w:ascii="Book Antiqua" w:hAnsi="Book Antiqua" w:cs="Times New Roman"/>
          <w:sz w:val="24"/>
          <w:szCs w:val="24"/>
        </w:rPr>
        <w:t>. Several subsequent studies since</w:t>
      </w:r>
      <w:r w:rsidR="00465ACD" w:rsidRPr="00796959">
        <w:rPr>
          <w:rFonts w:ascii="Book Antiqua" w:hAnsi="Book Antiqua" w:cs="Times New Roman"/>
          <w:sz w:val="24"/>
          <w:szCs w:val="24"/>
        </w:rPr>
        <w:t xml:space="preserve"> have</w:t>
      </w:r>
      <w:r w:rsidR="002C36ED" w:rsidRPr="00796959">
        <w:rPr>
          <w:rFonts w:ascii="Book Antiqua" w:hAnsi="Book Antiqua" w:cs="Times New Roman"/>
          <w:sz w:val="24"/>
          <w:szCs w:val="24"/>
        </w:rPr>
        <w:t xml:space="preserve"> confirmed the survival benefit of both the older pulsatile and newer continuous-flow LVADs</w:t>
      </w:r>
      <w:r w:rsidR="002C36ED" w:rsidRPr="00796959">
        <w:rPr>
          <w:rFonts w:ascii="Book Antiqua" w:hAnsi="Book Antiqua" w:cs="Times New Roman"/>
          <w:sz w:val="24"/>
          <w:szCs w:val="24"/>
          <w:vertAlign w:val="superscript"/>
        </w:rPr>
        <w:t>10-13</w:t>
      </w:r>
      <w:r w:rsidR="002C36ED" w:rsidRPr="00796959">
        <w:rPr>
          <w:rFonts w:ascii="Book Antiqua" w:hAnsi="Book Antiqua" w:cs="Times New Roman"/>
          <w:sz w:val="24"/>
          <w:szCs w:val="24"/>
        </w:rPr>
        <w:t xml:space="preserve">. </w:t>
      </w:r>
      <w:r w:rsidR="001F31C5" w:rsidRPr="00796959">
        <w:rPr>
          <w:rFonts w:ascii="Book Antiqua" w:hAnsi="Book Antiqua" w:cs="Times New Roman"/>
          <w:sz w:val="24"/>
          <w:szCs w:val="24"/>
        </w:rPr>
        <w:t>Although</w:t>
      </w:r>
      <w:r w:rsidR="00465ACD" w:rsidRPr="00796959">
        <w:rPr>
          <w:rFonts w:ascii="Book Antiqua" w:hAnsi="Book Antiqua" w:cs="Times New Roman"/>
          <w:sz w:val="24"/>
          <w:szCs w:val="24"/>
        </w:rPr>
        <w:t xml:space="preserve"> </w:t>
      </w:r>
      <w:r w:rsidR="002C36ED" w:rsidRPr="00796959">
        <w:rPr>
          <w:rFonts w:ascii="Book Antiqua" w:hAnsi="Book Antiqua" w:cs="Times New Roman"/>
          <w:sz w:val="24"/>
          <w:szCs w:val="24"/>
        </w:rPr>
        <w:t>LVADs have substantially reduced mortality in end-stage heart failure patients, the absolute mo</w:t>
      </w:r>
      <w:r w:rsidR="00B51BCB" w:rsidRPr="00796959">
        <w:rPr>
          <w:rFonts w:ascii="Book Antiqua" w:hAnsi="Book Antiqua" w:cs="Times New Roman"/>
          <w:sz w:val="24"/>
          <w:szCs w:val="24"/>
        </w:rPr>
        <w:t xml:space="preserve">rtality rates still remain </w:t>
      </w:r>
      <w:r w:rsidR="002C36ED" w:rsidRPr="00796959">
        <w:rPr>
          <w:rFonts w:ascii="Book Antiqua" w:hAnsi="Book Antiqua" w:cs="Times New Roman"/>
          <w:sz w:val="24"/>
          <w:szCs w:val="24"/>
        </w:rPr>
        <w:t>high. A large portion of this mortality is attributable to complications and other occurrences during the patient’s stay in the hospital</w:t>
      </w:r>
      <w:r w:rsidR="002C36ED" w:rsidRPr="00796959">
        <w:rPr>
          <w:rFonts w:ascii="Book Antiqua" w:hAnsi="Book Antiqua" w:cs="Times New Roman"/>
          <w:sz w:val="24"/>
          <w:szCs w:val="24"/>
          <w:vertAlign w:val="superscript"/>
        </w:rPr>
        <w:t>15</w:t>
      </w:r>
      <w:r w:rsidR="002C36ED" w:rsidRPr="00796959">
        <w:rPr>
          <w:rFonts w:ascii="Book Antiqua" w:hAnsi="Book Antiqua" w:cs="Times New Roman"/>
          <w:sz w:val="24"/>
          <w:szCs w:val="24"/>
        </w:rPr>
        <w:t>. In-hospital mortality rates as high as 27% have been reported in patients after LVAD surgery</w:t>
      </w:r>
      <w:r w:rsidR="002C36ED" w:rsidRPr="00796959">
        <w:rPr>
          <w:rFonts w:ascii="Book Antiqua" w:hAnsi="Book Antiqua" w:cs="Times New Roman"/>
          <w:sz w:val="24"/>
          <w:szCs w:val="24"/>
          <w:vertAlign w:val="superscript"/>
        </w:rPr>
        <w:t>15</w:t>
      </w:r>
      <w:r w:rsidR="002C36ED" w:rsidRPr="00796959">
        <w:rPr>
          <w:rFonts w:ascii="Book Antiqua" w:hAnsi="Book Antiqua" w:cs="Times New Roman"/>
          <w:sz w:val="24"/>
          <w:szCs w:val="24"/>
        </w:rPr>
        <w:t xml:space="preserve">. </w:t>
      </w:r>
    </w:p>
    <w:p w14:paraId="38B9ED11" w14:textId="44176CF8" w:rsidR="002C36ED" w:rsidRPr="00796959" w:rsidRDefault="002C36ED" w:rsidP="00796959">
      <w:pPr>
        <w:pStyle w:val="NoSpacing"/>
        <w:spacing w:line="360" w:lineRule="auto"/>
        <w:ind w:firstLine="720"/>
        <w:rPr>
          <w:rFonts w:ascii="Book Antiqua" w:hAnsi="Book Antiqua" w:cs="Times New Roman"/>
          <w:sz w:val="24"/>
          <w:szCs w:val="24"/>
        </w:rPr>
      </w:pPr>
      <w:r w:rsidRPr="00796959">
        <w:rPr>
          <w:rFonts w:ascii="Book Antiqua" w:hAnsi="Book Antiqua" w:cs="Times New Roman"/>
          <w:sz w:val="24"/>
          <w:szCs w:val="24"/>
        </w:rPr>
        <w:t xml:space="preserve">As the rate of LVAD implantation in the United States </w:t>
      </w:r>
      <w:r w:rsidR="00465ACD" w:rsidRPr="00796959">
        <w:rPr>
          <w:rFonts w:ascii="Book Antiqua" w:hAnsi="Book Antiqua" w:cs="Times New Roman"/>
          <w:sz w:val="24"/>
          <w:szCs w:val="24"/>
        </w:rPr>
        <w:t>continues to increase</w:t>
      </w:r>
      <w:r w:rsidRPr="00796959">
        <w:rPr>
          <w:rFonts w:ascii="Book Antiqua" w:hAnsi="Book Antiqua" w:cs="Times New Roman"/>
          <w:sz w:val="24"/>
          <w:szCs w:val="24"/>
          <w:vertAlign w:val="superscript"/>
        </w:rPr>
        <w:t>19-22</w:t>
      </w:r>
      <w:r w:rsidRPr="00796959">
        <w:rPr>
          <w:rFonts w:ascii="Book Antiqua" w:hAnsi="Book Antiqua" w:cs="Times New Roman"/>
          <w:sz w:val="24"/>
          <w:szCs w:val="24"/>
        </w:rPr>
        <w:t xml:space="preserve">, effective recommendations on the in-hospital management of LVAD implantation are </w:t>
      </w:r>
      <w:r w:rsidR="00465ACD" w:rsidRPr="00796959">
        <w:rPr>
          <w:rFonts w:ascii="Book Antiqua" w:hAnsi="Book Antiqua" w:cs="Times New Roman"/>
          <w:sz w:val="24"/>
          <w:szCs w:val="24"/>
        </w:rPr>
        <w:t>needed</w:t>
      </w:r>
      <w:r w:rsidRPr="00796959">
        <w:rPr>
          <w:rFonts w:ascii="Book Antiqua" w:hAnsi="Book Antiqua" w:cs="Times New Roman"/>
          <w:sz w:val="24"/>
          <w:szCs w:val="24"/>
        </w:rPr>
        <w:t xml:space="preserve">. </w:t>
      </w:r>
      <w:r w:rsidR="00C87537" w:rsidRPr="00796959">
        <w:rPr>
          <w:rFonts w:ascii="Book Antiqua" w:hAnsi="Book Antiqua" w:cs="Times New Roman"/>
          <w:sz w:val="24"/>
          <w:szCs w:val="24"/>
        </w:rPr>
        <w:t xml:space="preserve">Although the majority of cardiac transplants performed after LVAD implantation occur after a patient has been discharged from hospital, there is an important cohort of patients who cannot be discharged from hospital post-LVAD </w:t>
      </w:r>
      <w:r w:rsidR="00C87537" w:rsidRPr="00796959">
        <w:rPr>
          <w:rFonts w:ascii="Book Antiqua" w:hAnsi="Book Antiqua" w:cs="Times New Roman"/>
          <w:sz w:val="24"/>
          <w:szCs w:val="24"/>
        </w:rPr>
        <w:lastRenderedPageBreak/>
        <w:t>implant due to severe right ventricular failure, arrhythmias refractory to oral therapy, and infectious complications. P</w:t>
      </w:r>
      <w:r w:rsidR="003E0043" w:rsidRPr="00796959">
        <w:rPr>
          <w:rFonts w:ascii="Book Antiqua" w:hAnsi="Book Antiqua" w:cs="Times New Roman"/>
          <w:sz w:val="24"/>
          <w:szCs w:val="24"/>
        </w:rPr>
        <w:t>atients bridged to OHT with a LVAD achieve similar survival rates as patients who undergo direct heart transplant</w:t>
      </w:r>
      <w:r w:rsidR="003E0043" w:rsidRPr="00796959">
        <w:rPr>
          <w:rFonts w:ascii="Book Antiqua" w:hAnsi="Book Antiqua" w:cs="Times New Roman"/>
          <w:sz w:val="24"/>
          <w:szCs w:val="24"/>
          <w:vertAlign w:val="superscript"/>
        </w:rPr>
        <w:t>14</w:t>
      </w:r>
      <w:r w:rsidR="00465ACD" w:rsidRPr="00796959">
        <w:rPr>
          <w:rFonts w:ascii="Book Antiqua" w:hAnsi="Book Antiqua" w:cs="Times New Roman"/>
          <w:sz w:val="24"/>
          <w:szCs w:val="24"/>
        </w:rPr>
        <w:t>,</w:t>
      </w:r>
      <w:r w:rsidR="003E0043" w:rsidRPr="00796959">
        <w:rPr>
          <w:rFonts w:ascii="Book Antiqua" w:hAnsi="Book Antiqua" w:cs="Times New Roman"/>
          <w:sz w:val="24"/>
          <w:szCs w:val="24"/>
        </w:rPr>
        <w:t xml:space="preserve"> </w:t>
      </w:r>
      <w:r w:rsidR="00842E7E" w:rsidRPr="00796959">
        <w:rPr>
          <w:rFonts w:ascii="Book Antiqua" w:hAnsi="Book Antiqua" w:cs="Times New Roman"/>
          <w:sz w:val="24"/>
          <w:szCs w:val="24"/>
        </w:rPr>
        <w:t xml:space="preserve">but </w:t>
      </w:r>
      <w:r w:rsidR="003E0043" w:rsidRPr="00796959">
        <w:rPr>
          <w:rFonts w:ascii="Book Antiqua" w:hAnsi="Book Antiqua" w:cs="Times New Roman"/>
          <w:sz w:val="24"/>
          <w:szCs w:val="24"/>
        </w:rPr>
        <w:t xml:space="preserve">there is little data to guide clinicians </w:t>
      </w:r>
      <w:r w:rsidR="00842E7E" w:rsidRPr="00796959">
        <w:rPr>
          <w:rFonts w:ascii="Book Antiqua" w:hAnsi="Book Antiqua" w:cs="Times New Roman"/>
          <w:sz w:val="24"/>
          <w:szCs w:val="24"/>
        </w:rPr>
        <w:t xml:space="preserve">on </w:t>
      </w:r>
      <w:r w:rsidR="003E0043" w:rsidRPr="00796959">
        <w:rPr>
          <w:rFonts w:ascii="Book Antiqua" w:hAnsi="Book Antiqua" w:cs="Times New Roman"/>
          <w:sz w:val="24"/>
          <w:szCs w:val="24"/>
        </w:rPr>
        <w:t xml:space="preserve">the optimal timing of </w:t>
      </w:r>
      <w:r w:rsidR="00C87537" w:rsidRPr="00796959">
        <w:rPr>
          <w:rFonts w:ascii="Book Antiqua" w:hAnsi="Book Antiqua" w:cs="Times New Roman"/>
          <w:sz w:val="24"/>
          <w:szCs w:val="24"/>
        </w:rPr>
        <w:t xml:space="preserve">same-admission </w:t>
      </w:r>
      <w:r w:rsidR="003E0043" w:rsidRPr="00796959">
        <w:rPr>
          <w:rFonts w:ascii="Book Antiqua" w:hAnsi="Book Antiqua" w:cs="Times New Roman"/>
          <w:sz w:val="24"/>
          <w:szCs w:val="24"/>
        </w:rPr>
        <w:t>OHT after LVAD implantation.</w:t>
      </w:r>
      <w:r w:rsidR="00842E7E" w:rsidRPr="00796959">
        <w:rPr>
          <w:rFonts w:ascii="Book Antiqua" w:hAnsi="Book Antiqua" w:cs="Times New Roman"/>
          <w:sz w:val="24"/>
          <w:szCs w:val="24"/>
        </w:rPr>
        <w:t xml:space="preserve"> </w:t>
      </w:r>
      <w:r w:rsidR="00C87537" w:rsidRPr="00796959">
        <w:rPr>
          <w:rFonts w:ascii="Book Antiqua" w:hAnsi="Book Antiqua" w:cs="Times New Roman"/>
          <w:sz w:val="24"/>
          <w:szCs w:val="24"/>
        </w:rPr>
        <w:t xml:space="preserve">Though </w:t>
      </w:r>
      <w:r w:rsidR="004333EC" w:rsidRPr="00796959">
        <w:rPr>
          <w:rFonts w:ascii="Book Antiqua" w:hAnsi="Book Antiqua" w:cs="Times New Roman"/>
          <w:sz w:val="24"/>
          <w:szCs w:val="24"/>
        </w:rPr>
        <w:t xml:space="preserve">patients </w:t>
      </w:r>
      <w:r w:rsidR="00C87537" w:rsidRPr="00796959">
        <w:rPr>
          <w:rFonts w:ascii="Book Antiqua" w:hAnsi="Book Antiqua" w:cs="Times New Roman"/>
          <w:sz w:val="24"/>
          <w:szCs w:val="24"/>
        </w:rPr>
        <w:t xml:space="preserve">receiving LVADs </w:t>
      </w:r>
      <w:r w:rsidR="004333EC" w:rsidRPr="00796959">
        <w:rPr>
          <w:rFonts w:ascii="Book Antiqua" w:hAnsi="Book Antiqua" w:cs="Times New Roman"/>
          <w:sz w:val="24"/>
          <w:szCs w:val="24"/>
        </w:rPr>
        <w:t>may be considered for OHT while still inpatients, s</w:t>
      </w:r>
      <w:r w:rsidR="003E0043" w:rsidRPr="00796959">
        <w:rPr>
          <w:rFonts w:ascii="Book Antiqua" w:hAnsi="Book Antiqua" w:cs="Times New Roman"/>
          <w:sz w:val="24"/>
          <w:szCs w:val="24"/>
        </w:rPr>
        <w:t>ome have argued that performing OHT early after LVAD placement poses an increased risk of morbidity and mortality to patients.</w:t>
      </w:r>
      <w:r w:rsidR="004333EC" w:rsidRPr="00796959">
        <w:rPr>
          <w:rFonts w:ascii="Book Antiqua" w:hAnsi="Book Antiqua" w:cs="Times New Roman"/>
          <w:sz w:val="24"/>
          <w:szCs w:val="24"/>
        </w:rPr>
        <w:t xml:space="preserve"> </w:t>
      </w:r>
    </w:p>
    <w:p w14:paraId="16A2FF26" w14:textId="468D617D" w:rsidR="004333EC" w:rsidRPr="00796959" w:rsidRDefault="004C1D3A" w:rsidP="00796959">
      <w:pPr>
        <w:pStyle w:val="NoSpacing"/>
        <w:spacing w:line="360" w:lineRule="auto"/>
        <w:rPr>
          <w:rFonts w:ascii="Book Antiqua" w:hAnsi="Book Antiqua" w:cs="Times New Roman"/>
          <w:sz w:val="24"/>
          <w:szCs w:val="24"/>
        </w:rPr>
      </w:pPr>
      <w:r w:rsidRPr="00796959">
        <w:rPr>
          <w:rFonts w:ascii="Book Antiqua" w:hAnsi="Book Antiqua" w:cs="Times New Roman"/>
          <w:sz w:val="24"/>
          <w:szCs w:val="24"/>
        </w:rPr>
        <w:tab/>
      </w:r>
      <w:r w:rsidR="002C36ED" w:rsidRPr="00796959">
        <w:rPr>
          <w:rFonts w:ascii="Book Antiqua" w:hAnsi="Book Antiqua" w:cs="Times New Roman"/>
          <w:sz w:val="24"/>
          <w:szCs w:val="24"/>
        </w:rPr>
        <w:t>Past studies on the appropriate use and outcomes of LVADs have been</w:t>
      </w:r>
      <w:r w:rsidR="008035B7" w:rsidRPr="00796959">
        <w:rPr>
          <w:rFonts w:ascii="Book Antiqua" w:hAnsi="Book Antiqua" w:cs="Times New Roman"/>
          <w:sz w:val="24"/>
          <w:szCs w:val="24"/>
        </w:rPr>
        <w:t xml:space="preserve"> mostly</w:t>
      </w:r>
      <w:r w:rsidR="002C36ED" w:rsidRPr="00796959">
        <w:rPr>
          <w:rFonts w:ascii="Book Antiqua" w:hAnsi="Book Antiqua" w:cs="Times New Roman"/>
          <w:sz w:val="24"/>
          <w:szCs w:val="24"/>
        </w:rPr>
        <w:t xml:space="preserve"> limited to institutional experience and case series of select populations. While such descriptive investigations are useful, they are often limited by small sample size and variation between </w:t>
      </w:r>
      <w:r w:rsidR="00B51BCB" w:rsidRPr="00796959">
        <w:rPr>
          <w:rFonts w:ascii="Book Antiqua" w:hAnsi="Book Antiqua" w:cs="Times New Roman"/>
          <w:sz w:val="24"/>
          <w:szCs w:val="24"/>
        </w:rPr>
        <w:t xml:space="preserve">institutions and </w:t>
      </w:r>
      <w:r w:rsidR="002C36ED" w:rsidRPr="00796959">
        <w:rPr>
          <w:rFonts w:ascii="Book Antiqua" w:hAnsi="Book Antiqua" w:cs="Times New Roman"/>
          <w:sz w:val="24"/>
          <w:szCs w:val="24"/>
        </w:rPr>
        <w:t xml:space="preserve">comparison groups. </w:t>
      </w:r>
      <w:r w:rsidR="003E0043" w:rsidRPr="00796959">
        <w:rPr>
          <w:rFonts w:ascii="Book Antiqua" w:hAnsi="Book Antiqua" w:cs="Times New Roman"/>
          <w:sz w:val="24"/>
          <w:szCs w:val="24"/>
        </w:rPr>
        <w:t>We used</w:t>
      </w:r>
      <w:r w:rsidR="00842E7E" w:rsidRPr="00796959">
        <w:rPr>
          <w:rFonts w:ascii="Book Antiqua" w:hAnsi="Book Antiqua" w:cs="Times New Roman"/>
          <w:sz w:val="24"/>
          <w:szCs w:val="24"/>
        </w:rPr>
        <w:t xml:space="preserve"> </w:t>
      </w:r>
      <w:r w:rsidR="002C36ED" w:rsidRPr="00796959">
        <w:rPr>
          <w:rFonts w:ascii="Book Antiqua" w:hAnsi="Book Antiqua" w:cs="Times New Roman"/>
          <w:sz w:val="24"/>
          <w:szCs w:val="24"/>
        </w:rPr>
        <w:t xml:space="preserve">the National Inpatient Sample, </w:t>
      </w:r>
      <w:r w:rsidR="00B51BCB" w:rsidRPr="00796959">
        <w:rPr>
          <w:rFonts w:ascii="Book Antiqua" w:hAnsi="Book Antiqua" w:cs="Times New Roman"/>
          <w:sz w:val="24"/>
          <w:szCs w:val="24"/>
        </w:rPr>
        <w:t xml:space="preserve">the largest national database of hospitalizations in the United States with </w:t>
      </w:r>
      <w:r w:rsidR="002C36ED" w:rsidRPr="00796959">
        <w:rPr>
          <w:rFonts w:ascii="Book Antiqua" w:hAnsi="Book Antiqua" w:cs="Times New Roman"/>
          <w:sz w:val="24"/>
          <w:szCs w:val="24"/>
        </w:rPr>
        <w:t xml:space="preserve">data from over 36 million hospitalizations, to assess the optimal </w:t>
      </w:r>
      <w:r w:rsidR="003E0043" w:rsidRPr="00796959">
        <w:rPr>
          <w:rFonts w:ascii="Book Antiqua" w:hAnsi="Book Antiqua" w:cs="Times New Roman"/>
          <w:sz w:val="24"/>
          <w:szCs w:val="24"/>
        </w:rPr>
        <w:t xml:space="preserve">timing of OHT after LVAD implantation. </w:t>
      </w:r>
      <w:r w:rsidR="00A77F78" w:rsidRPr="00796959">
        <w:rPr>
          <w:rFonts w:ascii="Book Antiqua" w:hAnsi="Book Antiqua" w:cs="Times New Roman"/>
          <w:sz w:val="24"/>
          <w:szCs w:val="24"/>
        </w:rPr>
        <w:t xml:space="preserve">The NIS dataset complements the UNOS database and INTERMACS dataset with additional information on patient comorbidities, additional same-hospitalization procedures, </w:t>
      </w:r>
      <w:r w:rsidR="00DD2666" w:rsidRPr="00796959">
        <w:rPr>
          <w:rFonts w:ascii="Book Antiqua" w:hAnsi="Book Antiqua" w:cs="Times New Roman"/>
          <w:sz w:val="24"/>
          <w:szCs w:val="24"/>
        </w:rPr>
        <w:t>hospital and center</w:t>
      </w:r>
      <w:r w:rsidR="00A77F78" w:rsidRPr="00796959">
        <w:rPr>
          <w:rFonts w:ascii="Book Antiqua" w:hAnsi="Book Antiqua" w:cs="Times New Roman"/>
          <w:sz w:val="24"/>
          <w:szCs w:val="24"/>
        </w:rPr>
        <w:t xml:space="preserve"> characteristics, </w:t>
      </w:r>
      <w:r w:rsidR="00DD2666" w:rsidRPr="00796959">
        <w:rPr>
          <w:rFonts w:ascii="Book Antiqua" w:hAnsi="Book Antiqua" w:cs="Times New Roman"/>
          <w:sz w:val="24"/>
          <w:szCs w:val="24"/>
        </w:rPr>
        <w:t xml:space="preserve">and </w:t>
      </w:r>
      <w:r w:rsidR="00E06CA7" w:rsidRPr="00796959">
        <w:rPr>
          <w:rFonts w:ascii="Book Antiqua" w:hAnsi="Book Antiqua" w:cs="Times New Roman"/>
          <w:sz w:val="24"/>
          <w:szCs w:val="24"/>
        </w:rPr>
        <w:t xml:space="preserve">markers of </w:t>
      </w:r>
      <w:r w:rsidR="00DD2666" w:rsidRPr="00796959">
        <w:rPr>
          <w:rFonts w:ascii="Book Antiqua" w:hAnsi="Book Antiqua" w:cs="Times New Roman"/>
          <w:sz w:val="24"/>
          <w:szCs w:val="24"/>
        </w:rPr>
        <w:t xml:space="preserve">patient’s </w:t>
      </w:r>
      <w:r w:rsidR="00E06CA7" w:rsidRPr="00796959">
        <w:rPr>
          <w:rFonts w:ascii="Book Antiqua" w:hAnsi="Book Antiqua" w:cs="Times New Roman"/>
          <w:sz w:val="24"/>
          <w:szCs w:val="24"/>
        </w:rPr>
        <w:t>socioeconomic status including insurance provider and regional income quartiles.</w:t>
      </w:r>
      <w:r w:rsidR="00A77F78" w:rsidRPr="00796959">
        <w:rPr>
          <w:rFonts w:ascii="Book Antiqua" w:hAnsi="Book Antiqua" w:cs="Times New Roman"/>
          <w:sz w:val="24"/>
          <w:szCs w:val="24"/>
        </w:rPr>
        <w:t xml:space="preserve"> </w:t>
      </w:r>
      <w:r w:rsidR="00B31AAA" w:rsidRPr="00796959">
        <w:rPr>
          <w:rFonts w:ascii="Book Antiqua" w:hAnsi="Book Antiqua" w:cs="Times New Roman"/>
          <w:sz w:val="24"/>
          <w:szCs w:val="24"/>
        </w:rPr>
        <w:t>In addition, the NIS dataset contains data on both LVAD and inpatient OHT, which are not simultaneously available in the UNOS or INTERMACS databases.</w:t>
      </w:r>
    </w:p>
    <w:p w14:paraId="4FC876EC" w14:textId="31AB6088" w:rsidR="002C36ED" w:rsidRPr="00796959" w:rsidRDefault="00E06CA7" w:rsidP="00796959">
      <w:pPr>
        <w:pStyle w:val="NoSpacing"/>
        <w:spacing w:line="360" w:lineRule="auto"/>
        <w:ind w:firstLine="720"/>
        <w:rPr>
          <w:rFonts w:ascii="Book Antiqua" w:hAnsi="Book Antiqua" w:cs="Times New Roman"/>
          <w:sz w:val="24"/>
          <w:szCs w:val="24"/>
        </w:rPr>
      </w:pPr>
      <w:r w:rsidRPr="00796959">
        <w:rPr>
          <w:rFonts w:ascii="Book Antiqua" w:hAnsi="Book Antiqua" w:cs="Times New Roman"/>
          <w:sz w:val="24"/>
          <w:szCs w:val="24"/>
        </w:rPr>
        <w:t>We</w:t>
      </w:r>
      <w:r w:rsidR="003E0043" w:rsidRPr="00796959">
        <w:rPr>
          <w:rFonts w:ascii="Book Antiqua" w:hAnsi="Book Antiqua" w:cs="Times New Roman"/>
          <w:sz w:val="24"/>
          <w:szCs w:val="24"/>
        </w:rPr>
        <w:t xml:space="preserve"> analyzed a patient cohort who had OHT performed </w:t>
      </w:r>
      <w:r w:rsidR="00842E7E" w:rsidRPr="00796959">
        <w:rPr>
          <w:rFonts w:ascii="Book Antiqua" w:hAnsi="Book Antiqua" w:cs="Times New Roman"/>
          <w:sz w:val="24"/>
          <w:szCs w:val="24"/>
        </w:rPr>
        <w:t>during the same admission</w:t>
      </w:r>
      <w:r w:rsidR="003E0043" w:rsidRPr="00796959">
        <w:rPr>
          <w:rFonts w:ascii="Book Antiqua" w:hAnsi="Book Antiqua" w:cs="Times New Roman"/>
          <w:sz w:val="24"/>
          <w:szCs w:val="24"/>
        </w:rPr>
        <w:t xml:space="preserve"> after LVAD implantation. We hypothesized that early OHT after LVAD </w:t>
      </w:r>
      <w:r w:rsidR="00842E7E" w:rsidRPr="00796959">
        <w:rPr>
          <w:rFonts w:ascii="Book Antiqua" w:hAnsi="Book Antiqua" w:cs="Times New Roman"/>
          <w:sz w:val="24"/>
          <w:szCs w:val="24"/>
        </w:rPr>
        <w:t xml:space="preserve">implantation </w:t>
      </w:r>
      <w:r w:rsidR="003E0043" w:rsidRPr="00796959">
        <w:rPr>
          <w:rFonts w:ascii="Book Antiqua" w:hAnsi="Book Antiqua" w:cs="Times New Roman"/>
          <w:sz w:val="24"/>
          <w:szCs w:val="24"/>
        </w:rPr>
        <w:t xml:space="preserve">would </w:t>
      </w:r>
      <w:r w:rsidRPr="00796959">
        <w:rPr>
          <w:rFonts w:ascii="Book Antiqua" w:hAnsi="Book Antiqua" w:cs="Times New Roman"/>
          <w:sz w:val="24"/>
          <w:szCs w:val="24"/>
        </w:rPr>
        <w:t xml:space="preserve">be </w:t>
      </w:r>
      <w:r w:rsidR="00842E7E" w:rsidRPr="00796959">
        <w:rPr>
          <w:rFonts w:ascii="Book Antiqua" w:hAnsi="Book Antiqua" w:cs="Times New Roman"/>
          <w:sz w:val="24"/>
          <w:szCs w:val="24"/>
        </w:rPr>
        <w:t>associate</w:t>
      </w:r>
      <w:r w:rsidRPr="00796959">
        <w:rPr>
          <w:rFonts w:ascii="Book Antiqua" w:hAnsi="Book Antiqua" w:cs="Times New Roman"/>
          <w:sz w:val="24"/>
          <w:szCs w:val="24"/>
        </w:rPr>
        <w:t>d</w:t>
      </w:r>
      <w:r w:rsidR="00842E7E" w:rsidRPr="00796959">
        <w:rPr>
          <w:rFonts w:ascii="Book Antiqua" w:hAnsi="Book Antiqua" w:cs="Times New Roman"/>
          <w:sz w:val="24"/>
          <w:szCs w:val="24"/>
        </w:rPr>
        <w:t xml:space="preserve"> with </w:t>
      </w:r>
      <w:r w:rsidR="003E0043" w:rsidRPr="00796959">
        <w:rPr>
          <w:rFonts w:ascii="Book Antiqua" w:hAnsi="Book Antiqua" w:cs="Times New Roman"/>
          <w:sz w:val="24"/>
          <w:szCs w:val="24"/>
        </w:rPr>
        <w:t>higher mortality than late OHT, and</w:t>
      </w:r>
      <w:r w:rsidR="00842E7E" w:rsidRPr="00796959">
        <w:rPr>
          <w:rFonts w:ascii="Book Antiqua" w:hAnsi="Book Antiqua" w:cs="Times New Roman"/>
          <w:sz w:val="24"/>
          <w:szCs w:val="24"/>
        </w:rPr>
        <w:t xml:space="preserve"> that </w:t>
      </w:r>
      <w:r w:rsidR="003E0043" w:rsidRPr="00796959">
        <w:rPr>
          <w:rFonts w:ascii="Book Antiqua" w:hAnsi="Book Antiqua" w:cs="Times New Roman"/>
          <w:sz w:val="24"/>
          <w:szCs w:val="24"/>
        </w:rPr>
        <w:t xml:space="preserve">the hospital length of stay (LOS) after early OHT would be less than LOS after late OHT. </w:t>
      </w:r>
    </w:p>
    <w:p w14:paraId="524D8ED2" w14:textId="63DD6E7C" w:rsidR="00036D0E" w:rsidRPr="00796959" w:rsidRDefault="00036D0E" w:rsidP="00796959">
      <w:pPr>
        <w:rPr>
          <w:rFonts w:ascii="Book Antiqua" w:hAnsi="Book Antiqua" w:cs="Times New Roman"/>
          <w:b/>
          <w:sz w:val="24"/>
          <w:szCs w:val="24"/>
        </w:rPr>
      </w:pPr>
    </w:p>
    <w:p w14:paraId="046D00C9" w14:textId="77777777" w:rsidR="006C7F64" w:rsidRPr="00796959" w:rsidRDefault="006C7F64" w:rsidP="00796959">
      <w:pPr>
        <w:rPr>
          <w:rFonts w:ascii="Book Antiqua" w:hAnsi="Book Antiqua" w:cs="Times New Roman"/>
          <w:b/>
          <w:sz w:val="24"/>
          <w:szCs w:val="24"/>
        </w:rPr>
      </w:pPr>
      <w:r w:rsidRPr="00796959">
        <w:rPr>
          <w:rFonts w:ascii="Book Antiqua" w:hAnsi="Book Antiqua" w:cs="Times New Roman"/>
          <w:b/>
          <w:sz w:val="24"/>
          <w:szCs w:val="24"/>
        </w:rPr>
        <w:t>Methods</w:t>
      </w:r>
    </w:p>
    <w:p w14:paraId="64C3C11C" w14:textId="77777777" w:rsidR="006C7F64" w:rsidRPr="00796959" w:rsidRDefault="006C7F64" w:rsidP="00796959">
      <w:pPr>
        <w:rPr>
          <w:rFonts w:ascii="Book Antiqua" w:hAnsi="Book Antiqua" w:cs="Times New Roman"/>
          <w:b/>
          <w:sz w:val="24"/>
          <w:szCs w:val="24"/>
        </w:rPr>
      </w:pPr>
      <w:r w:rsidRPr="00796959">
        <w:rPr>
          <w:rFonts w:ascii="Book Antiqua" w:hAnsi="Book Antiqua" w:cs="Times New Roman"/>
          <w:b/>
          <w:sz w:val="24"/>
          <w:szCs w:val="24"/>
        </w:rPr>
        <w:t>Data Source</w:t>
      </w:r>
    </w:p>
    <w:p w14:paraId="6EF92978" w14:textId="19FA3BCC" w:rsidR="000E4EC3" w:rsidRPr="00796959" w:rsidRDefault="00471DDD" w:rsidP="00796959">
      <w:pPr>
        <w:ind w:firstLine="720"/>
        <w:rPr>
          <w:rFonts w:ascii="Book Antiqua" w:hAnsi="Book Antiqua" w:cs="Times New Roman"/>
          <w:sz w:val="24"/>
          <w:szCs w:val="24"/>
        </w:rPr>
      </w:pPr>
      <w:r w:rsidRPr="00796959">
        <w:rPr>
          <w:rFonts w:ascii="Book Antiqua" w:hAnsi="Book Antiqua" w:cs="Times New Roman"/>
          <w:sz w:val="24"/>
          <w:szCs w:val="24"/>
        </w:rPr>
        <w:t>The Nationwide Inpatient Sample (NIS) from the Healthcare Cost and Utilization Project</w:t>
      </w:r>
      <w:r w:rsidR="00B85F21" w:rsidRPr="00796959">
        <w:rPr>
          <w:rFonts w:ascii="Book Antiqua" w:hAnsi="Book Antiqua" w:cs="Times New Roman"/>
          <w:sz w:val="24"/>
          <w:szCs w:val="24"/>
        </w:rPr>
        <w:t xml:space="preserve"> sponsored by the</w:t>
      </w:r>
      <w:r w:rsidRPr="00796959">
        <w:rPr>
          <w:rFonts w:ascii="Book Antiqua" w:hAnsi="Book Antiqua" w:cs="Times New Roman"/>
          <w:sz w:val="24"/>
          <w:szCs w:val="24"/>
        </w:rPr>
        <w:t xml:space="preserve"> Agency for Healthcare Research and Quality is the largest database of all-payer inpatient discharge information, sampling approximately 20% of </w:t>
      </w:r>
      <w:r w:rsidRPr="00796959">
        <w:rPr>
          <w:rFonts w:ascii="Book Antiqua" w:hAnsi="Book Antiqua" w:cs="Times New Roman"/>
          <w:sz w:val="24"/>
          <w:szCs w:val="24"/>
        </w:rPr>
        <w:lastRenderedPageBreak/>
        <w:t xml:space="preserve">all non-federal US hospitals and including approximately 9 million hospital admissions each year. </w:t>
      </w:r>
      <w:r w:rsidR="00F86176" w:rsidRPr="00796959">
        <w:rPr>
          <w:rFonts w:ascii="Book Antiqua" w:hAnsi="Book Antiqua" w:cs="Times New Roman"/>
          <w:sz w:val="24"/>
          <w:szCs w:val="24"/>
        </w:rPr>
        <w:t>It contains discharge data from over 5</w:t>
      </w:r>
      <w:r w:rsidR="00EF260C" w:rsidRPr="00796959">
        <w:rPr>
          <w:rFonts w:ascii="Book Antiqua" w:hAnsi="Book Antiqua" w:cs="Times New Roman"/>
          <w:sz w:val="24"/>
          <w:szCs w:val="24"/>
        </w:rPr>
        <w:t>,</w:t>
      </w:r>
      <w:r w:rsidR="00F86176" w:rsidRPr="00796959">
        <w:rPr>
          <w:rFonts w:ascii="Book Antiqua" w:hAnsi="Book Antiqua" w:cs="Times New Roman"/>
          <w:sz w:val="24"/>
          <w:szCs w:val="24"/>
        </w:rPr>
        <w:t xml:space="preserve">000 hospitals located across 45 states, of which approximately 1,200 hospitals are sampled each year to create a </w:t>
      </w:r>
      <w:r w:rsidR="008035B7" w:rsidRPr="00796959">
        <w:rPr>
          <w:rFonts w:ascii="Book Antiqua" w:hAnsi="Book Antiqua" w:cs="Times New Roman"/>
          <w:sz w:val="24"/>
          <w:szCs w:val="24"/>
        </w:rPr>
        <w:t>stratified</w:t>
      </w:r>
      <w:r w:rsidR="00F86176" w:rsidRPr="00796959">
        <w:rPr>
          <w:rFonts w:ascii="Book Antiqua" w:hAnsi="Book Antiqua" w:cs="Times New Roman"/>
          <w:sz w:val="24"/>
          <w:szCs w:val="24"/>
        </w:rPr>
        <w:t xml:space="preserve"> sample of </w:t>
      </w:r>
      <w:r w:rsidR="00EF260C" w:rsidRPr="00796959">
        <w:rPr>
          <w:rFonts w:ascii="Book Antiqua" w:hAnsi="Book Antiqua" w:cs="Times New Roman"/>
          <w:sz w:val="24"/>
          <w:szCs w:val="24"/>
        </w:rPr>
        <w:t>US</w:t>
      </w:r>
      <w:r w:rsidR="00F86176" w:rsidRPr="00796959">
        <w:rPr>
          <w:rFonts w:ascii="Book Antiqua" w:hAnsi="Book Antiqua" w:cs="Times New Roman"/>
          <w:sz w:val="24"/>
          <w:szCs w:val="24"/>
        </w:rPr>
        <w:t xml:space="preserve"> hospitals. </w:t>
      </w:r>
      <w:r w:rsidRPr="00796959">
        <w:rPr>
          <w:rFonts w:ascii="Book Antiqua" w:hAnsi="Book Antiqua"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14:paraId="1DED9EF5" w14:textId="77777777" w:rsidR="00471DDD" w:rsidRPr="00796959" w:rsidRDefault="00471DDD" w:rsidP="00796959">
      <w:pPr>
        <w:ind w:firstLine="720"/>
        <w:rPr>
          <w:rFonts w:ascii="Book Antiqua" w:hAnsi="Book Antiqua" w:cs="Times New Roman"/>
          <w:b/>
          <w:sz w:val="24"/>
          <w:szCs w:val="24"/>
        </w:rPr>
      </w:pPr>
    </w:p>
    <w:p w14:paraId="3FF7E10A" w14:textId="77777777" w:rsidR="006C7F64" w:rsidRPr="00796959" w:rsidRDefault="006C7F64" w:rsidP="00796959">
      <w:pPr>
        <w:rPr>
          <w:rFonts w:ascii="Book Antiqua" w:hAnsi="Book Antiqua" w:cs="Times New Roman"/>
          <w:b/>
          <w:sz w:val="24"/>
          <w:szCs w:val="24"/>
        </w:rPr>
      </w:pPr>
      <w:r w:rsidRPr="00796959">
        <w:rPr>
          <w:rFonts w:ascii="Book Antiqua" w:hAnsi="Book Antiqua" w:cs="Times New Roman"/>
          <w:b/>
          <w:sz w:val="24"/>
          <w:szCs w:val="24"/>
        </w:rPr>
        <w:t>Study design and Cohorts</w:t>
      </w:r>
    </w:p>
    <w:p w14:paraId="4874FE35" w14:textId="2FD4D195" w:rsidR="000E4EC3" w:rsidRPr="00796959" w:rsidRDefault="00F86176" w:rsidP="00796959">
      <w:pPr>
        <w:ind w:firstLine="720"/>
        <w:rPr>
          <w:rFonts w:ascii="Book Antiqua" w:hAnsi="Book Antiqua" w:cs="Times New Roman"/>
          <w:sz w:val="24"/>
          <w:szCs w:val="24"/>
        </w:rPr>
      </w:pPr>
      <w:r w:rsidRPr="00796959">
        <w:rPr>
          <w:rFonts w:ascii="Book Antiqua" w:hAnsi="Book Antiqua" w:cs="Times New Roman"/>
          <w:sz w:val="24"/>
          <w:szCs w:val="24"/>
        </w:rPr>
        <w:t>This was a retrospective cross-sectional study using the Nationwide Inpatient Sample (NIS) between 19</w:t>
      </w:r>
      <w:r w:rsidR="00EF260C" w:rsidRPr="00796959">
        <w:rPr>
          <w:rFonts w:ascii="Book Antiqua" w:hAnsi="Book Antiqua" w:cs="Times New Roman"/>
          <w:sz w:val="24"/>
          <w:szCs w:val="24"/>
        </w:rPr>
        <w:t>9</w:t>
      </w:r>
      <w:r w:rsidRPr="00796959">
        <w:rPr>
          <w:rFonts w:ascii="Book Antiqua" w:hAnsi="Book Antiqua" w:cs="Times New Roman"/>
          <w:sz w:val="24"/>
          <w:szCs w:val="24"/>
        </w:rPr>
        <w:t>8 and 2011. We identified all hospitalizations from 19</w:t>
      </w:r>
      <w:r w:rsidR="00EF260C" w:rsidRPr="00796959">
        <w:rPr>
          <w:rFonts w:ascii="Book Antiqua" w:hAnsi="Book Antiqua" w:cs="Times New Roman"/>
          <w:sz w:val="24"/>
          <w:szCs w:val="24"/>
        </w:rPr>
        <w:t>9</w:t>
      </w:r>
      <w:r w:rsidRPr="00796959">
        <w:rPr>
          <w:rFonts w:ascii="Book Antiqua" w:hAnsi="Book Antiqua" w:cs="Times New Roman"/>
          <w:sz w:val="24"/>
          <w:szCs w:val="24"/>
        </w:rPr>
        <w:t xml:space="preserve">8 to 2011 of patients 18 years of age or </w:t>
      </w:r>
      <w:r w:rsidR="00EF260C" w:rsidRPr="00796959">
        <w:rPr>
          <w:rFonts w:ascii="Book Antiqua" w:hAnsi="Book Antiqua" w:cs="Times New Roman"/>
          <w:sz w:val="24"/>
          <w:szCs w:val="24"/>
        </w:rPr>
        <w:t xml:space="preserve">older who </w:t>
      </w:r>
      <w:r w:rsidRPr="00796959">
        <w:rPr>
          <w:rFonts w:ascii="Book Antiqua" w:hAnsi="Book Antiqua" w:cs="Times New Roman"/>
          <w:sz w:val="24"/>
          <w:szCs w:val="24"/>
        </w:rPr>
        <w:t xml:space="preserve">underwent </w:t>
      </w:r>
      <w:r w:rsidR="00EF260C" w:rsidRPr="00796959">
        <w:rPr>
          <w:rFonts w:ascii="Book Antiqua" w:hAnsi="Book Antiqua" w:cs="Times New Roman"/>
          <w:sz w:val="24"/>
          <w:szCs w:val="24"/>
        </w:rPr>
        <w:t>LVAD implantation</w:t>
      </w:r>
      <w:r w:rsidRPr="00796959">
        <w:rPr>
          <w:rFonts w:ascii="Book Antiqua" w:hAnsi="Book Antiqua" w:cs="Times New Roman"/>
          <w:sz w:val="24"/>
          <w:szCs w:val="24"/>
        </w:rPr>
        <w:t xml:space="preserve"> and for </w:t>
      </w:r>
      <w:r w:rsidR="00EF260C" w:rsidRPr="00796959">
        <w:rPr>
          <w:rFonts w:ascii="Book Antiqua" w:hAnsi="Book Antiqua" w:cs="Times New Roman"/>
          <w:sz w:val="24"/>
          <w:szCs w:val="24"/>
        </w:rPr>
        <w:t xml:space="preserve">whom </w:t>
      </w:r>
      <w:r w:rsidRPr="00796959">
        <w:rPr>
          <w:rFonts w:ascii="Book Antiqua" w:hAnsi="Book Antiqua" w:cs="Times New Roman"/>
          <w:sz w:val="24"/>
          <w:szCs w:val="24"/>
        </w:rPr>
        <w:t xml:space="preserve">the hospital day of each procedure was available. Procedures during the hospitalization in addition to LVAD placement, including </w:t>
      </w:r>
      <w:r w:rsidR="008D5E4A" w:rsidRPr="00796959">
        <w:rPr>
          <w:rFonts w:ascii="Book Antiqua" w:hAnsi="Book Antiqua" w:cs="Times New Roman"/>
          <w:sz w:val="24"/>
          <w:szCs w:val="24"/>
        </w:rPr>
        <w:t>orthotopic</w:t>
      </w:r>
      <w:r w:rsidR="008222C1" w:rsidRPr="00796959">
        <w:rPr>
          <w:rFonts w:ascii="Book Antiqua" w:hAnsi="Book Antiqua" w:cs="Times New Roman"/>
          <w:sz w:val="24"/>
          <w:szCs w:val="24"/>
        </w:rPr>
        <w:t xml:space="preserve"> </w:t>
      </w:r>
      <w:r w:rsidRPr="00796959">
        <w:rPr>
          <w:rFonts w:ascii="Book Antiqua" w:hAnsi="Book Antiqua" w:cs="Times New Roman"/>
          <w:sz w:val="24"/>
          <w:szCs w:val="24"/>
        </w:rPr>
        <w:t xml:space="preserve">heart transplant, extracorporeal membrane oxygenation, intubation, hemodialysis, invasive hemodynamic monitoring, </w:t>
      </w:r>
      <w:r w:rsidR="008035B7" w:rsidRPr="00796959">
        <w:rPr>
          <w:rFonts w:ascii="Book Antiqua" w:hAnsi="Book Antiqua" w:cs="Times New Roman"/>
          <w:sz w:val="24"/>
          <w:szCs w:val="24"/>
        </w:rPr>
        <w:t>and surgical revision</w:t>
      </w:r>
      <w:r w:rsidRPr="00796959">
        <w:rPr>
          <w:rFonts w:ascii="Book Antiqua" w:hAnsi="Book Antiqua" w:cs="Times New Roman"/>
          <w:sz w:val="24"/>
          <w:szCs w:val="24"/>
        </w:rPr>
        <w:t xml:space="preserve"> were identified by associated ICD9 codes</w:t>
      </w:r>
      <w:r w:rsidR="008035B7" w:rsidRPr="00796959">
        <w:rPr>
          <w:rFonts w:ascii="Book Antiqua" w:hAnsi="Book Antiqua" w:cs="Times New Roman"/>
          <w:sz w:val="24"/>
          <w:szCs w:val="24"/>
        </w:rPr>
        <w:t xml:space="preserve"> (Supplementary Table </w:t>
      </w:r>
      <w:r w:rsidR="007C47B8" w:rsidRPr="00796959">
        <w:rPr>
          <w:rFonts w:ascii="Book Antiqua" w:hAnsi="Book Antiqua" w:cs="Times New Roman"/>
          <w:sz w:val="24"/>
          <w:szCs w:val="24"/>
        </w:rPr>
        <w:t>1</w:t>
      </w:r>
      <w:r w:rsidR="008035B7" w:rsidRPr="00796959">
        <w:rPr>
          <w:rFonts w:ascii="Book Antiqua" w:hAnsi="Book Antiqua" w:cs="Times New Roman"/>
          <w:sz w:val="24"/>
          <w:szCs w:val="24"/>
        </w:rPr>
        <w:t>)</w:t>
      </w:r>
      <w:r w:rsidRPr="00796959">
        <w:rPr>
          <w:rFonts w:ascii="Book Antiqua" w:hAnsi="Book Antiqua" w:cs="Times New Roman"/>
          <w:sz w:val="24"/>
          <w:szCs w:val="24"/>
        </w:rPr>
        <w:t>. Additionally, h</w:t>
      </w:r>
      <w:r w:rsidR="00471DDD" w:rsidRPr="00796959">
        <w:rPr>
          <w:rFonts w:ascii="Book Antiqua" w:hAnsi="Book Antiqua" w:cs="Times New Roman"/>
          <w:sz w:val="24"/>
          <w:szCs w:val="24"/>
        </w:rPr>
        <w:t>ospital mortality and perioperative morbidity such as post-operative infections, cardiopulmonary complications,</w:t>
      </w:r>
      <w:r w:rsidRPr="00796959">
        <w:rPr>
          <w:rFonts w:ascii="Book Antiqua" w:hAnsi="Book Antiqua" w:cs="Times New Roman"/>
          <w:sz w:val="24"/>
          <w:szCs w:val="24"/>
        </w:rPr>
        <w:t xml:space="preserve"> and</w:t>
      </w:r>
      <w:r w:rsidR="00471DDD" w:rsidRPr="00796959">
        <w:rPr>
          <w:rFonts w:ascii="Book Antiqua" w:hAnsi="Book Antiqua" w:cs="Times New Roman"/>
          <w:sz w:val="24"/>
          <w:szCs w:val="24"/>
        </w:rPr>
        <w:t xml:space="preserve"> hemorrhagic complications</w:t>
      </w:r>
      <w:r w:rsidR="008222C1" w:rsidRPr="00796959">
        <w:rPr>
          <w:rFonts w:ascii="Book Antiqua" w:hAnsi="Book Antiqua" w:cs="Times New Roman"/>
          <w:sz w:val="24"/>
          <w:szCs w:val="24"/>
        </w:rPr>
        <w:t xml:space="preserve"> </w:t>
      </w:r>
      <w:r w:rsidR="008035B7" w:rsidRPr="00796959">
        <w:rPr>
          <w:rFonts w:ascii="Book Antiqua" w:hAnsi="Book Antiqua" w:cs="Times New Roman"/>
          <w:sz w:val="24"/>
          <w:szCs w:val="24"/>
        </w:rPr>
        <w:t xml:space="preserve">requiring endoscopy </w:t>
      </w:r>
      <w:r w:rsidRPr="00796959">
        <w:rPr>
          <w:rFonts w:ascii="Book Antiqua" w:hAnsi="Book Antiqua" w:cs="Times New Roman"/>
          <w:sz w:val="24"/>
          <w:szCs w:val="24"/>
        </w:rPr>
        <w:t>were identified.</w:t>
      </w:r>
    </w:p>
    <w:p w14:paraId="29E07649" w14:textId="51537DC0" w:rsidR="00471DDD" w:rsidRPr="00796959" w:rsidRDefault="00471DDD" w:rsidP="00796959">
      <w:pPr>
        <w:ind w:firstLine="720"/>
        <w:rPr>
          <w:rFonts w:ascii="Book Antiqua" w:hAnsi="Book Antiqua" w:cs="Times New Roman"/>
          <w:b/>
          <w:sz w:val="24"/>
          <w:szCs w:val="24"/>
        </w:rPr>
      </w:pPr>
    </w:p>
    <w:p w14:paraId="0B0C13E8" w14:textId="77777777" w:rsidR="00200FDE" w:rsidRPr="00796959" w:rsidRDefault="00200FDE" w:rsidP="00796959">
      <w:pPr>
        <w:ind w:firstLine="720"/>
        <w:rPr>
          <w:rFonts w:ascii="Book Antiqua" w:hAnsi="Book Antiqua" w:cs="Times New Roman"/>
          <w:b/>
          <w:sz w:val="24"/>
          <w:szCs w:val="24"/>
        </w:rPr>
      </w:pPr>
    </w:p>
    <w:p w14:paraId="2326A2D1" w14:textId="77777777" w:rsidR="006C7F64" w:rsidRPr="00796959" w:rsidRDefault="006C7F64" w:rsidP="00796959">
      <w:pPr>
        <w:rPr>
          <w:rFonts w:ascii="Book Antiqua" w:hAnsi="Book Antiqua" w:cs="Times New Roman"/>
          <w:b/>
          <w:sz w:val="24"/>
          <w:szCs w:val="24"/>
        </w:rPr>
      </w:pPr>
      <w:r w:rsidRPr="00796959">
        <w:rPr>
          <w:rFonts w:ascii="Book Antiqua" w:hAnsi="Book Antiqua" w:cs="Times New Roman"/>
          <w:b/>
          <w:sz w:val="24"/>
          <w:szCs w:val="24"/>
        </w:rPr>
        <w:t>Statistical Analysis</w:t>
      </w:r>
    </w:p>
    <w:p w14:paraId="1C40ECAB" w14:textId="79D50E01" w:rsidR="001D2EB0" w:rsidRPr="00796959" w:rsidRDefault="001D2EB0" w:rsidP="00796959">
      <w:pPr>
        <w:rPr>
          <w:rFonts w:ascii="Book Antiqua" w:hAnsi="Book Antiqua" w:cs="Times New Roman"/>
          <w:b/>
          <w:sz w:val="24"/>
          <w:szCs w:val="24"/>
        </w:rPr>
      </w:pPr>
      <w:r w:rsidRPr="00796959">
        <w:rPr>
          <w:rFonts w:ascii="Book Antiqua" w:hAnsi="Book Antiqua" w:cs="Times New Roman"/>
          <w:sz w:val="24"/>
          <w:szCs w:val="24"/>
        </w:rPr>
        <w:tab/>
        <w:t xml:space="preserve">Python 2.7 (Python Software Foundation, www.python.org) and R 2.13 (R Foundation, www.r-project.org) were used for statistical analysis. </w:t>
      </w:r>
      <w:r w:rsidR="008035B7" w:rsidRPr="00796959">
        <w:rPr>
          <w:rFonts w:ascii="Book Antiqua" w:hAnsi="Book Antiqua" w:cs="Times New Roman"/>
          <w:sz w:val="24"/>
          <w:szCs w:val="24"/>
        </w:rPr>
        <w:t xml:space="preserve">P-values for numerical and count data </w:t>
      </w:r>
      <w:r w:rsidR="00EF260C" w:rsidRPr="00796959">
        <w:rPr>
          <w:rFonts w:ascii="Book Antiqua" w:hAnsi="Book Antiqua" w:cs="Times New Roman"/>
          <w:sz w:val="24"/>
          <w:szCs w:val="24"/>
        </w:rPr>
        <w:t xml:space="preserve">were </w:t>
      </w:r>
      <w:r w:rsidR="008035B7" w:rsidRPr="00796959">
        <w:rPr>
          <w:rFonts w:ascii="Book Antiqua" w:hAnsi="Book Antiqua" w:cs="Times New Roman"/>
          <w:sz w:val="24"/>
          <w:szCs w:val="24"/>
        </w:rPr>
        <w:t xml:space="preserve">calculated by two-sided t-tests and Chi-squared tests, respectively, with significance thresholds of 0.05. </w:t>
      </w:r>
      <w:r w:rsidR="00036D0E" w:rsidRPr="00796959">
        <w:rPr>
          <w:rFonts w:ascii="Book Antiqua" w:hAnsi="Book Antiqua" w:cs="Times New Roman"/>
          <w:sz w:val="24"/>
          <w:szCs w:val="24"/>
        </w:rPr>
        <w:t xml:space="preserve">The multivariate linear model evaluating </w:t>
      </w:r>
      <w:r w:rsidR="00FC658E" w:rsidRPr="00796959">
        <w:rPr>
          <w:rFonts w:ascii="Book Antiqua" w:hAnsi="Book Antiqua" w:cs="Times New Roman"/>
          <w:sz w:val="24"/>
          <w:szCs w:val="24"/>
        </w:rPr>
        <w:t>post-</w:t>
      </w:r>
      <w:r w:rsidR="00036D0E" w:rsidRPr="00796959">
        <w:rPr>
          <w:rFonts w:ascii="Book Antiqua" w:hAnsi="Book Antiqua" w:cs="Times New Roman"/>
          <w:sz w:val="24"/>
          <w:szCs w:val="24"/>
        </w:rPr>
        <w:t>LVAD</w:t>
      </w:r>
      <w:r w:rsidR="00FC658E" w:rsidRPr="00796959">
        <w:rPr>
          <w:rFonts w:ascii="Book Antiqua" w:hAnsi="Book Antiqua" w:cs="Times New Roman"/>
          <w:sz w:val="24"/>
          <w:szCs w:val="24"/>
        </w:rPr>
        <w:t xml:space="preserve"> OHT</w:t>
      </w:r>
      <w:r w:rsidR="00036D0E" w:rsidRPr="00796959">
        <w:rPr>
          <w:rFonts w:ascii="Book Antiqua" w:hAnsi="Book Antiqua" w:cs="Times New Roman"/>
          <w:sz w:val="24"/>
          <w:szCs w:val="24"/>
        </w:rPr>
        <w:t xml:space="preserve"> mortality was performed using a generalized linear model with input variable selection by Bayesian Information Criteria (BIC).  </w:t>
      </w:r>
      <w:r w:rsidR="006F3CAD" w:rsidRPr="00796959">
        <w:rPr>
          <w:rFonts w:ascii="Book Antiqua" w:eastAsia="Times New Roman" w:hAnsi="Book Antiqua" w:cs="Times New Roman"/>
          <w:color w:val="000000"/>
          <w:sz w:val="24"/>
          <w:szCs w:val="24"/>
        </w:rPr>
        <w:t xml:space="preserve">Dependent variable was in-hospital mortality. Independent variables of age, gender, median </w:t>
      </w:r>
      <w:r w:rsidR="006F3CAD" w:rsidRPr="00796959">
        <w:rPr>
          <w:rFonts w:ascii="Book Antiqua" w:eastAsia="Times New Roman" w:hAnsi="Book Antiqua" w:cs="Times New Roman"/>
          <w:color w:val="000000"/>
          <w:sz w:val="24"/>
          <w:szCs w:val="24"/>
        </w:rPr>
        <w:lastRenderedPageBreak/>
        <w:t xml:space="preserve">income, race, number of comorbidities, </w:t>
      </w:r>
      <w:r w:rsidR="009244FC" w:rsidRPr="00796959">
        <w:rPr>
          <w:rFonts w:ascii="Book Antiqua" w:eastAsia="Times New Roman" w:hAnsi="Book Antiqua" w:cs="Times New Roman"/>
          <w:color w:val="000000"/>
          <w:sz w:val="24"/>
          <w:szCs w:val="24"/>
        </w:rPr>
        <w:t>LVAD era</w:t>
      </w:r>
      <w:r w:rsidR="006F3CAD" w:rsidRPr="00796959">
        <w:rPr>
          <w:rFonts w:ascii="Book Antiqua" w:eastAsia="Times New Roman" w:hAnsi="Book Antiqua" w:cs="Times New Roman"/>
          <w:color w:val="000000"/>
          <w:sz w:val="24"/>
          <w:szCs w:val="24"/>
        </w:rPr>
        <w:t xml:space="preserve">, and </w:t>
      </w:r>
      <w:r w:rsidR="009244FC" w:rsidRPr="00796959">
        <w:rPr>
          <w:rFonts w:ascii="Book Antiqua" w:eastAsia="Times New Roman" w:hAnsi="Book Antiqua" w:cs="Times New Roman"/>
          <w:color w:val="000000"/>
          <w:sz w:val="24"/>
          <w:szCs w:val="24"/>
        </w:rPr>
        <w:t>timing of</w:t>
      </w:r>
      <w:r w:rsidR="006F3CAD" w:rsidRPr="00796959">
        <w:rPr>
          <w:rFonts w:ascii="Book Antiqua" w:eastAsia="Times New Roman" w:hAnsi="Book Antiqua" w:cs="Times New Roman"/>
          <w:color w:val="000000"/>
          <w:sz w:val="24"/>
          <w:szCs w:val="24"/>
        </w:rPr>
        <w:t xml:space="preserve"> OHT </w:t>
      </w:r>
      <w:r w:rsidR="009244FC" w:rsidRPr="00796959">
        <w:rPr>
          <w:rFonts w:ascii="Book Antiqua" w:eastAsia="Times New Roman" w:hAnsi="Book Antiqua" w:cs="Times New Roman"/>
          <w:color w:val="000000"/>
          <w:sz w:val="24"/>
          <w:szCs w:val="24"/>
        </w:rPr>
        <w:t xml:space="preserve">were </w:t>
      </w:r>
      <w:r w:rsidR="006F3CAD" w:rsidRPr="00796959">
        <w:rPr>
          <w:rFonts w:ascii="Book Antiqua" w:eastAsia="Times New Roman" w:hAnsi="Book Antiqua" w:cs="Times New Roman"/>
          <w:color w:val="000000"/>
          <w:sz w:val="24"/>
          <w:szCs w:val="24"/>
        </w:rPr>
        <w:t>evaluated in the model.</w:t>
      </w:r>
      <w:r w:rsidR="006F3CAD" w:rsidRPr="00796959">
        <w:rPr>
          <w:rFonts w:ascii="Book Antiqua" w:eastAsia="Times New Roman" w:hAnsi="Book Antiqua" w:cs="Arial"/>
          <w:color w:val="000000"/>
          <w:sz w:val="24"/>
          <w:szCs w:val="24"/>
        </w:rPr>
        <w:t xml:space="preserve"> </w:t>
      </w:r>
    </w:p>
    <w:p w14:paraId="01C40D34" w14:textId="77777777" w:rsidR="00F86176" w:rsidRPr="00796959" w:rsidRDefault="00F86176" w:rsidP="00796959">
      <w:pPr>
        <w:rPr>
          <w:rFonts w:ascii="Book Antiqua" w:hAnsi="Book Antiqua" w:cs="Times New Roman"/>
          <w:b/>
          <w:sz w:val="24"/>
          <w:szCs w:val="24"/>
        </w:rPr>
      </w:pPr>
    </w:p>
    <w:p w14:paraId="593B3664" w14:textId="77777777" w:rsidR="004D2A4F" w:rsidRPr="00796959" w:rsidRDefault="00E361EF" w:rsidP="00796959">
      <w:pPr>
        <w:pStyle w:val="NoSpacing"/>
        <w:tabs>
          <w:tab w:val="left" w:pos="1470"/>
        </w:tabs>
        <w:spacing w:line="360" w:lineRule="auto"/>
        <w:rPr>
          <w:rFonts w:ascii="Book Antiqua" w:hAnsi="Book Antiqua" w:cs="Times New Roman"/>
          <w:b/>
          <w:sz w:val="24"/>
          <w:szCs w:val="24"/>
        </w:rPr>
      </w:pPr>
      <w:r w:rsidRPr="00796959">
        <w:rPr>
          <w:rFonts w:ascii="Book Antiqua" w:hAnsi="Book Antiqua" w:cs="Times New Roman"/>
          <w:b/>
          <w:sz w:val="24"/>
          <w:szCs w:val="24"/>
        </w:rPr>
        <w:t>Results</w:t>
      </w:r>
    </w:p>
    <w:p w14:paraId="28C2221B" w14:textId="5F16385D" w:rsidR="003351F3" w:rsidRPr="00796959" w:rsidRDefault="004D2A4F" w:rsidP="00796959">
      <w:pPr>
        <w:pStyle w:val="NoSpacing"/>
        <w:tabs>
          <w:tab w:val="left" w:pos="1470"/>
        </w:tabs>
        <w:spacing w:line="360" w:lineRule="auto"/>
        <w:rPr>
          <w:rFonts w:ascii="Book Antiqua" w:hAnsi="Book Antiqua" w:cs="Times New Roman"/>
          <w:sz w:val="24"/>
          <w:szCs w:val="24"/>
        </w:rPr>
      </w:pPr>
      <w:r w:rsidRPr="00796959">
        <w:rPr>
          <w:rFonts w:ascii="Book Antiqua" w:hAnsi="Book Antiqua" w:cs="Times New Roman"/>
          <w:b/>
          <w:sz w:val="24"/>
          <w:szCs w:val="24"/>
        </w:rPr>
        <w:t>Baseline Patient Characteristics</w:t>
      </w:r>
      <w:r w:rsidRPr="00796959">
        <w:rPr>
          <w:rFonts w:ascii="Book Antiqua" w:hAnsi="Book Antiqua" w:cs="Times New Roman"/>
          <w:b/>
          <w:sz w:val="24"/>
          <w:szCs w:val="24"/>
        </w:rPr>
        <w:tab/>
      </w:r>
    </w:p>
    <w:p w14:paraId="3AA32619" w14:textId="2C769F4B" w:rsidR="00BA515C" w:rsidRPr="00796959" w:rsidRDefault="00691BEA" w:rsidP="00796959">
      <w:pPr>
        <w:pStyle w:val="NoSpacing"/>
        <w:spacing w:line="360" w:lineRule="auto"/>
        <w:ind w:firstLine="720"/>
        <w:rPr>
          <w:rFonts w:ascii="Book Antiqua" w:hAnsi="Book Antiqua" w:cs="Times New Roman"/>
          <w:sz w:val="24"/>
          <w:szCs w:val="24"/>
        </w:rPr>
      </w:pPr>
      <w:r w:rsidRPr="00796959">
        <w:rPr>
          <w:rFonts w:ascii="Book Antiqua" w:hAnsi="Book Antiqua" w:cs="Times New Roman"/>
          <w:sz w:val="24"/>
          <w:szCs w:val="24"/>
        </w:rPr>
        <w:t xml:space="preserve">We identified 2200 patients greater than 18 years of age between 1998 and 2011 who underwent LVAD implantation and </w:t>
      </w:r>
      <w:r w:rsidR="00FF1B61" w:rsidRPr="00796959">
        <w:rPr>
          <w:rFonts w:ascii="Book Antiqua" w:hAnsi="Book Antiqua" w:cs="Times New Roman"/>
          <w:sz w:val="24"/>
          <w:szCs w:val="24"/>
        </w:rPr>
        <w:t xml:space="preserve">for </w:t>
      </w:r>
      <w:r w:rsidR="009244FC" w:rsidRPr="00796959">
        <w:rPr>
          <w:rFonts w:ascii="Book Antiqua" w:hAnsi="Book Antiqua" w:cs="Times New Roman"/>
          <w:sz w:val="24"/>
          <w:szCs w:val="24"/>
        </w:rPr>
        <w:t xml:space="preserve">whom </w:t>
      </w:r>
      <w:r w:rsidRPr="00796959">
        <w:rPr>
          <w:rFonts w:ascii="Book Antiqua" w:hAnsi="Book Antiqua" w:cs="Times New Roman"/>
          <w:sz w:val="24"/>
          <w:szCs w:val="24"/>
        </w:rPr>
        <w:t>hospital day of procedure was listed</w:t>
      </w:r>
      <w:r w:rsidR="00AA038C" w:rsidRPr="00796959">
        <w:rPr>
          <w:rFonts w:ascii="Book Antiqua" w:hAnsi="Book Antiqua" w:cs="Times New Roman"/>
          <w:sz w:val="24"/>
          <w:szCs w:val="24"/>
        </w:rPr>
        <w:t xml:space="preserve"> (66.4% of all LVAD patients in NIS database 1998-2011)</w:t>
      </w:r>
      <w:r w:rsidR="00DE7180" w:rsidRPr="00796959">
        <w:rPr>
          <w:rFonts w:ascii="Book Antiqua" w:hAnsi="Book Antiqua" w:cs="Times New Roman"/>
          <w:sz w:val="24"/>
          <w:szCs w:val="24"/>
        </w:rPr>
        <w:t>.</w:t>
      </w:r>
      <w:r w:rsidR="009244FC" w:rsidRPr="00796959">
        <w:rPr>
          <w:rFonts w:ascii="Book Antiqua" w:hAnsi="Book Antiqua" w:cs="Times New Roman"/>
          <w:sz w:val="24"/>
          <w:szCs w:val="24"/>
        </w:rPr>
        <w:t xml:space="preserve"> </w:t>
      </w:r>
      <w:r w:rsidR="00E06CA7" w:rsidRPr="00796959">
        <w:rPr>
          <w:rFonts w:ascii="Book Antiqua" w:eastAsia="Times New Roman" w:hAnsi="Book Antiqua" w:cs="Times New Roman"/>
          <w:color w:val="000000"/>
          <w:sz w:val="24"/>
          <w:szCs w:val="24"/>
        </w:rPr>
        <w:t>Comparison of baseline characteristics between this study sample and all LVAD patients in the NIS 1998-2011 database confirmed that our study sample is representative of the entire patient population</w:t>
      </w:r>
      <w:r w:rsidR="004927ED" w:rsidRPr="00796959">
        <w:rPr>
          <w:rFonts w:ascii="Book Antiqua" w:eastAsia="Times New Roman" w:hAnsi="Book Antiqua" w:cs="Times New Roman"/>
          <w:color w:val="000000"/>
          <w:sz w:val="24"/>
          <w:szCs w:val="24"/>
        </w:rPr>
        <w:t>. The two groups were well matched based on age, sex, household income, prevalence of comorbidities, length of stay, and number of comorbidities, however there were more patients without documented race in the overall group</w:t>
      </w:r>
      <w:r w:rsidR="007C47B8" w:rsidRPr="00796959">
        <w:rPr>
          <w:rFonts w:ascii="Book Antiqua" w:eastAsia="Times New Roman" w:hAnsi="Book Antiqua" w:cs="Times New Roman"/>
          <w:color w:val="000000"/>
          <w:sz w:val="24"/>
          <w:szCs w:val="24"/>
        </w:rPr>
        <w:t xml:space="preserve"> (Supplementary Table 2).</w:t>
      </w:r>
      <w:r w:rsidR="00E06CA7" w:rsidRPr="00796959">
        <w:rPr>
          <w:rFonts w:ascii="Book Antiqua" w:eastAsia="Times New Roman" w:hAnsi="Book Antiqua" w:cs="Times New Roman"/>
          <w:color w:val="000000"/>
          <w:sz w:val="24"/>
          <w:szCs w:val="24"/>
        </w:rPr>
        <w:t xml:space="preserve"> </w:t>
      </w:r>
      <w:r w:rsidRPr="00796959">
        <w:rPr>
          <w:rFonts w:ascii="Book Antiqua" w:hAnsi="Book Antiqua" w:cs="Times New Roman"/>
          <w:sz w:val="24"/>
          <w:szCs w:val="24"/>
        </w:rPr>
        <w:t>The mean age of all patients was 53.4 years (SD = 13.7</w:t>
      </w:r>
      <w:r w:rsidR="00CD73BB" w:rsidRPr="00796959">
        <w:rPr>
          <w:rFonts w:ascii="Book Antiqua" w:hAnsi="Book Antiqua" w:cs="Times New Roman"/>
          <w:sz w:val="24"/>
          <w:szCs w:val="24"/>
        </w:rPr>
        <w:t>,</w:t>
      </w:r>
      <w:r w:rsidRPr="00796959">
        <w:rPr>
          <w:rFonts w:ascii="Book Antiqua" w:hAnsi="Book Antiqua" w:cs="Times New Roman"/>
          <w:sz w:val="24"/>
          <w:szCs w:val="24"/>
        </w:rPr>
        <w:t xml:space="preserve"> range = 18-92 years).</w:t>
      </w:r>
      <w:r w:rsidR="009244FC" w:rsidRPr="00796959">
        <w:rPr>
          <w:rFonts w:ascii="Book Antiqua" w:hAnsi="Book Antiqua" w:cs="Times New Roman"/>
          <w:sz w:val="24"/>
          <w:szCs w:val="24"/>
        </w:rPr>
        <w:t xml:space="preserve"> </w:t>
      </w:r>
      <w:r w:rsidR="00DE7180" w:rsidRPr="00796959">
        <w:rPr>
          <w:rFonts w:ascii="Book Antiqua" w:hAnsi="Book Antiqua" w:cs="Times New Roman"/>
          <w:sz w:val="24"/>
          <w:szCs w:val="24"/>
        </w:rPr>
        <w:t xml:space="preserve">Baseline patient demographics, patient comorbidities, and hospital characteristics were well matched between LVAD patients </w:t>
      </w:r>
      <w:r w:rsidR="002C72E4" w:rsidRPr="00796959">
        <w:rPr>
          <w:rFonts w:ascii="Book Antiqua" w:hAnsi="Book Antiqua" w:cs="Times New Roman"/>
          <w:sz w:val="24"/>
          <w:szCs w:val="24"/>
        </w:rPr>
        <w:t>with and without same-admission OHT</w:t>
      </w:r>
      <w:r w:rsidR="00DE7180" w:rsidRPr="00796959">
        <w:rPr>
          <w:rFonts w:ascii="Book Antiqua" w:hAnsi="Book Antiqua" w:cs="Times New Roman"/>
          <w:sz w:val="24"/>
          <w:szCs w:val="24"/>
        </w:rPr>
        <w:t xml:space="preserve"> (Table 1). Most LVAD implantations were performed in large</w:t>
      </w:r>
      <w:r w:rsidR="00D312B8" w:rsidRPr="00796959">
        <w:rPr>
          <w:rFonts w:ascii="Book Antiqua" w:hAnsi="Book Antiqua" w:cs="Times New Roman"/>
          <w:sz w:val="24"/>
          <w:szCs w:val="24"/>
        </w:rPr>
        <w:t xml:space="preserve"> </w:t>
      </w:r>
      <w:r w:rsidR="00DE7180" w:rsidRPr="00796959">
        <w:rPr>
          <w:rFonts w:ascii="Book Antiqua" w:hAnsi="Book Antiqua" w:cs="Times New Roman"/>
          <w:sz w:val="24"/>
          <w:szCs w:val="24"/>
        </w:rPr>
        <w:t>(87.8%), urban (99.1%), teaching hospitals (92.4%).</w:t>
      </w:r>
      <w:r w:rsidR="002C72E4" w:rsidRPr="00796959">
        <w:rPr>
          <w:rFonts w:ascii="Book Antiqua" w:hAnsi="Book Antiqua" w:cs="Times New Roman"/>
          <w:sz w:val="24"/>
          <w:szCs w:val="24"/>
        </w:rPr>
        <w:t xml:space="preserve"> </w:t>
      </w:r>
      <w:r w:rsidR="00DE7180" w:rsidRPr="00796959">
        <w:rPr>
          <w:rFonts w:ascii="Book Antiqua" w:hAnsi="Book Antiqua" w:cs="Times New Roman"/>
          <w:sz w:val="24"/>
          <w:szCs w:val="24"/>
        </w:rPr>
        <w:t>The most common comorbidities were diabetes (17.8%), disorders of lipid metabolism (14.1%), hypertension (13.7%), history of or current use of tobacco (6.5%), and BMI ≥ 30 kg/m</w:t>
      </w:r>
      <w:r w:rsidR="00DE7180" w:rsidRPr="00796959">
        <w:rPr>
          <w:rFonts w:ascii="Book Antiqua" w:hAnsi="Book Antiqua" w:cs="Times New Roman"/>
          <w:sz w:val="24"/>
          <w:szCs w:val="24"/>
          <w:vertAlign w:val="superscript"/>
        </w:rPr>
        <w:t>2</w:t>
      </w:r>
      <w:r w:rsidR="00DE7180" w:rsidRPr="00796959">
        <w:rPr>
          <w:rFonts w:ascii="Book Antiqua" w:hAnsi="Book Antiqua" w:cs="Times New Roman"/>
          <w:sz w:val="24"/>
          <w:szCs w:val="24"/>
        </w:rPr>
        <w:t xml:space="preserve"> (4.4%).</w:t>
      </w:r>
      <w:r w:rsidR="00D312B8" w:rsidRPr="00796959">
        <w:rPr>
          <w:rFonts w:ascii="Book Antiqua" w:hAnsi="Book Antiqua" w:cs="Times New Roman"/>
          <w:sz w:val="24"/>
          <w:szCs w:val="24"/>
        </w:rPr>
        <w:t xml:space="preserve"> </w:t>
      </w:r>
      <w:r w:rsidR="00DE7180" w:rsidRPr="00796959">
        <w:rPr>
          <w:rFonts w:ascii="Book Antiqua" w:hAnsi="Book Antiqua" w:cs="Times New Roman"/>
          <w:sz w:val="24"/>
          <w:szCs w:val="24"/>
        </w:rPr>
        <w:t>The mean day of LVAD implantation was 9.4 days (SD = 12.5 days) into the hospitalization.</w:t>
      </w:r>
      <w:r w:rsidR="00D312B8" w:rsidRPr="00796959">
        <w:rPr>
          <w:rFonts w:ascii="Book Antiqua" w:hAnsi="Book Antiqua" w:cs="Times New Roman"/>
          <w:sz w:val="24"/>
          <w:szCs w:val="24"/>
        </w:rPr>
        <w:t xml:space="preserve"> </w:t>
      </w:r>
      <w:r w:rsidR="00DE7180" w:rsidRPr="00796959">
        <w:rPr>
          <w:rFonts w:ascii="Book Antiqua" w:hAnsi="Book Antiqua" w:cs="Times New Roman"/>
          <w:sz w:val="24"/>
          <w:szCs w:val="24"/>
        </w:rPr>
        <w:t>The overall in-hospital mortality rate was 26.8%</w:t>
      </w:r>
      <w:r w:rsidR="00E637F5" w:rsidRPr="00796959">
        <w:rPr>
          <w:rFonts w:ascii="Book Antiqua" w:hAnsi="Book Antiqua" w:cs="Times New Roman"/>
          <w:sz w:val="24"/>
          <w:szCs w:val="24"/>
        </w:rPr>
        <w:t>, with r</w:t>
      </w:r>
      <w:r w:rsidR="004D2A4F" w:rsidRPr="00796959">
        <w:rPr>
          <w:rFonts w:ascii="Book Antiqua" w:hAnsi="Book Antiqua" w:cs="Times New Roman"/>
          <w:sz w:val="24"/>
          <w:szCs w:val="24"/>
        </w:rPr>
        <w:t xml:space="preserve">espiratory failure, cardiac dysrhythmias, right heart failure, and renal failure among the most frequent in-hospital complications immediately following LVAD implantation (Table </w:t>
      </w:r>
      <w:r w:rsidR="00EE4BAC" w:rsidRPr="00796959">
        <w:rPr>
          <w:rFonts w:ascii="Book Antiqua" w:hAnsi="Book Antiqua" w:cs="Times New Roman"/>
          <w:sz w:val="24"/>
          <w:szCs w:val="24"/>
        </w:rPr>
        <w:t>3</w:t>
      </w:r>
      <w:r w:rsidR="004D2A4F" w:rsidRPr="00796959">
        <w:rPr>
          <w:rFonts w:ascii="Book Antiqua" w:hAnsi="Book Antiqua" w:cs="Times New Roman"/>
          <w:sz w:val="24"/>
          <w:szCs w:val="24"/>
        </w:rPr>
        <w:t>).</w:t>
      </w:r>
      <w:r w:rsidR="00D312B8" w:rsidRPr="00796959">
        <w:rPr>
          <w:rFonts w:ascii="Book Antiqua" w:hAnsi="Book Antiqua" w:cs="Times New Roman"/>
          <w:sz w:val="24"/>
          <w:szCs w:val="24"/>
        </w:rPr>
        <w:t xml:space="preserve"> </w:t>
      </w:r>
    </w:p>
    <w:p w14:paraId="01D8AA98" w14:textId="701A61CD" w:rsidR="00036D0E" w:rsidRPr="00796959" w:rsidRDefault="00F55D28" w:rsidP="00796959">
      <w:pPr>
        <w:pStyle w:val="NoSpacing"/>
        <w:spacing w:line="360" w:lineRule="auto"/>
        <w:ind w:firstLine="720"/>
        <w:rPr>
          <w:rFonts w:ascii="Book Antiqua" w:hAnsi="Book Antiqua"/>
          <w:sz w:val="24"/>
          <w:szCs w:val="24"/>
        </w:rPr>
      </w:pPr>
      <w:r w:rsidRPr="00796959">
        <w:rPr>
          <w:rFonts w:ascii="Book Antiqua" w:hAnsi="Book Antiqua" w:cs="Times New Roman"/>
          <w:sz w:val="24"/>
          <w:szCs w:val="24"/>
        </w:rPr>
        <w:t xml:space="preserve">Our dataset includes patients from </w:t>
      </w:r>
      <w:r w:rsidR="00983D66" w:rsidRPr="00796959">
        <w:rPr>
          <w:rFonts w:ascii="Book Antiqua" w:hAnsi="Book Antiqua" w:cs="Times New Roman"/>
          <w:sz w:val="24"/>
          <w:szCs w:val="24"/>
        </w:rPr>
        <w:t>both the pulsatile-flow era (</w:t>
      </w:r>
      <w:r w:rsidR="00251CBC" w:rsidRPr="00796959">
        <w:rPr>
          <w:rFonts w:ascii="Book Antiqua" w:hAnsi="Book Antiqua" w:cs="Times New Roman"/>
          <w:sz w:val="24"/>
          <w:szCs w:val="24"/>
        </w:rPr>
        <w:t>1998 - 2005</w:t>
      </w:r>
      <w:r w:rsidR="00983D66" w:rsidRPr="00796959">
        <w:rPr>
          <w:rFonts w:ascii="Book Antiqua" w:hAnsi="Book Antiqua" w:cs="Times New Roman"/>
          <w:sz w:val="24"/>
          <w:szCs w:val="24"/>
        </w:rPr>
        <w:t xml:space="preserve">) and the continuous-flow era (2006 </w:t>
      </w:r>
      <w:r w:rsidR="00251CBC" w:rsidRPr="00796959">
        <w:rPr>
          <w:rFonts w:ascii="Book Antiqua" w:hAnsi="Book Antiqua" w:cs="Times New Roman"/>
          <w:sz w:val="24"/>
          <w:szCs w:val="24"/>
        </w:rPr>
        <w:t>- 2011</w:t>
      </w:r>
      <w:r w:rsidR="00983D66" w:rsidRPr="00796959">
        <w:rPr>
          <w:rFonts w:ascii="Book Antiqua" w:hAnsi="Book Antiqua" w:cs="Times New Roman"/>
          <w:sz w:val="24"/>
          <w:szCs w:val="24"/>
        </w:rPr>
        <w:t>) of mechanical support</w:t>
      </w:r>
      <w:r w:rsidR="00036D0E" w:rsidRPr="00796959">
        <w:rPr>
          <w:rFonts w:ascii="Book Antiqua" w:hAnsi="Book Antiqua" w:cs="Times New Roman"/>
          <w:sz w:val="24"/>
          <w:szCs w:val="24"/>
        </w:rPr>
        <w:t xml:space="preserve"> (Table 2)</w:t>
      </w:r>
      <w:r w:rsidR="00983D66" w:rsidRPr="00796959">
        <w:rPr>
          <w:rFonts w:ascii="Book Antiqua" w:hAnsi="Book Antiqua" w:cs="Times New Roman"/>
          <w:sz w:val="24"/>
          <w:szCs w:val="24"/>
        </w:rPr>
        <w:t xml:space="preserve">. </w:t>
      </w:r>
      <w:r w:rsidR="00251CBC" w:rsidRPr="00796959">
        <w:rPr>
          <w:rFonts w:ascii="Book Antiqua" w:hAnsi="Book Antiqua" w:cs="Times New Roman"/>
          <w:sz w:val="24"/>
          <w:szCs w:val="24"/>
        </w:rPr>
        <w:t>Comparing the two eras, there was significantly less mortality in the continuous-flow era compared to the pulsatile-flow era (</w:t>
      </w:r>
      <w:r w:rsidR="002C72E4" w:rsidRPr="00796959">
        <w:rPr>
          <w:rFonts w:ascii="Book Antiqua" w:hAnsi="Book Antiqua" w:cs="Times New Roman"/>
          <w:sz w:val="24"/>
          <w:szCs w:val="24"/>
        </w:rPr>
        <w:t>20.4</w:t>
      </w:r>
      <w:r w:rsidR="00251CBC" w:rsidRPr="00796959">
        <w:rPr>
          <w:rFonts w:ascii="Book Antiqua" w:hAnsi="Book Antiqua" w:cs="Times New Roman"/>
          <w:sz w:val="24"/>
          <w:szCs w:val="24"/>
        </w:rPr>
        <w:t xml:space="preserve">% vs. </w:t>
      </w:r>
      <w:r w:rsidR="002C72E4" w:rsidRPr="00796959">
        <w:rPr>
          <w:rFonts w:ascii="Book Antiqua" w:hAnsi="Book Antiqua" w:cs="Times New Roman"/>
          <w:sz w:val="24"/>
          <w:szCs w:val="24"/>
        </w:rPr>
        <w:t>43.0</w:t>
      </w:r>
      <w:r w:rsidR="00251CBC" w:rsidRPr="00796959">
        <w:rPr>
          <w:rFonts w:ascii="Book Antiqua" w:hAnsi="Book Antiqua" w:cs="Times New Roman"/>
          <w:sz w:val="24"/>
          <w:szCs w:val="24"/>
        </w:rPr>
        <w:t>%</w:t>
      </w:r>
      <w:r w:rsidR="00CD73BB" w:rsidRPr="00796959">
        <w:rPr>
          <w:rFonts w:ascii="Book Antiqua" w:hAnsi="Book Antiqua" w:cs="Times New Roman"/>
          <w:sz w:val="24"/>
          <w:szCs w:val="24"/>
        </w:rPr>
        <w:t>;</w:t>
      </w:r>
      <w:r w:rsidR="00251CBC" w:rsidRPr="00796959">
        <w:rPr>
          <w:rFonts w:ascii="Book Antiqua" w:hAnsi="Book Antiqua" w:cs="Times New Roman"/>
          <w:sz w:val="24"/>
          <w:szCs w:val="24"/>
        </w:rPr>
        <w:t xml:space="preserve"> p &lt; 0.001) even as patients were older (55.4 </w:t>
      </w:r>
      <w:r w:rsidR="002C72E4" w:rsidRPr="00796959">
        <w:rPr>
          <w:rFonts w:ascii="Book Antiqua" w:hAnsi="Book Antiqua" w:cs="Times New Roman"/>
          <w:sz w:val="24"/>
          <w:szCs w:val="24"/>
        </w:rPr>
        <w:t xml:space="preserve">years </w:t>
      </w:r>
      <w:r w:rsidR="00251CBC" w:rsidRPr="00796959">
        <w:rPr>
          <w:rFonts w:ascii="Book Antiqua" w:hAnsi="Book Antiqua" w:cs="Times New Roman"/>
          <w:sz w:val="24"/>
          <w:szCs w:val="24"/>
        </w:rPr>
        <w:t>vs. 53.2</w:t>
      </w:r>
      <w:r w:rsidR="002C72E4" w:rsidRPr="00796959">
        <w:rPr>
          <w:rFonts w:ascii="Book Antiqua" w:hAnsi="Book Antiqua" w:cs="Times New Roman"/>
          <w:sz w:val="24"/>
          <w:szCs w:val="24"/>
        </w:rPr>
        <w:t xml:space="preserve"> years</w:t>
      </w:r>
      <w:r w:rsidR="00CD73BB" w:rsidRPr="00796959">
        <w:rPr>
          <w:rFonts w:ascii="Book Antiqua" w:hAnsi="Book Antiqua" w:cs="Times New Roman"/>
          <w:sz w:val="24"/>
          <w:szCs w:val="24"/>
        </w:rPr>
        <w:t>;</w:t>
      </w:r>
      <w:r w:rsidR="00251CBC" w:rsidRPr="00796959">
        <w:rPr>
          <w:rFonts w:ascii="Book Antiqua" w:hAnsi="Book Antiqua" w:cs="Times New Roman"/>
          <w:sz w:val="24"/>
          <w:szCs w:val="24"/>
        </w:rPr>
        <w:t xml:space="preserve"> p &lt; 0.001) and </w:t>
      </w:r>
      <w:r w:rsidR="002C72E4" w:rsidRPr="00796959">
        <w:rPr>
          <w:rFonts w:ascii="Book Antiqua" w:hAnsi="Book Antiqua" w:cs="Times New Roman"/>
          <w:sz w:val="24"/>
          <w:szCs w:val="24"/>
        </w:rPr>
        <w:t xml:space="preserve">suffering </w:t>
      </w:r>
      <w:r w:rsidR="00251CBC" w:rsidRPr="00796959">
        <w:rPr>
          <w:rFonts w:ascii="Book Antiqua" w:hAnsi="Book Antiqua" w:cs="Times New Roman"/>
          <w:sz w:val="24"/>
          <w:szCs w:val="24"/>
        </w:rPr>
        <w:t>more comorbid</w:t>
      </w:r>
      <w:r w:rsidR="002C72E4" w:rsidRPr="00796959">
        <w:rPr>
          <w:rFonts w:ascii="Book Antiqua" w:hAnsi="Book Antiqua" w:cs="Times New Roman"/>
          <w:sz w:val="24"/>
          <w:szCs w:val="24"/>
        </w:rPr>
        <w:t xml:space="preserve"> diagnoses</w:t>
      </w:r>
      <w:r w:rsidR="00251CBC" w:rsidRPr="00796959">
        <w:rPr>
          <w:rFonts w:ascii="Book Antiqua" w:hAnsi="Book Antiqua" w:cs="Times New Roman"/>
          <w:sz w:val="24"/>
          <w:szCs w:val="24"/>
        </w:rPr>
        <w:t xml:space="preserve"> (13.5 vs. 10.6</w:t>
      </w:r>
      <w:r w:rsidR="00CD73BB" w:rsidRPr="00796959">
        <w:rPr>
          <w:rFonts w:ascii="Book Antiqua" w:hAnsi="Book Antiqua" w:cs="Times New Roman"/>
          <w:sz w:val="24"/>
          <w:szCs w:val="24"/>
        </w:rPr>
        <w:t>;</w:t>
      </w:r>
      <w:r w:rsidR="00251CBC" w:rsidRPr="00796959">
        <w:rPr>
          <w:rFonts w:ascii="Book Antiqua" w:hAnsi="Book Antiqua" w:cs="Times New Roman"/>
          <w:sz w:val="24"/>
          <w:szCs w:val="24"/>
        </w:rPr>
        <w:t xml:space="preserve"> p &lt; </w:t>
      </w:r>
      <w:r w:rsidR="00251CBC" w:rsidRPr="00796959">
        <w:rPr>
          <w:rFonts w:ascii="Book Antiqua" w:hAnsi="Book Antiqua" w:cs="Times New Roman"/>
          <w:sz w:val="24"/>
          <w:szCs w:val="24"/>
        </w:rPr>
        <w:lastRenderedPageBreak/>
        <w:t xml:space="preserve">0.001). During the continuous-flow era, fewer patients </w:t>
      </w:r>
      <w:r w:rsidR="002C72E4" w:rsidRPr="00796959">
        <w:rPr>
          <w:rFonts w:ascii="Book Antiqua" w:hAnsi="Book Antiqua" w:cs="Times New Roman"/>
          <w:sz w:val="24"/>
          <w:szCs w:val="24"/>
        </w:rPr>
        <w:t>received</w:t>
      </w:r>
      <w:r w:rsidR="00251CBC" w:rsidRPr="00796959">
        <w:rPr>
          <w:rFonts w:ascii="Book Antiqua" w:hAnsi="Book Antiqua" w:cs="Times New Roman"/>
          <w:sz w:val="24"/>
          <w:szCs w:val="24"/>
        </w:rPr>
        <w:t xml:space="preserve"> </w:t>
      </w:r>
      <w:r w:rsidR="002C72E4" w:rsidRPr="00796959">
        <w:rPr>
          <w:rFonts w:ascii="Book Antiqua" w:hAnsi="Book Antiqua" w:cs="Times New Roman"/>
          <w:sz w:val="24"/>
          <w:szCs w:val="24"/>
        </w:rPr>
        <w:t xml:space="preserve">OHT </w:t>
      </w:r>
      <w:r w:rsidR="00251CBC" w:rsidRPr="00796959">
        <w:rPr>
          <w:rFonts w:ascii="Book Antiqua" w:hAnsi="Book Antiqua" w:cs="Times New Roman"/>
          <w:sz w:val="24"/>
          <w:szCs w:val="24"/>
        </w:rPr>
        <w:t>during the same hospitalization as LVAD implantation (3.8% vs. 17.3%</w:t>
      </w:r>
      <w:r w:rsidR="00CD73BB" w:rsidRPr="00796959">
        <w:rPr>
          <w:rFonts w:ascii="Book Antiqua" w:hAnsi="Book Antiqua" w:cs="Times New Roman"/>
          <w:sz w:val="24"/>
          <w:szCs w:val="24"/>
        </w:rPr>
        <w:t>;</w:t>
      </w:r>
      <w:r w:rsidR="00F311CE" w:rsidRPr="00796959">
        <w:rPr>
          <w:rFonts w:ascii="Book Antiqua" w:hAnsi="Book Antiqua" w:cs="Times New Roman"/>
          <w:sz w:val="24"/>
          <w:szCs w:val="24"/>
        </w:rPr>
        <w:t xml:space="preserve"> p&lt;0.001</w:t>
      </w:r>
      <w:r w:rsidR="00251CBC" w:rsidRPr="00796959">
        <w:rPr>
          <w:rFonts w:ascii="Book Antiqua" w:hAnsi="Book Antiqua" w:cs="Times New Roman"/>
          <w:sz w:val="24"/>
          <w:szCs w:val="24"/>
        </w:rPr>
        <w:t>), and mechanical support was more frequently initiated in large (88.8% vs. 85.1%</w:t>
      </w:r>
      <w:r w:rsidR="00CD73BB" w:rsidRPr="00796959">
        <w:rPr>
          <w:rFonts w:ascii="Book Antiqua" w:hAnsi="Book Antiqua" w:cs="Times New Roman"/>
          <w:sz w:val="24"/>
          <w:szCs w:val="24"/>
        </w:rPr>
        <w:t>;</w:t>
      </w:r>
      <w:r w:rsidR="00251CBC" w:rsidRPr="00796959">
        <w:rPr>
          <w:rFonts w:ascii="Book Antiqua" w:hAnsi="Book Antiqua" w:cs="Times New Roman"/>
          <w:sz w:val="24"/>
          <w:szCs w:val="24"/>
        </w:rPr>
        <w:t xml:space="preserve"> p = 0.002), teaching (94.4% vs. 87.1%</w:t>
      </w:r>
      <w:r w:rsidR="00CD73BB" w:rsidRPr="00796959">
        <w:rPr>
          <w:rFonts w:ascii="Book Antiqua" w:hAnsi="Book Antiqua" w:cs="Times New Roman"/>
          <w:sz w:val="24"/>
          <w:szCs w:val="24"/>
        </w:rPr>
        <w:t>;</w:t>
      </w:r>
      <w:r w:rsidR="00251CBC" w:rsidRPr="00796959">
        <w:rPr>
          <w:rFonts w:ascii="Book Antiqua" w:hAnsi="Book Antiqua" w:cs="Times New Roman"/>
          <w:sz w:val="24"/>
          <w:szCs w:val="24"/>
        </w:rPr>
        <w:t xml:space="preserve"> p &lt; 0.001) institutions. </w:t>
      </w:r>
      <w:r w:rsidR="00251CBC" w:rsidRPr="00796959">
        <w:rPr>
          <w:rFonts w:ascii="Book Antiqua" w:eastAsia="Times New Roman" w:hAnsi="Book Antiqua" w:cs="Times New Roman"/>
          <w:color w:val="000000"/>
          <w:sz w:val="24"/>
          <w:szCs w:val="24"/>
        </w:rPr>
        <w:t xml:space="preserve">Median household income quartile and race distribution also </w:t>
      </w:r>
      <w:r w:rsidR="00015AAD" w:rsidRPr="00796959">
        <w:rPr>
          <w:rFonts w:ascii="Book Antiqua" w:eastAsia="Times New Roman" w:hAnsi="Book Antiqua" w:cs="Times New Roman"/>
          <w:color w:val="000000"/>
          <w:sz w:val="24"/>
          <w:szCs w:val="24"/>
        </w:rPr>
        <w:t xml:space="preserve">were </w:t>
      </w:r>
      <w:r w:rsidR="00251CBC" w:rsidRPr="00796959">
        <w:rPr>
          <w:rFonts w:ascii="Book Antiqua" w:eastAsia="Times New Roman" w:hAnsi="Book Antiqua" w:cs="Times New Roman"/>
          <w:color w:val="000000"/>
          <w:sz w:val="24"/>
          <w:szCs w:val="24"/>
        </w:rPr>
        <w:t>different between the two eras, although there was no difference in gender ratio of patients.</w:t>
      </w:r>
      <w:r w:rsidR="00880C18" w:rsidRPr="00796959">
        <w:rPr>
          <w:rFonts w:ascii="Book Antiqua" w:eastAsia="Times New Roman" w:hAnsi="Book Antiqua" w:cs="Times New Roman"/>
          <w:color w:val="000000"/>
          <w:sz w:val="24"/>
          <w:szCs w:val="24"/>
        </w:rPr>
        <w:t xml:space="preserve"> </w:t>
      </w:r>
    </w:p>
    <w:p w14:paraId="70152AC9" w14:textId="77777777" w:rsidR="002840AC" w:rsidRPr="00796959" w:rsidRDefault="002840AC" w:rsidP="00796959">
      <w:pPr>
        <w:pStyle w:val="NoSpacing"/>
        <w:spacing w:line="360" w:lineRule="auto"/>
        <w:rPr>
          <w:rFonts w:ascii="Book Antiqua" w:hAnsi="Book Antiqua"/>
          <w:sz w:val="24"/>
          <w:szCs w:val="24"/>
        </w:rPr>
      </w:pPr>
    </w:p>
    <w:p w14:paraId="7717493E" w14:textId="7D58CB30" w:rsidR="007505C4" w:rsidRPr="00796959" w:rsidRDefault="004D2A4F" w:rsidP="00796959">
      <w:pPr>
        <w:rPr>
          <w:rFonts w:ascii="Book Antiqua" w:hAnsi="Book Antiqua" w:cs="Times New Roman"/>
          <w:sz w:val="24"/>
          <w:szCs w:val="24"/>
        </w:rPr>
      </w:pPr>
      <w:r w:rsidRPr="00796959">
        <w:rPr>
          <w:rFonts w:ascii="Book Antiqua" w:hAnsi="Book Antiqua" w:cs="Times New Roman"/>
          <w:b/>
          <w:sz w:val="24"/>
          <w:szCs w:val="24"/>
        </w:rPr>
        <w:t xml:space="preserve">Timing of Post-LVAD </w:t>
      </w:r>
      <w:r w:rsidR="00015AAD" w:rsidRPr="00796959">
        <w:rPr>
          <w:rFonts w:ascii="Book Antiqua" w:hAnsi="Book Antiqua" w:cs="Times New Roman"/>
          <w:b/>
          <w:sz w:val="24"/>
          <w:szCs w:val="24"/>
        </w:rPr>
        <w:t xml:space="preserve">Orthotopic </w:t>
      </w:r>
      <w:r w:rsidRPr="00796959">
        <w:rPr>
          <w:rFonts w:ascii="Book Antiqua" w:hAnsi="Book Antiqua" w:cs="Times New Roman"/>
          <w:b/>
          <w:sz w:val="24"/>
          <w:szCs w:val="24"/>
        </w:rPr>
        <w:t>Heart Transplant</w:t>
      </w:r>
    </w:p>
    <w:p w14:paraId="6BEC12FC" w14:textId="0A99A9C5" w:rsidR="00036D0E" w:rsidRPr="00796959" w:rsidRDefault="003351F3" w:rsidP="00796959">
      <w:pPr>
        <w:rPr>
          <w:rFonts w:ascii="Book Antiqua" w:hAnsi="Book Antiqua" w:cs="Times New Roman"/>
          <w:sz w:val="24"/>
          <w:szCs w:val="24"/>
        </w:rPr>
      </w:pPr>
      <w:r w:rsidRPr="00796959">
        <w:rPr>
          <w:rFonts w:ascii="Book Antiqua" w:hAnsi="Book Antiqua" w:cs="Times New Roman"/>
          <w:b/>
          <w:sz w:val="24"/>
          <w:szCs w:val="24"/>
        </w:rPr>
        <w:tab/>
      </w:r>
      <w:r w:rsidR="004D2A4F" w:rsidRPr="00796959">
        <w:rPr>
          <w:rFonts w:ascii="Book Antiqua" w:hAnsi="Book Antiqua" w:cs="Times New Roman"/>
          <w:sz w:val="24"/>
          <w:szCs w:val="24"/>
        </w:rPr>
        <w:t xml:space="preserve">Of </w:t>
      </w:r>
      <w:r w:rsidR="00015AAD" w:rsidRPr="00796959">
        <w:rPr>
          <w:rFonts w:ascii="Book Antiqua" w:hAnsi="Book Antiqua" w:cs="Times New Roman"/>
          <w:sz w:val="24"/>
          <w:szCs w:val="24"/>
        </w:rPr>
        <w:t xml:space="preserve">the </w:t>
      </w:r>
      <w:r w:rsidR="004D2A4F" w:rsidRPr="00796959">
        <w:rPr>
          <w:rFonts w:ascii="Book Antiqua" w:hAnsi="Book Antiqua" w:cs="Times New Roman"/>
          <w:sz w:val="24"/>
          <w:szCs w:val="24"/>
        </w:rPr>
        <w:t xml:space="preserve">patients who underwent LVAD implantation, </w:t>
      </w:r>
      <w:r w:rsidRPr="00796959">
        <w:rPr>
          <w:rFonts w:ascii="Book Antiqua" w:hAnsi="Book Antiqua" w:cs="Times New Roman"/>
          <w:sz w:val="24"/>
          <w:szCs w:val="24"/>
        </w:rPr>
        <w:t xml:space="preserve">164 (7.5%) also underwent </w:t>
      </w:r>
      <w:r w:rsidR="00623D68" w:rsidRPr="00796959">
        <w:rPr>
          <w:rFonts w:ascii="Book Antiqua" w:hAnsi="Book Antiqua" w:cs="Times New Roman"/>
          <w:sz w:val="24"/>
          <w:szCs w:val="24"/>
        </w:rPr>
        <w:t>orthotopic heart</w:t>
      </w:r>
      <w:r w:rsidRPr="00796959">
        <w:rPr>
          <w:rFonts w:ascii="Book Antiqua" w:hAnsi="Book Antiqua" w:cs="Times New Roman"/>
          <w:sz w:val="24"/>
          <w:szCs w:val="24"/>
        </w:rPr>
        <w:t xml:space="preserve"> transplant</w:t>
      </w:r>
      <w:r w:rsidR="00015AAD" w:rsidRPr="00796959">
        <w:rPr>
          <w:rFonts w:ascii="Book Antiqua" w:hAnsi="Book Antiqua" w:cs="Times New Roman"/>
          <w:sz w:val="24"/>
          <w:szCs w:val="24"/>
        </w:rPr>
        <w:t xml:space="preserve"> (OHT)</w:t>
      </w:r>
      <w:r w:rsidRPr="00796959">
        <w:rPr>
          <w:rFonts w:ascii="Book Antiqua" w:hAnsi="Book Antiqua" w:cs="Times New Roman"/>
          <w:sz w:val="24"/>
          <w:szCs w:val="24"/>
        </w:rPr>
        <w:t xml:space="preserve"> during the same hospitalization</w:t>
      </w:r>
      <w:r w:rsidR="00036D0E" w:rsidRPr="00796959">
        <w:rPr>
          <w:rFonts w:ascii="Book Antiqua" w:hAnsi="Book Antiqua" w:cs="Times New Roman"/>
          <w:sz w:val="24"/>
          <w:szCs w:val="24"/>
        </w:rPr>
        <w:t xml:space="preserve">. </w:t>
      </w:r>
      <w:r w:rsidRPr="00796959">
        <w:rPr>
          <w:rFonts w:ascii="Book Antiqua" w:hAnsi="Book Antiqua" w:cs="Times New Roman"/>
          <w:sz w:val="24"/>
          <w:szCs w:val="24"/>
        </w:rPr>
        <w:t xml:space="preserve">OHT occurred a median of 32 days (IQR 7.75 </w:t>
      </w:r>
      <w:r w:rsidR="00015AAD" w:rsidRPr="00796959">
        <w:rPr>
          <w:rFonts w:ascii="Book Antiqua" w:hAnsi="Book Antiqua" w:cs="Times New Roman"/>
          <w:sz w:val="24"/>
          <w:szCs w:val="24"/>
        </w:rPr>
        <w:t xml:space="preserve">- </w:t>
      </w:r>
      <w:r w:rsidRPr="00796959">
        <w:rPr>
          <w:rFonts w:ascii="Book Antiqua" w:hAnsi="Book Antiqua" w:cs="Times New Roman"/>
          <w:sz w:val="24"/>
          <w:szCs w:val="24"/>
        </w:rPr>
        <w:t xml:space="preserve">66 days) after LVAD implantation. </w:t>
      </w:r>
      <w:r w:rsidR="00A43E09" w:rsidRPr="00796959">
        <w:rPr>
          <w:rFonts w:ascii="Book Antiqua" w:hAnsi="Book Antiqua" w:cs="Times New Roman"/>
          <w:sz w:val="24"/>
          <w:szCs w:val="24"/>
        </w:rPr>
        <w:t>P</w:t>
      </w:r>
      <w:r w:rsidRPr="00796959">
        <w:rPr>
          <w:rFonts w:ascii="Book Antiqua" w:hAnsi="Book Antiqua" w:cs="Times New Roman"/>
          <w:sz w:val="24"/>
          <w:szCs w:val="24"/>
        </w:rPr>
        <w:t xml:space="preserve">atients who underwent </w:t>
      </w:r>
      <w:r w:rsidR="00015AAD" w:rsidRPr="00796959">
        <w:rPr>
          <w:rFonts w:ascii="Book Antiqua" w:hAnsi="Book Antiqua" w:cs="Times New Roman"/>
          <w:sz w:val="24"/>
          <w:szCs w:val="24"/>
        </w:rPr>
        <w:t xml:space="preserve">OHT </w:t>
      </w:r>
      <w:r w:rsidR="00A43E09" w:rsidRPr="00796959">
        <w:rPr>
          <w:rFonts w:ascii="Book Antiqua" w:hAnsi="Book Antiqua" w:cs="Times New Roman"/>
          <w:sz w:val="24"/>
          <w:szCs w:val="24"/>
        </w:rPr>
        <w:t>at least 8</w:t>
      </w:r>
      <w:r w:rsidRPr="00796959">
        <w:rPr>
          <w:rFonts w:ascii="Book Antiqua" w:hAnsi="Book Antiqua" w:cs="Times New Roman"/>
          <w:sz w:val="24"/>
          <w:szCs w:val="24"/>
        </w:rPr>
        <w:t xml:space="preserve"> days </w:t>
      </w:r>
      <w:r w:rsidR="00A43E09" w:rsidRPr="00796959">
        <w:rPr>
          <w:rFonts w:ascii="Book Antiqua" w:hAnsi="Book Antiqua" w:cs="Times New Roman"/>
          <w:sz w:val="24"/>
          <w:szCs w:val="24"/>
        </w:rPr>
        <w:t xml:space="preserve">after </w:t>
      </w:r>
      <w:r w:rsidRPr="00796959">
        <w:rPr>
          <w:rFonts w:ascii="Book Antiqua" w:hAnsi="Book Antiqua" w:cs="Times New Roman"/>
          <w:sz w:val="24"/>
          <w:szCs w:val="24"/>
        </w:rPr>
        <w:t>LVAD implantation</w:t>
      </w:r>
      <w:r w:rsidR="00A43E09" w:rsidRPr="00796959">
        <w:rPr>
          <w:rFonts w:ascii="Book Antiqua" w:hAnsi="Book Antiqua" w:cs="Times New Roman"/>
          <w:sz w:val="24"/>
          <w:szCs w:val="24"/>
        </w:rPr>
        <w:t xml:space="preserve"> </w:t>
      </w:r>
      <w:r w:rsidR="00015AAD" w:rsidRPr="00796959">
        <w:rPr>
          <w:rFonts w:ascii="Book Antiqua" w:hAnsi="Book Antiqua" w:cs="Times New Roman"/>
          <w:sz w:val="24"/>
          <w:szCs w:val="24"/>
        </w:rPr>
        <w:t xml:space="preserve">experienced </w:t>
      </w:r>
      <w:r w:rsidR="00A43E09" w:rsidRPr="00796959">
        <w:rPr>
          <w:rFonts w:ascii="Book Antiqua" w:hAnsi="Book Antiqua" w:cs="Times New Roman"/>
          <w:sz w:val="24"/>
          <w:szCs w:val="24"/>
        </w:rPr>
        <w:t>significantly lower</w:t>
      </w:r>
      <w:r w:rsidR="00015AAD" w:rsidRPr="00796959">
        <w:rPr>
          <w:rFonts w:ascii="Book Antiqua" w:hAnsi="Book Antiqua" w:cs="Times New Roman"/>
          <w:sz w:val="24"/>
          <w:szCs w:val="24"/>
        </w:rPr>
        <w:t xml:space="preserve"> </w:t>
      </w:r>
      <w:r w:rsidR="005D120A" w:rsidRPr="00796959">
        <w:rPr>
          <w:rFonts w:ascii="Book Antiqua" w:hAnsi="Book Antiqua" w:cs="Times New Roman"/>
          <w:sz w:val="24"/>
          <w:szCs w:val="24"/>
        </w:rPr>
        <w:t>mortality</w:t>
      </w:r>
      <w:r w:rsidR="00015AAD" w:rsidRPr="00796959">
        <w:rPr>
          <w:rFonts w:ascii="Book Antiqua" w:hAnsi="Book Antiqua" w:cs="Times New Roman"/>
          <w:sz w:val="24"/>
          <w:szCs w:val="24"/>
        </w:rPr>
        <w:t xml:space="preserve"> </w:t>
      </w:r>
      <w:r w:rsidRPr="00796959">
        <w:rPr>
          <w:rFonts w:ascii="Book Antiqua" w:hAnsi="Book Antiqua" w:cs="Times New Roman"/>
          <w:sz w:val="24"/>
          <w:szCs w:val="24"/>
        </w:rPr>
        <w:t xml:space="preserve">compared to patients who underwent </w:t>
      </w:r>
      <w:r w:rsidR="005D120A" w:rsidRPr="00796959">
        <w:rPr>
          <w:rFonts w:ascii="Book Antiqua" w:hAnsi="Book Antiqua" w:cs="Times New Roman"/>
          <w:sz w:val="24"/>
          <w:szCs w:val="24"/>
        </w:rPr>
        <w:t xml:space="preserve">OHT </w:t>
      </w:r>
      <w:r w:rsidR="00A43E09" w:rsidRPr="00796959">
        <w:rPr>
          <w:rFonts w:ascii="Book Antiqua" w:hAnsi="Book Antiqua" w:cs="Times New Roman"/>
          <w:sz w:val="24"/>
          <w:szCs w:val="24"/>
        </w:rPr>
        <w:t xml:space="preserve">earlier </w:t>
      </w:r>
      <w:r w:rsidR="008222C1" w:rsidRPr="00796959">
        <w:rPr>
          <w:rFonts w:ascii="Book Antiqua" w:hAnsi="Book Antiqua" w:cs="Times New Roman"/>
          <w:sz w:val="24"/>
          <w:szCs w:val="24"/>
        </w:rPr>
        <w:t>(26.8% vs. 12.2%</w:t>
      </w:r>
      <w:r w:rsidR="00CD73BB" w:rsidRPr="00796959">
        <w:rPr>
          <w:rFonts w:ascii="Book Antiqua" w:hAnsi="Book Antiqua" w:cs="Times New Roman"/>
          <w:sz w:val="24"/>
          <w:szCs w:val="24"/>
        </w:rPr>
        <w:t>;</w:t>
      </w:r>
      <w:r w:rsidR="008222C1" w:rsidRPr="00796959">
        <w:rPr>
          <w:rFonts w:ascii="Book Antiqua" w:hAnsi="Book Antiqua" w:cs="Times New Roman"/>
          <w:sz w:val="24"/>
          <w:szCs w:val="24"/>
        </w:rPr>
        <w:t xml:space="preserve"> p = 0.048</w:t>
      </w:r>
      <w:r w:rsidR="00CD73BB" w:rsidRPr="00796959">
        <w:rPr>
          <w:rFonts w:ascii="Book Antiqua" w:hAnsi="Book Antiqua" w:cs="Times New Roman"/>
          <w:sz w:val="24"/>
          <w:szCs w:val="24"/>
        </w:rPr>
        <w:t>; Table 1 and Figure 1</w:t>
      </w:r>
      <w:r w:rsidRPr="00796959">
        <w:rPr>
          <w:rFonts w:ascii="Book Antiqua" w:hAnsi="Book Antiqua" w:cs="Times New Roman"/>
          <w:sz w:val="24"/>
          <w:szCs w:val="24"/>
        </w:rPr>
        <w:t xml:space="preserve">). </w:t>
      </w:r>
      <w:r w:rsidR="00036D0E" w:rsidRPr="00796959">
        <w:rPr>
          <w:rFonts w:ascii="Book Antiqua" w:hAnsi="Book Antiqua" w:cs="Times New Roman"/>
          <w:sz w:val="24"/>
          <w:szCs w:val="24"/>
        </w:rPr>
        <w:t xml:space="preserve">Baseline patient demographics, patient comorbidities, and hospital characteristics were similar between </w:t>
      </w:r>
      <w:r w:rsidR="005D120A" w:rsidRPr="00796959">
        <w:rPr>
          <w:rFonts w:ascii="Book Antiqua" w:hAnsi="Book Antiqua" w:cs="Times New Roman"/>
          <w:sz w:val="24"/>
          <w:szCs w:val="24"/>
        </w:rPr>
        <w:t>the</w:t>
      </w:r>
      <w:r w:rsidR="00036D0E" w:rsidRPr="00796959">
        <w:rPr>
          <w:rFonts w:ascii="Book Antiqua" w:hAnsi="Book Antiqua" w:cs="Times New Roman"/>
          <w:sz w:val="24"/>
          <w:szCs w:val="24"/>
        </w:rPr>
        <w:t xml:space="preserve"> early and late OHT</w:t>
      </w:r>
      <w:r w:rsidR="005D120A" w:rsidRPr="00796959">
        <w:rPr>
          <w:rFonts w:ascii="Book Antiqua" w:hAnsi="Book Antiqua" w:cs="Times New Roman"/>
          <w:sz w:val="24"/>
          <w:szCs w:val="24"/>
        </w:rPr>
        <w:t xml:space="preserve"> groups</w:t>
      </w:r>
      <w:r w:rsidR="00036D0E" w:rsidRPr="00796959">
        <w:rPr>
          <w:rFonts w:ascii="Book Antiqua" w:hAnsi="Book Antiqua" w:cs="Times New Roman"/>
          <w:sz w:val="24"/>
          <w:szCs w:val="24"/>
        </w:rPr>
        <w:t xml:space="preserve">. </w:t>
      </w:r>
      <w:r w:rsidR="005E2738" w:rsidRPr="00796959">
        <w:rPr>
          <w:rFonts w:ascii="Book Antiqua" w:hAnsi="Book Antiqua" w:cs="Times New Roman"/>
          <w:sz w:val="24"/>
          <w:szCs w:val="24"/>
        </w:rPr>
        <w:t>LVAD patients who underwent late OHT also had lower mortality compared to LVAD patients who were not transplanted</w:t>
      </w:r>
      <w:r w:rsidR="002E2736" w:rsidRPr="00796959">
        <w:rPr>
          <w:rFonts w:ascii="Book Antiqua" w:hAnsi="Book Antiqua" w:cs="Times New Roman"/>
          <w:sz w:val="24"/>
          <w:szCs w:val="24"/>
        </w:rPr>
        <w:t xml:space="preserve"> (12.2% vs. 27.0%</w:t>
      </w:r>
      <w:r w:rsidR="00CD73BB" w:rsidRPr="00796959">
        <w:rPr>
          <w:rFonts w:ascii="Book Antiqua" w:hAnsi="Book Antiqua" w:cs="Times New Roman"/>
          <w:sz w:val="24"/>
          <w:szCs w:val="24"/>
        </w:rPr>
        <w:t>;</w:t>
      </w:r>
      <w:r w:rsidR="002E2736" w:rsidRPr="00796959">
        <w:rPr>
          <w:rFonts w:ascii="Book Antiqua" w:hAnsi="Book Antiqua" w:cs="Times New Roman"/>
          <w:sz w:val="24"/>
          <w:szCs w:val="24"/>
        </w:rPr>
        <w:t xml:space="preserve"> p &lt; 0.001)</w:t>
      </w:r>
      <w:r w:rsidR="005E2738" w:rsidRPr="00796959">
        <w:rPr>
          <w:rFonts w:ascii="Book Antiqua" w:hAnsi="Book Antiqua" w:cs="Times New Roman"/>
          <w:sz w:val="24"/>
          <w:szCs w:val="24"/>
        </w:rPr>
        <w:t xml:space="preserve">. However, LVAD patients who underwent early transplant did not experience </w:t>
      </w:r>
      <w:r w:rsidR="002E2736" w:rsidRPr="00796959">
        <w:rPr>
          <w:rFonts w:ascii="Book Antiqua" w:hAnsi="Book Antiqua" w:cs="Times New Roman"/>
          <w:sz w:val="24"/>
          <w:szCs w:val="24"/>
        </w:rPr>
        <w:t>a similar mortality benefit (26.8% vs. 27.0</w:t>
      </w:r>
      <w:r w:rsidR="00CD73BB" w:rsidRPr="00796959">
        <w:rPr>
          <w:rFonts w:ascii="Book Antiqua" w:hAnsi="Book Antiqua" w:cs="Times New Roman"/>
          <w:sz w:val="24"/>
          <w:szCs w:val="24"/>
        </w:rPr>
        <w:t>%;</w:t>
      </w:r>
      <w:r w:rsidR="002E2736" w:rsidRPr="00796959">
        <w:rPr>
          <w:rFonts w:ascii="Book Antiqua" w:hAnsi="Book Antiqua" w:cs="Times New Roman"/>
          <w:sz w:val="24"/>
          <w:szCs w:val="24"/>
        </w:rPr>
        <w:t xml:space="preserve"> p = 0.946). </w:t>
      </w:r>
      <w:r w:rsidR="008222C1" w:rsidRPr="00796959">
        <w:rPr>
          <w:rFonts w:ascii="Book Antiqua" w:hAnsi="Book Antiqua" w:cs="Times New Roman"/>
          <w:sz w:val="24"/>
          <w:szCs w:val="24"/>
        </w:rPr>
        <w:t xml:space="preserve">Multivariate linear model also confirms the strong association between early OHT after LVAD and </w:t>
      </w:r>
      <w:r w:rsidR="002E2736" w:rsidRPr="00796959">
        <w:rPr>
          <w:rFonts w:ascii="Book Antiqua" w:hAnsi="Book Antiqua" w:cs="Times New Roman"/>
          <w:sz w:val="24"/>
          <w:szCs w:val="24"/>
        </w:rPr>
        <w:t xml:space="preserve">in-hospital </w:t>
      </w:r>
      <w:r w:rsidR="008222C1" w:rsidRPr="00796959">
        <w:rPr>
          <w:rFonts w:ascii="Book Antiqua" w:hAnsi="Book Antiqua" w:cs="Times New Roman"/>
          <w:sz w:val="24"/>
          <w:szCs w:val="24"/>
        </w:rPr>
        <w:t xml:space="preserve">mortality, independent of patient age, </w:t>
      </w:r>
      <w:r w:rsidR="002E2736" w:rsidRPr="00796959">
        <w:rPr>
          <w:rFonts w:ascii="Book Antiqua" w:hAnsi="Book Antiqua" w:cs="Times New Roman"/>
          <w:sz w:val="24"/>
          <w:szCs w:val="24"/>
        </w:rPr>
        <w:t>LVAD</w:t>
      </w:r>
      <w:r w:rsidR="008222C1" w:rsidRPr="00796959">
        <w:rPr>
          <w:rFonts w:ascii="Book Antiqua" w:hAnsi="Book Antiqua" w:cs="Times New Roman"/>
          <w:sz w:val="24"/>
          <w:szCs w:val="24"/>
        </w:rPr>
        <w:t xml:space="preserve"> era, comorbidities, and demographics (Table 4). </w:t>
      </w:r>
    </w:p>
    <w:p w14:paraId="77E5FF4B" w14:textId="32E1D471" w:rsidR="004D2A4F" w:rsidRPr="00796959" w:rsidRDefault="00D227A3" w:rsidP="00796959">
      <w:pPr>
        <w:spacing w:after="160"/>
        <w:ind w:firstLine="720"/>
        <w:rPr>
          <w:rFonts w:ascii="Book Antiqua" w:eastAsia="Times New Roman" w:hAnsi="Book Antiqua" w:cs="Times New Roman"/>
          <w:color w:val="000000"/>
          <w:sz w:val="24"/>
          <w:szCs w:val="24"/>
        </w:rPr>
      </w:pPr>
      <w:r w:rsidRPr="00796959">
        <w:rPr>
          <w:rFonts w:ascii="Book Antiqua" w:eastAsia="Times New Roman" w:hAnsi="Book Antiqua" w:cs="Times New Roman"/>
          <w:color w:val="000000"/>
          <w:sz w:val="24"/>
          <w:szCs w:val="24"/>
        </w:rPr>
        <w:t>Comparing the quartiles of post-LVAD OHT transplant times, t</w:t>
      </w:r>
      <w:r w:rsidR="00E767B3" w:rsidRPr="00796959">
        <w:rPr>
          <w:rFonts w:ascii="Book Antiqua" w:eastAsia="Times New Roman" w:hAnsi="Book Antiqua" w:cs="Times New Roman"/>
          <w:color w:val="000000"/>
          <w:sz w:val="24"/>
          <w:szCs w:val="24"/>
        </w:rPr>
        <w:t>here was no statistically significant</w:t>
      </w:r>
      <w:r w:rsidR="002E2736" w:rsidRPr="00796959">
        <w:rPr>
          <w:rFonts w:ascii="Book Antiqua" w:eastAsia="Times New Roman" w:hAnsi="Book Antiqua" w:cs="Times New Roman"/>
          <w:color w:val="000000"/>
          <w:sz w:val="24"/>
          <w:szCs w:val="24"/>
        </w:rPr>
        <w:t xml:space="preserve"> difference</w:t>
      </w:r>
      <w:r w:rsidR="00E767B3" w:rsidRPr="00796959">
        <w:rPr>
          <w:rFonts w:ascii="Book Antiqua" w:eastAsia="Times New Roman" w:hAnsi="Book Antiqua" w:cs="Times New Roman"/>
          <w:color w:val="000000"/>
          <w:sz w:val="24"/>
          <w:szCs w:val="24"/>
        </w:rPr>
        <w:t xml:space="preserve"> in post-OHT length of stay (23.8 ± 21.4 days for the first quartile, 21.7 ± 15.8 days for the second quartile, 27.6 ± 37.1 days for the third quartile, 27.1 ± 22.8 days for the fourth quartile</w:t>
      </w:r>
      <w:r w:rsidR="00CD73BB" w:rsidRPr="00796959">
        <w:rPr>
          <w:rFonts w:ascii="Book Antiqua" w:eastAsia="Times New Roman" w:hAnsi="Book Antiqua" w:cs="Times New Roman"/>
          <w:color w:val="000000"/>
          <w:sz w:val="24"/>
          <w:szCs w:val="24"/>
        </w:rPr>
        <w:t xml:space="preserve">; </w:t>
      </w:r>
      <w:r w:rsidR="00E767B3" w:rsidRPr="00796959">
        <w:rPr>
          <w:rFonts w:ascii="Book Antiqua" w:eastAsia="Times New Roman" w:hAnsi="Book Antiqua" w:cs="Times New Roman"/>
          <w:color w:val="000000"/>
          <w:sz w:val="24"/>
          <w:szCs w:val="24"/>
        </w:rPr>
        <w:t>p = 0.6571</w:t>
      </w:r>
      <w:r w:rsidR="00136AF1" w:rsidRPr="00796959">
        <w:rPr>
          <w:rFonts w:ascii="Book Antiqua" w:eastAsia="Times New Roman" w:hAnsi="Book Antiqua" w:cs="Times New Roman"/>
          <w:color w:val="000000"/>
          <w:sz w:val="24"/>
          <w:szCs w:val="24"/>
        </w:rPr>
        <w:t xml:space="preserve"> comparing first quartile to other quartiles</w:t>
      </w:r>
      <w:r w:rsidR="0008666D" w:rsidRPr="00796959">
        <w:rPr>
          <w:rFonts w:ascii="Book Antiqua" w:eastAsia="Times New Roman" w:hAnsi="Book Antiqua" w:cs="Times New Roman"/>
          <w:color w:val="000000"/>
          <w:sz w:val="24"/>
          <w:szCs w:val="24"/>
        </w:rPr>
        <w:t>; Table 1</w:t>
      </w:r>
      <w:r w:rsidR="00E767B3" w:rsidRPr="00796959">
        <w:rPr>
          <w:rFonts w:ascii="Book Antiqua" w:eastAsia="Times New Roman" w:hAnsi="Book Antiqua" w:cs="Times New Roman"/>
          <w:color w:val="000000"/>
          <w:sz w:val="24"/>
          <w:szCs w:val="24"/>
        </w:rPr>
        <w:t>).</w:t>
      </w:r>
      <w:r w:rsidRPr="00796959">
        <w:rPr>
          <w:rFonts w:ascii="Book Antiqua" w:hAnsi="Book Antiqua" w:cs="Times New Roman"/>
          <w:sz w:val="24"/>
          <w:szCs w:val="24"/>
        </w:rPr>
        <w:t xml:space="preserve"> </w:t>
      </w:r>
      <w:r w:rsidR="00CD73BB" w:rsidRPr="00796959">
        <w:rPr>
          <w:rFonts w:ascii="Book Antiqua" w:hAnsi="Book Antiqua" w:cs="Times New Roman"/>
          <w:sz w:val="24"/>
          <w:szCs w:val="24"/>
        </w:rPr>
        <w:t>However, as expected, p</w:t>
      </w:r>
      <w:r w:rsidRPr="00796959">
        <w:rPr>
          <w:rFonts w:ascii="Book Antiqua" w:hAnsi="Book Antiqua" w:cs="Times New Roman"/>
          <w:sz w:val="24"/>
          <w:szCs w:val="24"/>
        </w:rPr>
        <w:t xml:space="preserve">atients who waited longer after LVAD implantation for OHT had longer </w:t>
      </w:r>
      <w:r w:rsidR="0010368C" w:rsidRPr="00796959">
        <w:rPr>
          <w:rFonts w:ascii="Book Antiqua" w:hAnsi="Book Antiqua" w:cs="Times New Roman"/>
          <w:sz w:val="24"/>
          <w:szCs w:val="24"/>
        </w:rPr>
        <w:t xml:space="preserve">overall </w:t>
      </w:r>
      <w:r w:rsidRPr="00796959">
        <w:rPr>
          <w:rFonts w:ascii="Book Antiqua" w:hAnsi="Book Antiqua" w:cs="Times New Roman"/>
          <w:sz w:val="24"/>
          <w:szCs w:val="24"/>
        </w:rPr>
        <w:t>hospital stays (</w:t>
      </w:r>
      <w:r w:rsidRPr="00796959">
        <w:rPr>
          <w:rFonts w:ascii="Book Antiqua" w:eastAsia="Times New Roman" w:hAnsi="Book Antiqua" w:cs="Times New Roman"/>
          <w:color w:val="000000"/>
          <w:sz w:val="24"/>
          <w:szCs w:val="24"/>
        </w:rPr>
        <w:t xml:space="preserve">39.3 ± 33.2 days for the first quartile, 48.87 ± 25.6 days for the second quartile, 85.8 ± 40.1 days for the third quartile, </w:t>
      </w:r>
      <w:r w:rsidRPr="00796959">
        <w:rPr>
          <w:rFonts w:ascii="Book Antiqua" w:eastAsia="Times New Roman" w:hAnsi="Book Antiqua" w:cs="Times New Roman"/>
          <w:color w:val="000000"/>
          <w:sz w:val="24"/>
          <w:szCs w:val="24"/>
        </w:rPr>
        <w:lastRenderedPageBreak/>
        <w:t>151.2 ± 52.6 days for the fourth quartile</w:t>
      </w:r>
      <w:r w:rsidR="0008666D" w:rsidRPr="00796959">
        <w:rPr>
          <w:rFonts w:ascii="Book Antiqua" w:eastAsia="Times New Roman" w:hAnsi="Book Antiqua" w:cs="Times New Roman"/>
          <w:color w:val="000000"/>
          <w:sz w:val="24"/>
          <w:szCs w:val="24"/>
        </w:rPr>
        <w:t xml:space="preserve">; </w:t>
      </w:r>
      <w:r w:rsidR="00136AF1" w:rsidRPr="00796959">
        <w:rPr>
          <w:rFonts w:ascii="Book Antiqua" w:eastAsia="Times New Roman" w:hAnsi="Book Antiqua" w:cs="Times New Roman"/>
          <w:color w:val="000000"/>
          <w:sz w:val="24"/>
          <w:szCs w:val="24"/>
        </w:rPr>
        <w:t xml:space="preserve">p &lt; 0.001 comparing first quartile to other quartiles; </w:t>
      </w:r>
      <w:r w:rsidR="0008666D" w:rsidRPr="00796959">
        <w:rPr>
          <w:rFonts w:ascii="Book Antiqua" w:eastAsia="Times New Roman" w:hAnsi="Book Antiqua" w:cs="Times New Roman"/>
          <w:color w:val="000000"/>
          <w:sz w:val="24"/>
          <w:szCs w:val="24"/>
        </w:rPr>
        <w:t>Table 1</w:t>
      </w:r>
      <w:r w:rsidRPr="00796959">
        <w:rPr>
          <w:rFonts w:ascii="Book Antiqua" w:eastAsia="Times New Roman" w:hAnsi="Book Antiqua" w:cs="Times New Roman"/>
          <w:color w:val="000000"/>
          <w:sz w:val="24"/>
          <w:szCs w:val="24"/>
        </w:rPr>
        <w:t>).</w:t>
      </w:r>
    </w:p>
    <w:p w14:paraId="0E97AD2C" w14:textId="6BDB1BB1" w:rsidR="00200FDE" w:rsidRPr="00796959" w:rsidRDefault="00200FDE" w:rsidP="00796959">
      <w:pPr>
        <w:spacing w:after="160"/>
        <w:ind w:firstLine="720"/>
        <w:rPr>
          <w:rFonts w:ascii="Book Antiqua" w:eastAsia="Times New Roman" w:hAnsi="Book Antiqua" w:cs="Times New Roman"/>
          <w:color w:val="000000"/>
          <w:sz w:val="24"/>
          <w:szCs w:val="24"/>
        </w:rPr>
      </w:pPr>
    </w:p>
    <w:p w14:paraId="4FC243AB" w14:textId="77777777" w:rsidR="00200FDE" w:rsidRPr="00796959" w:rsidRDefault="00200FDE" w:rsidP="00796959">
      <w:pPr>
        <w:spacing w:after="160"/>
        <w:ind w:firstLine="720"/>
        <w:rPr>
          <w:rFonts w:ascii="Book Antiqua" w:hAnsi="Book Antiqua" w:cs="Times New Roman"/>
          <w:b/>
          <w:sz w:val="24"/>
          <w:szCs w:val="24"/>
        </w:rPr>
      </w:pPr>
    </w:p>
    <w:p w14:paraId="4D7FC732" w14:textId="77777777" w:rsidR="009222BE" w:rsidRPr="00796959" w:rsidRDefault="009222BE" w:rsidP="00796959">
      <w:pPr>
        <w:pStyle w:val="NoSpacing"/>
        <w:spacing w:line="360" w:lineRule="auto"/>
        <w:rPr>
          <w:rFonts w:ascii="Book Antiqua" w:hAnsi="Book Antiqua" w:cs="Times New Roman"/>
          <w:b/>
          <w:sz w:val="24"/>
          <w:szCs w:val="24"/>
        </w:rPr>
      </w:pPr>
      <w:r w:rsidRPr="00796959">
        <w:rPr>
          <w:rFonts w:ascii="Book Antiqua" w:hAnsi="Book Antiqua" w:cs="Times New Roman"/>
          <w:b/>
          <w:sz w:val="24"/>
          <w:szCs w:val="24"/>
        </w:rPr>
        <w:t>Discussion:</w:t>
      </w:r>
    </w:p>
    <w:p w14:paraId="22DE15FD" w14:textId="57CEF2DE" w:rsidR="00870497" w:rsidRPr="00796959" w:rsidRDefault="00CC6FB6" w:rsidP="00796959">
      <w:pPr>
        <w:rPr>
          <w:rFonts w:ascii="Book Antiqua" w:hAnsi="Book Antiqua" w:cs="Times New Roman"/>
          <w:sz w:val="24"/>
          <w:szCs w:val="24"/>
        </w:rPr>
      </w:pPr>
      <w:r w:rsidRPr="00796959">
        <w:rPr>
          <w:rFonts w:ascii="Book Antiqua" w:hAnsi="Book Antiqua" w:cs="Times New Roman"/>
          <w:sz w:val="24"/>
          <w:szCs w:val="24"/>
        </w:rPr>
        <w:tab/>
      </w:r>
      <w:r w:rsidR="0028154B" w:rsidRPr="00796959">
        <w:rPr>
          <w:rFonts w:ascii="Book Antiqua" w:hAnsi="Book Antiqua" w:cs="Times New Roman"/>
          <w:sz w:val="24"/>
          <w:szCs w:val="24"/>
        </w:rPr>
        <w:t>Our study</w:t>
      </w:r>
      <w:r w:rsidR="00784A7E" w:rsidRPr="00796959">
        <w:rPr>
          <w:rFonts w:ascii="Book Antiqua" w:hAnsi="Book Antiqua" w:cs="Times New Roman"/>
          <w:sz w:val="24"/>
          <w:szCs w:val="24"/>
        </w:rPr>
        <w:t xml:space="preserve"> </w:t>
      </w:r>
      <w:r w:rsidR="008D5E4A" w:rsidRPr="00796959">
        <w:rPr>
          <w:rFonts w:ascii="Book Antiqua" w:hAnsi="Book Antiqua" w:cs="Times New Roman"/>
          <w:sz w:val="24"/>
          <w:szCs w:val="24"/>
        </w:rPr>
        <w:t>address</w:t>
      </w:r>
      <w:r w:rsidR="00784A7E" w:rsidRPr="00796959">
        <w:rPr>
          <w:rFonts w:ascii="Book Antiqua" w:hAnsi="Book Antiqua" w:cs="Times New Roman"/>
          <w:sz w:val="24"/>
          <w:szCs w:val="24"/>
        </w:rPr>
        <w:t>es</w:t>
      </w:r>
      <w:r w:rsidR="008D5E4A" w:rsidRPr="00796959">
        <w:rPr>
          <w:rFonts w:ascii="Book Antiqua" w:hAnsi="Book Antiqua" w:cs="Times New Roman"/>
          <w:sz w:val="24"/>
          <w:szCs w:val="24"/>
        </w:rPr>
        <w:t xml:space="preserve"> the difficult question of timing of </w:t>
      </w:r>
      <w:r w:rsidR="00784A7E" w:rsidRPr="00796959">
        <w:rPr>
          <w:rFonts w:ascii="Book Antiqua" w:hAnsi="Book Antiqua" w:cs="Times New Roman"/>
          <w:sz w:val="24"/>
          <w:szCs w:val="24"/>
        </w:rPr>
        <w:t xml:space="preserve">same-admission </w:t>
      </w:r>
      <w:r w:rsidR="008D5E4A" w:rsidRPr="00796959">
        <w:rPr>
          <w:rFonts w:ascii="Book Antiqua" w:hAnsi="Book Antiqua" w:cs="Times New Roman"/>
          <w:sz w:val="24"/>
          <w:szCs w:val="24"/>
        </w:rPr>
        <w:t>OHT after LVAD implantation.</w:t>
      </w:r>
      <w:r w:rsidR="0084132A" w:rsidRPr="00796959">
        <w:rPr>
          <w:rFonts w:ascii="Book Antiqua" w:hAnsi="Book Antiqua" w:cs="Times New Roman"/>
          <w:sz w:val="24"/>
          <w:szCs w:val="24"/>
        </w:rPr>
        <w:t xml:space="preserve"> </w:t>
      </w:r>
      <w:r w:rsidR="00F809B3" w:rsidRPr="00796959">
        <w:rPr>
          <w:rFonts w:ascii="Book Antiqua" w:hAnsi="Book Antiqua" w:cs="Times New Roman"/>
          <w:sz w:val="24"/>
          <w:szCs w:val="24"/>
        </w:rPr>
        <w:t>Using the inpatient data on procedure timing from the NIS 1998-2011, we show that</w:t>
      </w:r>
      <w:r w:rsidR="0084132A" w:rsidRPr="00796959">
        <w:rPr>
          <w:rFonts w:ascii="Book Antiqua" w:hAnsi="Book Antiqua" w:cs="Times New Roman"/>
          <w:sz w:val="24"/>
          <w:szCs w:val="24"/>
        </w:rPr>
        <w:t xml:space="preserve"> mortality </w:t>
      </w:r>
      <w:r w:rsidR="00F809B3" w:rsidRPr="00796959">
        <w:rPr>
          <w:rFonts w:ascii="Book Antiqua" w:hAnsi="Book Antiqua" w:cs="Times New Roman"/>
          <w:sz w:val="24"/>
          <w:szCs w:val="24"/>
        </w:rPr>
        <w:t>risk significantly decreases</w:t>
      </w:r>
      <w:r w:rsidR="00BC4067" w:rsidRPr="00796959">
        <w:rPr>
          <w:rFonts w:ascii="Book Antiqua" w:hAnsi="Book Antiqua" w:cs="Times New Roman"/>
          <w:sz w:val="24"/>
          <w:szCs w:val="24"/>
        </w:rPr>
        <w:t xml:space="preserve"> in</w:t>
      </w:r>
      <w:r w:rsidR="0084132A" w:rsidRPr="00796959">
        <w:rPr>
          <w:rFonts w:ascii="Book Antiqua" w:hAnsi="Book Antiqua" w:cs="Times New Roman"/>
          <w:sz w:val="24"/>
          <w:szCs w:val="24"/>
        </w:rPr>
        <w:t xml:space="preserve"> patients who </w:t>
      </w:r>
      <w:r w:rsidR="00F809B3" w:rsidRPr="00796959">
        <w:rPr>
          <w:rFonts w:ascii="Book Antiqua" w:hAnsi="Book Antiqua" w:cs="Times New Roman"/>
          <w:sz w:val="24"/>
          <w:szCs w:val="24"/>
        </w:rPr>
        <w:t xml:space="preserve">undergo </w:t>
      </w:r>
      <w:r w:rsidR="0084132A" w:rsidRPr="00796959">
        <w:rPr>
          <w:rFonts w:ascii="Book Antiqua" w:hAnsi="Book Antiqua" w:cs="Times New Roman"/>
          <w:sz w:val="24"/>
          <w:szCs w:val="24"/>
        </w:rPr>
        <w:t xml:space="preserve">OHT </w:t>
      </w:r>
      <w:r w:rsidR="00F809B3" w:rsidRPr="00796959">
        <w:rPr>
          <w:rFonts w:ascii="Book Antiqua" w:hAnsi="Book Antiqua" w:cs="Times New Roman"/>
          <w:sz w:val="24"/>
          <w:szCs w:val="24"/>
        </w:rPr>
        <w:t>at least</w:t>
      </w:r>
      <w:r w:rsidR="0084132A" w:rsidRPr="00796959">
        <w:rPr>
          <w:rFonts w:ascii="Book Antiqua" w:hAnsi="Book Antiqua" w:cs="Times New Roman"/>
          <w:sz w:val="24"/>
          <w:szCs w:val="24"/>
        </w:rPr>
        <w:t xml:space="preserve"> 8 days after LVAD implantation</w:t>
      </w:r>
      <w:r w:rsidR="00870497" w:rsidRPr="00796959">
        <w:rPr>
          <w:rFonts w:ascii="Book Antiqua" w:hAnsi="Book Antiqua" w:cs="Times New Roman"/>
          <w:sz w:val="24"/>
          <w:szCs w:val="24"/>
        </w:rPr>
        <w:t>. We also report that</w:t>
      </w:r>
      <w:r w:rsidR="0084132A" w:rsidRPr="00796959">
        <w:rPr>
          <w:rFonts w:ascii="Book Antiqua" w:hAnsi="Book Antiqua" w:cs="Times New Roman"/>
          <w:sz w:val="24"/>
          <w:szCs w:val="24"/>
        </w:rPr>
        <w:t xml:space="preserve"> pos</w:t>
      </w:r>
      <w:r w:rsidR="00F809B3" w:rsidRPr="00796959">
        <w:rPr>
          <w:rFonts w:ascii="Book Antiqua" w:hAnsi="Book Antiqua" w:cs="Times New Roman"/>
          <w:sz w:val="24"/>
          <w:szCs w:val="24"/>
        </w:rPr>
        <w:t>t-transplant</w:t>
      </w:r>
      <w:r w:rsidR="0084132A" w:rsidRPr="00796959">
        <w:rPr>
          <w:rFonts w:ascii="Book Antiqua" w:hAnsi="Book Antiqua" w:cs="Times New Roman"/>
          <w:sz w:val="24"/>
          <w:szCs w:val="24"/>
        </w:rPr>
        <w:t xml:space="preserve"> length of stay </w:t>
      </w:r>
      <w:r w:rsidR="00F809B3" w:rsidRPr="00796959">
        <w:rPr>
          <w:rFonts w:ascii="Book Antiqua" w:hAnsi="Book Antiqua" w:cs="Times New Roman"/>
          <w:sz w:val="24"/>
          <w:szCs w:val="24"/>
        </w:rPr>
        <w:t xml:space="preserve">is independent of the timing of OHT after LVAD. </w:t>
      </w:r>
    </w:p>
    <w:p w14:paraId="5538E6B4" w14:textId="77777777" w:rsidR="00203255" w:rsidRPr="00796959" w:rsidRDefault="00626FF6" w:rsidP="00796959">
      <w:pPr>
        <w:pStyle w:val="NoSpacing"/>
        <w:spacing w:line="360" w:lineRule="auto"/>
        <w:rPr>
          <w:rFonts w:ascii="Book Antiqua" w:hAnsi="Book Antiqua" w:cs="Times New Roman"/>
          <w:sz w:val="24"/>
          <w:szCs w:val="24"/>
        </w:rPr>
      </w:pPr>
      <w:r w:rsidRPr="00796959">
        <w:rPr>
          <w:rFonts w:ascii="Book Antiqua" w:hAnsi="Book Antiqua" w:cs="Times New Roman"/>
          <w:sz w:val="24"/>
          <w:szCs w:val="24"/>
        </w:rPr>
        <w:tab/>
      </w:r>
      <w:r w:rsidR="002C56BD" w:rsidRPr="00796959">
        <w:rPr>
          <w:rFonts w:ascii="Book Antiqua" w:hAnsi="Book Antiqua" w:cs="Times New Roman"/>
          <w:sz w:val="24"/>
          <w:szCs w:val="24"/>
        </w:rPr>
        <w:t xml:space="preserve">For patients who receive an LVAD for bridge to transplant therapy (BTT), the optimal timing of post-LVAD OHT is controversial. The need for clinical stability and time to recover from major surgery is </w:t>
      </w:r>
      <w:r w:rsidR="00472161" w:rsidRPr="00796959">
        <w:rPr>
          <w:rFonts w:ascii="Book Antiqua" w:hAnsi="Book Antiqua" w:cs="Times New Roman"/>
          <w:sz w:val="24"/>
          <w:szCs w:val="24"/>
        </w:rPr>
        <w:t>counter</w:t>
      </w:r>
      <w:r w:rsidR="002C56BD" w:rsidRPr="00796959">
        <w:rPr>
          <w:rFonts w:ascii="Book Antiqua" w:hAnsi="Book Antiqua" w:cs="Times New Roman"/>
          <w:sz w:val="24"/>
          <w:szCs w:val="24"/>
        </w:rPr>
        <w:t>balanced by the risk of LVAD complications and the formation of adhesions and scarring</w:t>
      </w:r>
      <w:r w:rsidR="00472161" w:rsidRPr="00796959">
        <w:rPr>
          <w:rFonts w:ascii="Book Antiqua" w:hAnsi="Book Antiqua" w:cs="Times New Roman"/>
          <w:sz w:val="24"/>
          <w:szCs w:val="24"/>
        </w:rPr>
        <w:t>, particularly when OHT is considered early after LVAD implant</w:t>
      </w:r>
      <w:r w:rsidR="00870497" w:rsidRPr="00796959">
        <w:rPr>
          <w:rFonts w:ascii="Book Antiqua" w:hAnsi="Book Antiqua" w:cs="Times New Roman"/>
          <w:sz w:val="24"/>
          <w:szCs w:val="24"/>
        </w:rPr>
        <w:t>ation</w:t>
      </w:r>
      <w:r w:rsidR="002C56BD" w:rsidRPr="00796959">
        <w:rPr>
          <w:rFonts w:ascii="Book Antiqua" w:hAnsi="Book Antiqua" w:cs="Times New Roman"/>
          <w:sz w:val="24"/>
          <w:szCs w:val="24"/>
        </w:rPr>
        <w:t>.</w:t>
      </w:r>
      <w:r w:rsidR="00825184" w:rsidRPr="00796959">
        <w:rPr>
          <w:rFonts w:ascii="Book Antiqua" w:hAnsi="Book Antiqua" w:cs="Times New Roman"/>
          <w:sz w:val="24"/>
          <w:szCs w:val="24"/>
        </w:rPr>
        <w:t xml:space="preserve"> </w:t>
      </w:r>
    </w:p>
    <w:p w14:paraId="221208C2" w14:textId="51BC427B" w:rsidR="00626FF6" w:rsidRPr="00796959" w:rsidRDefault="00203255" w:rsidP="00796959">
      <w:pPr>
        <w:pStyle w:val="NoSpacing"/>
        <w:spacing w:line="360" w:lineRule="auto"/>
        <w:rPr>
          <w:rFonts w:ascii="Book Antiqua" w:hAnsi="Book Antiqua" w:cs="Times New Roman"/>
          <w:sz w:val="24"/>
          <w:szCs w:val="24"/>
        </w:rPr>
      </w:pPr>
      <w:r w:rsidRPr="00796959">
        <w:rPr>
          <w:rFonts w:ascii="Book Antiqua" w:hAnsi="Book Antiqua" w:cs="Times New Roman"/>
          <w:sz w:val="24"/>
          <w:szCs w:val="24"/>
        </w:rPr>
        <w:tab/>
      </w:r>
      <w:r w:rsidR="00825184" w:rsidRPr="00796959">
        <w:rPr>
          <w:rFonts w:ascii="Book Antiqua" w:hAnsi="Book Antiqua" w:cs="Times New Roman"/>
          <w:sz w:val="24"/>
          <w:szCs w:val="24"/>
        </w:rPr>
        <w:t xml:space="preserve">The high failure rate of the early, pulsatile LVADs had in part led to the initial 1999 UNOS allocation algorithm giving LVAD patients 30 days of IA status on the transplant list. </w:t>
      </w:r>
      <w:r w:rsidR="000E1DA3" w:rsidRPr="00796959">
        <w:rPr>
          <w:rFonts w:ascii="Book Antiqua" w:hAnsi="Book Antiqua" w:cs="Times New Roman"/>
          <w:sz w:val="24"/>
          <w:szCs w:val="24"/>
        </w:rPr>
        <w:t xml:space="preserve">The elective nature of the 30 day IA status allows for optimization of management prior to transplant and suggests </w:t>
      </w:r>
      <w:r w:rsidR="004333EC" w:rsidRPr="00796959">
        <w:rPr>
          <w:rFonts w:ascii="Book Antiqua" w:hAnsi="Book Antiqua" w:cs="Times New Roman"/>
          <w:sz w:val="24"/>
          <w:szCs w:val="24"/>
        </w:rPr>
        <w:t xml:space="preserve">the time period </w:t>
      </w:r>
      <w:r w:rsidR="000E1DA3" w:rsidRPr="00796959">
        <w:rPr>
          <w:rFonts w:ascii="Book Antiqua" w:hAnsi="Book Antiqua" w:cs="Times New Roman"/>
          <w:sz w:val="24"/>
          <w:szCs w:val="24"/>
        </w:rPr>
        <w:t xml:space="preserve">immediately post-mechanical support is often not the optimal time for transplant. </w:t>
      </w:r>
      <w:r w:rsidR="007866C2" w:rsidRPr="00796959">
        <w:rPr>
          <w:rFonts w:ascii="Book Antiqua" w:hAnsi="Book Antiqua" w:cs="Times New Roman"/>
          <w:sz w:val="24"/>
          <w:szCs w:val="24"/>
        </w:rPr>
        <w:t xml:space="preserve">Our data </w:t>
      </w:r>
      <w:r w:rsidR="000E1DA3" w:rsidRPr="00796959">
        <w:rPr>
          <w:rFonts w:ascii="Book Antiqua" w:hAnsi="Book Antiqua" w:cs="Times New Roman"/>
          <w:sz w:val="24"/>
          <w:szCs w:val="24"/>
        </w:rPr>
        <w:t xml:space="preserve">showing </w:t>
      </w:r>
      <w:r w:rsidR="00F41B18" w:rsidRPr="00796959">
        <w:rPr>
          <w:rFonts w:ascii="Book Antiqua" w:hAnsi="Book Antiqua" w:cs="Times New Roman"/>
          <w:sz w:val="24"/>
          <w:szCs w:val="24"/>
        </w:rPr>
        <w:t>that delaying</w:t>
      </w:r>
      <w:r w:rsidR="0084384A" w:rsidRPr="00796959">
        <w:rPr>
          <w:rFonts w:ascii="Book Antiqua" w:hAnsi="Book Antiqua" w:cs="Times New Roman"/>
          <w:sz w:val="24"/>
          <w:szCs w:val="24"/>
        </w:rPr>
        <w:t xml:space="preserve"> </w:t>
      </w:r>
      <w:r w:rsidR="007866C2" w:rsidRPr="00796959">
        <w:rPr>
          <w:rFonts w:ascii="Book Antiqua" w:hAnsi="Book Antiqua" w:cs="Times New Roman"/>
          <w:sz w:val="24"/>
          <w:szCs w:val="24"/>
        </w:rPr>
        <w:t xml:space="preserve">post-LVAD transplant can lead to </w:t>
      </w:r>
      <w:r w:rsidR="0084384A" w:rsidRPr="00796959">
        <w:rPr>
          <w:rFonts w:ascii="Book Antiqua" w:hAnsi="Book Antiqua" w:cs="Times New Roman"/>
          <w:sz w:val="24"/>
          <w:szCs w:val="24"/>
        </w:rPr>
        <w:t xml:space="preserve">superior </w:t>
      </w:r>
      <w:r w:rsidR="007866C2" w:rsidRPr="00796959">
        <w:rPr>
          <w:rFonts w:ascii="Book Antiqua" w:hAnsi="Book Antiqua" w:cs="Times New Roman"/>
          <w:sz w:val="24"/>
          <w:szCs w:val="24"/>
        </w:rPr>
        <w:t>outcomes is consistent with</w:t>
      </w:r>
      <w:r w:rsidR="008166A8" w:rsidRPr="00796959">
        <w:rPr>
          <w:rFonts w:ascii="Book Antiqua" w:hAnsi="Book Antiqua" w:cs="Times New Roman"/>
          <w:sz w:val="24"/>
          <w:szCs w:val="24"/>
        </w:rPr>
        <w:t xml:space="preserve"> the excellent long term outcomes of BTT mechanical support</w:t>
      </w:r>
      <w:r w:rsidR="0084384A" w:rsidRPr="00796959">
        <w:rPr>
          <w:rFonts w:ascii="Book Antiqua" w:hAnsi="Book Antiqua" w:cs="Times New Roman"/>
          <w:sz w:val="24"/>
          <w:szCs w:val="24"/>
        </w:rPr>
        <w:t>,</w:t>
      </w:r>
      <w:r w:rsidR="008166A8" w:rsidRPr="00796959">
        <w:rPr>
          <w:rFonts w:ascii="Book Antiqua" w:hAnsi="Book Antiqua" w:cs="Times New Roman"/>
          <w:sz w:val="24"/>
          <w:szCs w:val="24"/>
        </w:rPr>
        <w:t xml:space="preserve"> pushing some </w:t>
      </w:r>
      <w:r w:rsidRPr="00796959">
        <w:rPr>
          <w:rFonts w:ascii="Book Antiqua" w:hAnsi="Book Antiqua" w:cs="Times New Roman"/>
          <w:sz w:val="24"/>
          <w:szCs w:val="24"/>
        </w:rPr>
        <w:t xml:space="preserve">groups </w:t>
      </w:r>
      <w:r w:rsidR="008166A8" w:rsidRPr="00796959">
        <w:rPr>
          <w:rFonts w:ascii="Book Antiqua" w:hAnsi="Book Antiqua" w:cs="Times New Roman"/>
          <w:sz w:val="24"/>
          <w:szCs w:val="24"/>
        </w:rPr>
        <w:t>to question the justification of elective IA status</w:t>
      </w:r>
      <w:r w:rsidR="008166A8" w:rsidRPr="00796959">
        <w:rPr>
          <w:rFonts w:ascii="Book Antiqua" w:hAnsi="Book Antiqua" w:cs="Times New Roman"/>
          <w:sz w:val="24"/>
          <w:szCs w:val="24"/>
          <w:vertAlign w:val="superscript"/>
        </w:rPr>
        <w:t>23</w:t>
      </w:r>
      <w:r w:rsidR="008166A8" w:rsidRPr="00796959">
        <w:rPr>
          <w:rFonts w:ascii="Book Antiqua" w:hAnsi="Book Antiqua" w:cs="Times New Roman"/>
          <w:sz w:val="24"/>
          <w:szCs w:val="24"/>
        </w:rPr>
        <w:t>.</w:t>
      </w:r>
    </w:p>
    <w:p w14:paraId="56F7B2C6" w14:textId="45FF9D9E" w:rsidR="00F94EB2" w:rsidRPr="00796959" w:rsidRDefault="009070EE" w:rsidP="00796959">
      <w:pPr>
        <w:pStyle w:val="NoSpacing"/>
        <w:spacing w:line="360" w:lineRule="auto"/>
        <w:rPr>
          <w:rFonts w:ascii="Book Antiqua" w:hAnsi="Book Antiqua" w:cs="Times New Roman"/>
          <w:sz w:val="24"/>
          <w:szCs w:val="24"/>
        </w:rPr>
      </w:pPr>
      <w:r w:rsidRPr="00796959">
        <w:rPr>
          <w:rFonts w:ascii="Book Antiqua" w:hAnsi="Book Antiqua" w:cs="Times New Roman"/>
          <w:sz w:val="24"/>
          <w:szCs w:val="24"/>
        </w:rPr>
        <w:tab/>
      </w:r>
      <w:r w:rsidR="00F94EB2" w:rsidRPr="00796959">
        <w:rPr>
          <w:rFonts w:ascii="Book Antiqua" w:hAnsi="Book Antiqua" w:cs="Times New Roman"/>
          <w:sz w:val="24"/>
          <w:szCs w:val="24"/>
        </w:rPr>
        <w:t>Our study</w:t>
      </w:r>
      <w:r w:rsidR="00203255" w:rsidRPr="00796959">
        <w:rPr>
          <w:rFonts w:ascii="Book Antiqua" w:hAnsi="Book Antiqua" w:cs="Times New Roman"/>
          <w:sz w:val="24"/>
          <w:szCs w:val="24"/>
        </w:rPr>
        <w:t>, using a large national database, solidifies</w:t>
      </w:r>
      <w:r w:rsidR="004B0FDA" w:rsidRPr="00796959">
        <w:rPr>
          <w:rFonts w:ascii="Book Antiqua" w:hAnsi="Book Antiqua" w:cs="Times New Roman"/>
          <w:sz w:val="24"/>
          <w:szCs w:val="24"/>
        </w:rPr>
        <w:t xml:space="preserve"> </w:t>
      </w:r>
      <w:r w:rsidR="00203255" w:rsidRPr="00796959">
        <w:rPr>
          <w:rFonts w:ascii="Book Antiqua" w:hAnsi="Book Antiqua" w:cs="Times New Roman"/>
          <w:sz w:val="24"/>
          <w:szCs w:val="24"/>
        </w:rPr>
        <w:t xml:space="preserve">and extends </w:t>
      </w:r>
      <w:r w:rsidR="00F94EB2" w:rsidRPr="00796959">
        <w:rPr>
          <w:rFonts w:ascii="Book Antiqua" w:hAnsi="Book Antiqua" w:cs="Times New Roman"/>
          <w:sz w:val="24"/>
          <w:szCs w:val="24"/>
        </w:rPr>
        <w:t>previous findings that early transplantation after initiation of BTT mechanical support is associated with worse outcomes</w:t>
      </w:r>
      <w:r w:rsidR="00784C5A" w:rsidRPr="00796959">
        <w:rPr>
          <w:rFonts w:ascii="Book Antiqua" w:hAnsi="Book Antiqua" w:cs="Times New Roman"/>
          <w:sz w:val="24"/>
          <w:szCs w:val="24"/>
        </w:rPr>
        <w:t xml:space="preserve">. </w:t>
      </w:r>
      <w:r w:rsidR="00F94EB2" w:rsidRPr="00796959">
        <w:rPr>
          <w:rFonts w:ascii="Book Antiqua" w:hAnsi="Book Antiqua" w:cs="Times New Roman"/>
          <w:sz w:val="24"/>
          <w:szCs w:val="24"/>
        </w:rPr>
        <w:t xml:space="preserve"> </w:t>
      </w:r>
      <w:r w:rsidR="00203255" w:rsidRPr="00796959">
        <w:rPr>
          <w:rFonts w:ascii="Book Antiqua" w:hAnsi="Book Antiqua" w:cs="Times New Roman"/>
          <w:sz w:val="24"/>
          <w:szCs w:val="24"/>
        </w:rPr>
        <w:t xml:space="preserve">In the </w:t>
      </w:r>
      <w:r w:rsidR="004B0FDA" w:rsidRPr="00796959">
        <w:rPr>
          <w:rFonts w:ascii="Book Antiqua" w:hAnsi="Book Antiqua" w:cs="Times New Roman"/>
          <w:sz w:val="24"/>
          <w:szCs w:val="24"/>
        </w:rPr>
        <w:t>pulsatile</w:t>
      </w:r>
      <w:r w:rsidR="00203255" w:rsidRPr="00796959">
        <w:rPr>
          <w:rFonts w:ascii="Book Antiqua" w:hAnsi="Book Antiqua" w:cs="Times New Roman"/>
          <w:sz w:val="24"/>
          <w:szCs w:val="24"/>
        </w:rPr>
        <w:t xml:space="preserve">-flow era of LVAD, </w:t>
      </w:r>
      <w:r w:rsidR="00804E88" w:rsidRPr="00796959">
        <w:rPr>
          <w:rFonts w:ascii="Book Antiqua" w:hAnsi="Book Antiqua" w:cs="Times New Roman"/>
          <w:sz w:val="24"/>
          <w:szCs w:val="24"/>
        </w:rPr>
        <w:t>John et al.</w:t>
      </w:r>
      <w:r w:rsidR="00722609" w:rsidRPr="00796959">
        <w:rPr>
          <w:rFonts w:ascii="Book Antiqua" w:hAnsi="Book Antiqua" w:cs="Times New Roman"/>
          <w:sz w:val="24"/>
          <w:szCs w:val="24"/>
        </w:rPr>
        <w:t xml:space="preserve"> (2010)</w:t>
      </w:r>
      <w:r w:rsidR="004521BB" w:rsidRPr="00796959">
        <w:rPr>
          <w:rFonts w:ascii="Book Antiqua" w:hAnsi="Book Antiqua" w:cs="Times New Roman"/>
          <w:sz w:val="24"/>
          <w:szCs w:val="24"/>
          <w:vertAlign w:val="superscript"/>
        </w:rPr>
        <w:t>24</w:t>
      </w:r>
      <w:r w:rsidR="00722609" w:rsidRPr="00796959">
        <w:rPr>
          <w:rFonts w:ascii="Book Antiqua" w:hAnsi="Book Antiqua" w:cs="Times New Roman"/>
          <w:sz w:val="24"/>
          <w:szCs w:val="24"/>
        </w:rPr>
        <w:t xml:space="preserve"> ha</w:t>
      </w:r>
      <w:r w:rsidR="00203255" w:rsidRPr="00796959">
        <w:rPr>
          <w:rFonts w:ascii="Book Antiqua" w:hAnsi="Book Antiqua" w:cs="Times New Roman"/>
          <w:sz w:val="24"/>
          <w:szCs w:val="24"/>
        </w:rPr>
        <w:t>d</w:t>
      </w:r>
      <w:r w:rsidR="00722609" w:rsidRPr="00796959">
        <w:rPr>
          <w:rFonts w:ascii="Book Antiqua" w:hAnsi="Book Antiqua" w:cs="Times New Roman"/>
          <w:sz w:val="24"/>
          <w:szCs w:val="24"/>
        </w:rPr>
        <w:t xml:space="preserve"> shown</w:t>
      </w:r>
      <w:r w:rsidR="00804E88" w:rsidRPr="00796959">
        <w:rPr>
          <w:rFonts w:ascii="Book Antiqua" w:hAnsi="Book Antiqua" w:cs="Times New Roman"/>
          <w:sz w:val="24"/>
          <w:szCs w:val="24"/>
        </w:rPr>
        <w:t xml:space="preserve"> that cardiac transplants done less than 6 weeks after LVAD confer high</w:t>
      </w:r>
      <w:r w:rsidRPr="00796959">
        <w:rPr>
          <w:rFonts w:ascii="Book Antiqua" w:hAnsi="Book Antiqua" w:cs="Times New Roman"/>
          <w:sz w:val="24"/>
          <w:szCs w:val="24"/>
        </w:rPr>
        <w:t>er</w:t>
      </w:r>
      <w:r w:rsidR="00804E88" w:rsidRPr="00796959">
        <w:rPr>
          <w:rFonts w:ascii="Book Antiqua" w:hAnsi="Book Antiqua" w:cs="Times New Roman"/>
          <w:sz w:val="24"/>
          <w:szCs w:val="24"/>
        </w:rPr>
        <w:t xml:space="preserve"> mortality risk in patients, </w:t>
      </w:r>
      <w:r w:rsidRPr="00796959">
        <w:rPr>
          <w:rFonts w:ascii="Book Antiqua" w:hAnsi="Book Antiqua" w:cs="Times New Roman"/>
          <w:sz w:val="24"/>
          <w:szCs w:val="24"/>
        </w:rPr>
        <w:t>and</w:t>
      </w:r>
      <w:r w:rsidR="00804E88" w:rsidRPr="00796959">
        <w:rPr>
          <w:rFonts w:ascii="Book Antiqua" w:hAnsi="Book Antiqua" w:cs="Times New Roman"/>
          <w:sz w:val="24"/>
          <w:szCs w:val="24"/>
        </w:rPr>
        <w:t xml:space="preserve"> Gammie et al.</w:t>
      </w:r>
      <w:r w:rsidR="00722609" w:rsidRPr="00796959">
        <w:rPr>
          <w:rFonts w:ascii="Book Antiqua" w:hAnsi="Book Antiqua" w:cs="Times New Roman"/>
          <w:sz w:val="24"/>
          <w:szCs w:val="24"/>
        </w:rPr>
        <w:t xml:space="preserve"> (2003)</w:t>
      </w:r>
      <w:r w:rsidR="004521BB" w:rsidRPr="00796959">
        <w:rPr>
          <w:rFonts w:ascii="Book Antiqua" w:hAnsi="Book Antiqua" w:cs="Times New Roman"/>
          <w:sz w:val="24"/>
          <w:szCs w:val="24"/>
          <w:vertAlign w:val="superscript"/>
        </w:rPr>
        <w:t>25</w:t>
      </w:r>
      <w:r w:rsidR="00804E88" w:rsidRPr="00796959">
        <w:rPr>
          <w:rFonts w:ascii="Book Antiqua" w:hAnsi="Book Antiqua" w:cs="Times New Roman"/>
          <w:sz w:val="24"/>
          <w:szCs w:val="24"/>
        </w:rPr>
        <w:t xml:space="preserve"> and Ashton et al.</w:t>
      </w:r>
      <w:r w:rsidR="00722609" w:rsidRPr="00796959">
        <w:rPr>
          <w:rFonts w:ascii="Book Antiqua" w:hAnsi="Book Antiqua" w:cs="Times New Roman"/>
          <w:sz w:val="24"/>
          <w:szCs w:val="24"/>
        </w:rPr>
        <w:t xml:space="preserve"> (1996)</w:t>
      </w:r>
      <w:r w:rsidR="004521BB" w:rsidRPr="00796959">
        <w:rPr>
          <w:rFonts w:ascii="Book Antiqua" w:hAnsi="Book Antiqua" w:cs="Times New Roman"/>
          <w:sz w:val="24"/>
          <w:szCs w:val="24"/>
          <w:vertAlign w:val="superscript"/>
        </w:rPr>
        <w:t>26</w:t>
      </w:r>
      <w:r w:rsidR="00804E88" w:rsidRPr="00796959">
        <w:rPr>
          <w:rFonts w:ascii="Book Antiqua" w:hAnsi="Book Antiqua" w:cs="Times New Roman"/>
          <w:sz w:val="24"/>
          <w:szCs w:val="24"/>
        </w:rPr>
        <w:t xml:space="preserve"> </w:t>
      </w:r>
      <w:r w:rsidRPr="00796959">
        <w:rPr>
          <w:rFonts w:ascii="Book Antiqua" w:hAnsi="Book Antiqua" w:cs="Times New Roman"/>
          <w:sz w:val="24"/>
          <w:szCs w:val="24"/>
        </w:rPr>
        <w:t xml:space="preserve">have </w:t>
      </w:r>
      <w:r w:rsidRPr="00796959">
        <w:rPr>
          <w:rFonts w:ascii="Book Antiqua" w:hAnsi="Book Antiqua" w:cs="Times New Roman"/>
          <w:sz w:val="24"/>
          <w:szCs w:val="24"/>
        </w:rPr>
        <w:lastRenderedPageBreak/>
        <w:t xml:space="preserve">similarly </w:t>
      </w:r>
      <w:r w:rsidR="00722609" w:rsidRPr="00796959">
        <w:rPr>
          <w:rFonts w:ascii="Book Antiqua" w:hAnsi="Book Antiqua" w:cs="Times New Roman"/>
          <w:sz w:val="24"/>
          <w:szCs w:val="24"/>
        </w:rPr>
        <w:t>report</w:t>
      </w:r>
      <w:r w:rsidRPr="00796959">
        <w:rPr>
          <w:rFonts w:ascii="Book Antiqua" w:hAnsi="Book Antiqua" w:cs="Times New Roman"/>
          <w:sz w:val="24"/>
          <w:szCs w:val="24"/>
        </w:rPr>
        <w:t xml:space="preserve">ed optimal timing to be2 weeks </w:t>
      </w:r>
      <w:r w:rsidR="00203255" w:rsidRPr="00796959">
        <w:rPr>
          <w:rFonts w:ascii="Book Antiqua" w:hAnsi="Book Antiqua" w:cs="Times New Roman"/>
          <w:sz w:val="24"/>
          <w:szCs w:val="24"/>
        </w:rPr>
        <w:t>after</w:t>
      </w:r>
      <w:r w:rsidRPr="00796959">
        <w:rPr>
          <w:rFonts w:ascii="Book Antiqua" w:hAnsi="Book Antiqua" w:cs="Times New Roman"/>
          <w:sz w:val="24"/>
          <w:szCs w:val="24"/>
        </w:rPr>
        <w:t xml:space="preserve"> LVAD implantation. </w:t>
      </w:r>
      <w:r w:rsidR="00784C5A" w:rsidRPr="00796959">
        <w:rPr>
          <w:rFonts w:ascii="Book Antiqua" w:hAnsi="Book Antiqua" w:cs="Times New Roman"/>
          <w:sz w:val="24"/>
          <w:szCs w:val="24"/>
        </w:rPr>
        <w:t xml:space="preserve"> </w:t>
      </w:r>
      <w:r w:rsidR="00203255" w:rsidRPr="00796959">
        <w:rPr>
          <w:rFonts w:ascii="Book Antiqua" w:hAnsi="Book Antiqua" w:cs="Times New Roman"/>
          <w:sz w:val="24"/>
          <w:szCs w:val="24"/>
        </w:rPr>
        <w:t xml:space="preserve">With the advantage of procedural timing data of patients who underwent same hospitalization LVAD implantation and transplant, we add to those findings by showing there is an increased mortality associated with early same-admission transplant after LVAD in the continuous flow </w:t>
      </w:r>
      <w:r w:rsidR="004B0FDA" w:rsidRPr="00796959">
        <w:rPr>
          <w:rFonts w:ascii="Book Antiqua" w:hAnsi="Book Antiqua" w:cs="Times New Roman"/>
          <w:sz w:val="24"/>
          <w:szCs w:val="24"/>
        </w:rPr>
        <w:t>era.</w:t>
      </w:r>
    </w:p>
    <w:p w14:paraId="5F85B2CD" w14:textId="0BCF92EE" w:rsidR="004333EC" w:rsidRPr="00796959" w:rsidRDefault="00784C5A" w:rsidP="00796959">
      <w:pPr>
        <w:pStyle w:val="NoSpacing"/>
        <w:spacing w:line="360" w:lineRule="auto"/>
        <w:ind w:firstLine="720"/>
        <w:rPr>
          <w:rFonts w:ascii="Book Antiqua" w:hAnsi="Book Antiqua" w:cs="Times New Roman"/>
          <w:sz w:val="24"/>
          <w:szCs w:val="24"/>
        </w:rPr>
      </w:pPr>
      <w:r w:rsidRPr="00796959">
        <w:rPr>
          <w:rFonts w:ascii="Book Antiqua" w:hAnsi="Book Antiqua" w:cs="Times New Roman"/>
          <w:sz w:val="24"/>
          <w:szCs w:val="24"/>
        </w:rPr>
        <w:t xml:space="preserve">During the study period between </w:t>
      </w:r>
      <w:r w:rsidR="009070EE" w:rsidRPr="00796959">
        <w:rPr>
          <w:rFonts w:ascii="Book Antiqua" w:hAnsi="Book Antiqua" w:cs="Times New Roman"/>
          <w:sz w:val="24"/>
          <w:szCs w:val="24"/>
        </w:rPr>
        <w:t xml:space="preserve">1998 and 2011, there was a significant increase in the number of LVAD implantations, but </w:t>
      </w:r>
      <w:r w:rsidRPr="00796959">
        <w:rPr>
          <w:rFonts w:ascii="Book Antiqua" w:hAnsi="Book Antiqua" w:cs="Times New Roman"/>
          <w:sz w:val="24"/>
          <w:szCs w:val="24"/>
        </w:rPr>
        <w:t>patient</w:t>
      </w:r>
      <w:r w:rsidR="009070EE" w:rsidRPr="00796959">
        <w:rPr>
          <w:rFonts w:ascii="Book Antiqua" w:hAnsi="Book Antiqua" w:cs="Times New Roman"/>
          <w:sz w:val="24"/>
          <w:szCs w:val="24"/>
        </w:rPr>
        <w:t xml:space="preserve"> characteristics of this population - including timing of LVAD, usage of invasive hemodynamic monitoring, and timing of post-LVAD OHT - has remained relatively unchanged. Our </w:t>
      </w:r>
      <w:r w:rsidR="003820D7" w:rsidRPr="00796959">
        <w:rPr>
          <w:rFonts w:ascii="Book Antiqua" w:hAnsi="Book Antiqua" w:cs="Times New Roman"/>
          <w:sz w:val="24"/>
          <w:szCs w:val="24"/>
        </w:rPr>
        <w:t xml:space="preserve">sample patient population is representative of LVAD patients studied in other databases with </w:t>
      </w:r>
      <w:r w:rsidR="009070EE" w:rsidRPr="00796959">
        <w:rPr>
          <w:rFonts w:ascii="Book Antiqua" w:hAnsi="Book Antiqua" w:cs="Times New Roman"/>
          <w:sz w:val="24"/>
          <w:szCs w:val="24"/>
        </w:rPr>
        <w:t>regard</w:t>
      </w:r>
      <w:r w:rsidR="003820D7" w:rsidRPr="00796959">
        <w:rPr>
          <w:rFonts w:ascii="Book Antiqua" w:hAnsi="Book Antiqua" w:cs="Times New Roman"/>
          <w:sz w:val="24"/>
          <w:szCs w:val="24"/>
        </w:rPr>
        <w:t>s</w:t>
      </w:r>
      <w:r w:rsidR="009070EE" w:rsidRPr="00796959">
        <w:rPr>
          <w:rFonts w:ascii="Book Antiqua" w:hAnsi="Book Antiqua" w:cs="Times New Roman"/>
          <w:sz w:val="24"/>
          <w:szCs w:val="24"/>
        </w:rPr>
        <w:t xml:space="preserve"> to age, gender, race, and other demographic characteristics</w:t>
      </w:r>
      <w:r w:rsidR="003820D7" w:rsidRPr="00796959">
        <w:rPr>
          <w:rFonts w:ascii="Book Antiqua" w:hAnsi="Book Antiqua" w:cs="Times New Roman"/>
          <w:sz w:val="24"/>
          <w:szCs w:val="24"/>
        </w:rPr>
        <w:t xml:space="preserve"> and </w:t>
      </w:r>
      <w:r w:rsidR="00626827" w:rsidRPr="00796959">
        <w:rPr>
          <w:rFonts w:ascii="Book Antiqua" w:hAnsi="Book Antiqua" w:cs="Times New Roman"/>
          <w:sz w:val="24"/>
          <w:szCs w:val="24"/>
        </w:rPr>
        <w:t>also mortality</w:t>
      </w:r>
      <w:r w:rsidR="003820D7" w:rsidRPr="00796959">
        <w:rPr>
          <w:rFonts w:ascii="Book Antiqua" w:hAnsi="Book Antiqua" w:cs="Times New Roman"/>
          <w:sz w:val="24"/>
          <w:szCs w:val="24"/>
        </w:rPr>
        <w:t xml:space="preserve"> trends between the pulsatile and continuous-flow eras</w:t>
      </w:r>
      <w:r w:rsidR="009070EE" w:rsidRPr="00796959">
        <w:rPr>
          <w:rFonts w:ascii="Book Antiqua" w:hAnsi="Book Antiqua" w:cs="Times New Roman"/>
          <w:sz w:val="24"/>
          <w:szCs w:val="24"/>
        </w:rPr>
        <w:t xml:space="preserve">. </w:t>
      </w:r>
      <w:r w:rsidRPr="00796959">
        <w:rPr>
          <w:rFonts w:ascii="Book Antiqua" w:hAnsi="Book Antiqua" w:cs="Times New Roman"/>
          <w:sz w:val="24"/>
          <w:szCs w:val="24"/>
        </w:rPr>
        <w:t xml:space="preserve">Without randomized control trials to better characterize the optimal management and timing of transplant after LVAD, </w:t>
      </w:r>
      <w:r w:rsidR="0079032D" w:rsidRPr="00796959">
        <w:rPr>
          <w:rFonts w:ascii="Book Antiqua" w:hAnsi="Book Antiqua" w:cs="Times New Roman"/>
          <w:sz w:val="24"/>
          <w:szCs w:val="24"/>
        </w:rPr>
        <w:t xml:space="preserve">our study describes representative clinical practice and trends in outcomes associated with changing practice patterns. </w:t>
      </w:r>
      <w:r w:rsidR="007866C2" w:rsidRPr="00796959">
        <w:rPr>
          <w:rFonts w:ascii="Book Antiqua" w:hAnsi="Book Antiqua" w:cs="Times New Roman"/>
          <w:sz w:val="24"/>
          <w:szCs w:val="24"/>
        </w:rPr>
        <w:tab/>
      </w:r>
    </w:p>
    <w:p w14:paraId="35C5EEA4" w14:textId="2DADFB8E" w:rsidR="007866C2" w:rsidRPr="00796959" w:rsidRDefault="007866C2" w:rsidP="00796959">
      <w:pPr>
        <w:pStyle w:val="NoSpacing"/>
        <w:spacing w:line="360" w:lineRule="auto"/>
        <w:ind w:firstLine="720"/>
        <w:rPr>
          <w:rFonts w:ascii="Book Antiqua" w:hAnsi="Book Antiqua" w:cs="Times New Roman"/>
          <w:sz w:val="24"/>
          <w:szCs w:val="24"/>
        </w:rPr>
      </w:pPr>
      <w:r w:rsidRPr="00796959">
        <w:rPr>
          <w:rFonts w:ascii="Book Antiqua" w:hAnsi="Book Antiqua" w:cs="Times New Roman"/>
          <w:sz w:val="24"/>
          <w:szCs w:val="24"/>
        </w:rPr>
        <w:t>Our study has a few limitations. First, the NIS is a deidentified administrative database dependent on the appropriate coding of individual ICD-9-CM codes. Studies using such databases are susceptible to errors related to</w:t>
      </w:r>
      <w:r w:rsidR="004333EC" w:rsidRPr="00796959">
        <w:rPr>
          <w:rFonts w:ascii="Book Antiqua" w:hAnsi="Book Antiqua" w:cs="Times New Roman"/>
          <w:sz w:val="24"/>
          <w:szCs w:val="24"/>
        </w:rPr>
        <w:tab/>
      </w:r>
      <w:r w:rsidRPr="00796959">
        <w:rPr>
          <w:rFonts w:ascii="Book Antiqua" w:hAnsi="Book Antiqua" w:cs="Times New Roman"/>
          <w:sz w:val="24"/>
          <w:szCs w:val="24"/>
        </w:rPr>
        <w:t xml:space="preserve"> coding such as </w:t>
      </w:r>
      <w:r w:rsidR="00FA093D" w:rsidRPr="00796959">
        <w:rPr>
          <w:rFonts w:ascii="Book Antiqua" w:hAnsi="Book Antiqua" w:cs="Times New Roman"/>
          <w:sz w:val="24"/>
          <w:szCs w:val="24"/>
        </w:rPr>
        <w:t>undercoding</w:t>
      </w:r>
      <w:r w:rsidRPr="00796959">
        <w:rPr>
          <w:rFonts w:ascii="Book Antiqua" w:hAnsi="Book Antiqua" w:cs="Times New Roman"/>
          <w:sz w:val="24"/>
          <w:szCs w:val="24"/>
        </w:rPr>
        <w:t xml:space="preserve"> complications</w:t>
      </w:r>
      <w:r w:rsidR="00FA093D" w:rsidRPr="00796959">
        <w:rPr>
          <w:rFonts w:ascii="Book Antiqua" w:hAnsi="Book Antiqua" w:cs="Times New Roman"/>
          <w:sz w:val="24"/>
          <w:szCs w:val="24"/>
        </w:rPr>
        <w:t xml:space="preserve"> or variation in the application of diagnostic codes</w:t>
      </w:r>
      <w:r w:rsidRPr="00796959">
        <w:rPr>
          <w:rFonts w:ascii="Book Antiqua" w:hAnsi="Book Antiqua" w:cs="Times New Roman"/>
          <w:sz w:val="24"/>
          <w:szCs w:val="24"/>
        </w:rPr>
        <w:t xml:space="preserve">. </w:t>
      </w:r>
      <w:r w:rsidR="00FA093D" w:rsidRPr="00796959">
        <w:rPr>
          <w:rFonts w:ascii="Book Antiqua" w:hAnsi="Book Antiqua" w:cs="Times New Roman"/>
          <w:sz w:val="24"/>
          <w:szCs w:val="24"/>
        </w:rPr>
        <w:t>This database also lack</w:t>
      </w:r>
      <w:r w:rsidR="00626827" w:rsidRPr="00796959">
        <w:rPr>
          <w:rFonts w:ascii="Book Antiqua" w:hAnsi="Book Antiqua" w:cs="Times New Roman"/>
          <w:sz w:val="24"/>
          <w:szCs w:val="24"/>
        </w:rPr>
        <w:t>s</w:t>
      </w:r>
      <w:r w:rsidR="00FA093D" w:rsidRPr="00796959">
        <w:rPr>
          <w:rFonts w:ascii="Book Antiqua" w:hAnsi="Book Antiqua" w:cs="Times New Roman"/>
          <w:sz w:val="24"/>
          <w:szCs w:val="24"/>
        </w:rPr>
        <w:t xml:space="preserve"> many details available in registries and unmeasured confounders cannot be excluded. Additionally, the NIS only captures events during the hospitalization, so complications and adverse events after discharge are not recorded. This limitation is counterbalanced by the larger sample size </w:t>
      </w:r>
      <w:r w:rsidR="00203255" w:rsidRPr="00796959">
        <w:rPr>
          <w:rFonts w:ascii="Book Antiqua" w:hAnsi="Book Antiqua" w:cs="Times New Roman"/>
          <w:sz w:val="24"/>
          <w:szCs w:val="24"/>
        </w:rPr>
        <w:t xml:space="preserve">relative to other studies </w:t>
      </w:r>
      <w:r w:rsidR="00FA093D" w:rsidRPr="00796959">
        <w:rPr>
          <w:rFonts w:ascii="Book Antiqua" w:hAnsi="Book Antiqua" w:cs="Times New Roman"/>
          <w:sz w:val="24"/>
          <w:szCs w:val="24"/>
        </w:rPr>
        <w:t xml:space="preserve">and the absence of reporting bias </w:t>
      </w:r>
      <w:r w:rsidR="00FC05D2" w:rsidRPr="00796959">
        <w:rPr>
          <w:rFonts w:ascii="Book Antiqua" w:hAnsi="Book Antiqua" w:cs="Times New Roman"/>
          <w:sz w:val="24"/>
          <w:szCs w:val="24"/>
        </w:rPr>
        <w:t>as compared to studies relying upon the</w:t>
      </w:r>
      <w:r w:rsidR="00FA093D" w:rsidRPr="00796959">
        <w:rPr>
          <w:rFonts w:ascii="Book Antiqua" w:hAnsi="Book Antiqua" w:cs="Times New Roman"/>
          <w:sz w:val="24"/>
          <w:szCs w:val="24"/>
        </w:rPr>
        <w:t xml:space="preserve"> institutional experiences from a few specialized centers. Additionally, patients who under</w:t>
      </w:r>
      <w:r w:rsidR="00FC05D2" w:rsidRPr="00796959">
        <w:rPr>
          <w:rFonts w:ascii="Book Antiqua" w:hAnsi="Book Antiqua" w:cs="Times New Roman"/>
          <w:sz w:val="24"/>
          <w:szCs w:val="24"/>
        </w:rPr>
        <w:t>go</w:t>
      </w:r>
      <w:r w:rsidR="00AB00CD" w:rsidRPr="00796959">
        <w:rPr>
          <w:rFonts w:ascii="Book Antiqua" w:hAnsi="Book Antiqua" w:cs="Times New Roman"/>
          <w:sz w:val="24"/>
          <w:szCs w:val="24"/>
        </w:rPr>
        <w:t xml:space="preserve"> </w:t>
      </w:r>
      <w:r w:rsidR="00FA093D" w:rsidRPr="00796959">
        <w:rPr>
          <w:rFonts w:ascii="Book Antiqua" w:hAnsi="Book Antiqua" w:cs="Times New Roman"/>
          <w:sz w:val="24"/>
          <w:szCs w:val="24"/>
        </w:rPr>
        <w:t xml:space="preserve">LVAD implantation have long hospital stays that capture most, if not </w:t>
      </w:r>
      <w:r w:rsidR="00626827" w:rsidRPr="00796959">
        <w:rPr>
          <w:rFonts w:ascii="Book Antiqua" w:hAnsi="Book Antiqua" w:cs="Times New Roman"/>
          <w:sz w:val="24"/>
          <w:szCs w:val="24"/>
        </w:rPr>
        <w:t>all</w:t>
      </w:r>
      <w:r w:rsidR="00FA093D" w:rsidRPr="00796959">
        <w:rPr>
          <w:rFonts w:ascii="Book Antiqua" w:hAnsi="Book Antiqua" w:cs="Times New Roman"/>
          <w:sz w:val="24"/>
          <w:szCs w:val="24"/>
        </w:rPr>
        <w:t xml:space="preserve">, of the acute complications causing morbidity and mortality. </w:t>
      </w:r>
      <w:r w:rsidR="00B31AAA" w:rsidRPr="00796959">
        <w:rPr>
          <w:rFonts w:ascii="Book Antiqua" w:hAnsi="Book Antiqua" w:cs="Times New Roman"/>
          <w:sz w:val="24"/>
          <w:szCs w:val="24"/>
        </w:rPr>
        <w:t xml:space="preserve">Finally, the ability of the NIS to capture detailed LVAD implantation and OHT data provided advantages in answering our </w:t>
      </w:r>
      <w:r w:rsidR="00B31AAA" w:rsidRPr="00796959">
        <w:rPr>
          <w:rFonts w:ascii="Book Antiqua" w:hAnsi="Book Antiqua" w:cs="Times New Roman"/>
          <w:sz w:val="24"/>
          <w:szCs w:val="24"/>
        </w:rPr>
        <w:lastRenderedPageBreak/>
        <w:t>central question over either the INTERMACS or UNOS databases, which capture largely LVAD or transplant data, respectively.</w:t>
      </w:r>
    </w:p>
    <w:p w14:paraId="0560CEBE" w14:textId="06983F32" w:rsidR="00472161" w:rsidRPr="00796959" w:rsidRDefault="00472161" w:rsidP="00796959">
      <w:pPr>
        <w:pStyle w:val="NoSpacing"/>
        <w:spacing w:line="360" w:lineRule="auto"/>
        <w:rPr>
          <w:rFonts w:ascii="Book Antiqua" w:hAnsi="Book Antiqua" w:cs="Times New Roman"/>
          <w:sz w:val="24"/>
          <w:szCs w:val="24"/>
        </w:rPr>
      </w:pPr>
      <w:r w:rsidRPr="00796959">
        <w:rPr>
          <w:rFonts w:ascii="Book Antiqua" w:hAnsi="Book Antiqua" w:cs="Times New Roman"/>
          <w:sz w:val="24"/>
          <w:szCs w:val="24"/>
        </w:rPr>
        <w:tab/>
      </w:r>
      <w:r w:rsidR="00626827" w:rsidRPr="00796959">
        <w:rPr>
          <w:rFonts w:ascii="Book Antiqua" w:hAnsi="Book Antiqua" w:cs="Times New Roman"/>
          <w:sz w:val="24"/>
          <w:szCs w:val="24"/>
        </w:rPr>
        <w:t xml:space="preserve">It is important to </w:t>
      </w:r>
      <w:r w:rsidR="00A3794B" w:rsidRPr="00796959">
        <w:rPr>
          <w:rFonts w:ascii="Book Antiqua" w:hAnsi="Book Antiqua" w:cs="Times New Roman"/>
          <w:sz w:val="24"/>
          <w:szCs w:val="24"/>
        </w:rPr>
        <w:t>note</w:t>
      </w:r>
      <w:r w:rsidR="00626827" w:rsidRPr="00796959">
        <w:rPr>
          <w:rFonts w:ascii="Book Antiqua" w:hAnsi="Book Antiqua" w:cs="Times New Roman"/>
          <w:sz w:val="24"/>
          <w:szCs w:val="24"/>
        </w:rPr>
        <w:t xml:space="preserve"> that</w:t>
      </w:r>
      <w:r w:rsidR="00401F27" w:rsidRPr="00796959">
        <w:rPr>
          <w:rFonts w:ascii="Book Antiqua" w:hAnsi="Book Antiqua" w:cs="Times New Roman"/>
          <w:sz w:val="24"/>
          <w:szCs w:val="24"/>
        </w:rPr>
        <w:t xml:space="preserve"> our cohort only assessed outcomes of OHT after LVAD placement in </w:t>
      </w:r>
      <w:r w:rsidR="00626827" w:rsidRPr="00796959">
        <w:rPr>
          <w:rFonts w:ascii="Book Antiqua" w:hAnsi="Book Antiqua" w:cs="Times New Roman"/>
          <w:sz w:val="24"/>
          <w:szCs w:val="24"/>
        </w:rPr>
        <w:t xml:space="preserve">hospitalized </w:t>
      </w:r>
      <w:r w:rsidR="00401F27" w:rsidRPr="00796959">
        <w:rPr>
          <w:rFonts w:ascii="Book Antiqua" w:hAnsi="Book Antiqua" w:cs="Times New Roman"/>
          <w:sz w:val="24"/>
          <w:szCs w:val="24"/>
        </w:rPr>
        <w:t>patients. This represents a minority of patients</w:t>
      </w:r>
      <w:r w:rsidR="00B31AAA" w:rsidRPr="00796959">
        <w:rPr>
          <w:rFonts w:ascii="Book Antiqua" w:hAnsi="Book Antiqua" w:cs="Times New Roman"/>
          <w:sz w:val="24"/>
          <w:szCs w:val="24"/>
        </w:rPr>
        <w:t xml:space="preserve"> (7.5%)</w:t>
      </w:r>
      <w:r w:rsidR="00401F27" w:rsidRPr="00796959">
        <w:rPr>
          <w:rFonts w:ascii="Book Antiqua" w:hAnsi="Book Antiqua" w:cs="Times New Roman"/>
          <w:sz w:val="24"/>
          <w:szCs w:val="24"/>
        </w:rPr>
        <w:t xml:space="preserve"> in practice, as most institutions prefer to wait 2-3 months after LVAD implant</w:t>
      </w:r>
      <w:r w:rsidR="00626827" w:rsidRPr="00796959">
        <w:rPr>
          <w:rFonts w:ascii="Book Antiqua" w:hAnsi="Book Antiqua" w:cs="Times New Roman"/>
          <w:sz w:val="24"/>
          <w:szCs w:val="24"/>
        </w:rPr>
        <w:t>ation</w:t>
      </w:r>
      <w:r w:rsidR="00401F27" w:rsidRPr="00796959">
        <w:rPr>
          <w:rFonts w:ascii="Book Antiqua" w:hAnsi="Book Antiqua" w:cs="Times New Roman"/>
          <w:sz w:val="24"/>
          <w:szCs w:val="24"/>
        </w:rPr>
        <w:t xml:space="preserve"> to list patients for cardiac transplantation</w:t>
      </w:r>
      <w:r w:rsidR="00C55590" w:rsidRPr="00796959">
        <w:rPr>
          <w:rFonts w:ascii="Book Antiqua" w:hAnsi="Book Antiqua" w:cs="Times New Roman"/>
          <w:sz w:val="24"/>
          <w:szCs w:val="24"/>
        </w:rPr>
        <w:t>. N</w:t>
      </w:r>
      <w:r w:rsidR="00401F27" w:rsidRPr="00796959">
        <w:rPr>
          <w:rFonts w:ascii="Book Antiqua" w:hAnsi="Book Antiqua" w:cs="Times New Roman"/>
          <w:sz w:val="24"/>
          <w:szCs w:val="24"/>
        </w:rPr>
        <w:t xml:space="preserve">evertheless, there will continue to be patients in the future who receive </w:t>
      </w:r>
      <w:r w:rsidR="00C55590" w:rsidRPr="00796959">
        <w:rPr>
          <w:rFonts w:ascii="Book Antiqua" w:hAnsi="Book Antiqua" w:cs="Times New Roman"/>
          <w:sz w:val="24"/>
          <w:szCs w:val="24"/>
        </w:rPr>
        <w:t>same-</w:t>
      </w:r>
      <w:r w:rsidR="00A3794B" w:rsidRPr="00796959">
        <w:rPr>
          <w:rFonts w:ascii="Book Antiqua" w:hAnsi="Book Antiqua" w:cs="Times New Roman"/>
          <w:sz w:val="24"/>
          <w:szCs w:val="24"/>
        </w:rPr>
        <w:t xml:space="preserve">admission </w:t>
      </w:r>
      <w:r w:rsidR="00401F27" w:rsidRPr="00796959">
        <w:rPr>
          <w:rFonts w:ascii="Book Antiqua" w:hAnsi="Book Antiqua" w:cs="Times New Roman"/>
          <w:sz w:val="24"/>
          <w:szCs w:val="24"/>
        </w:rPr>
        <w:t>OHT after LVAD implant</w:t>
      </w:r>
      <w:r w:rsidR="006F7356" w:rsidRPr="00796959">
        <w:rPr>
          <w:rFonts w:ascii="Book Antiqua" w:hAnsi="Book Antiqua" w:cs="Times New Roman"/>
          <w:sz w:val="24"/>
          <w:szCs w:val="24"/>
        </w:rPr>
        <w:t>ation</w:t>
      </w:r>
      <w:r w:rsidR="00401F27" w:rsidRPr="00796959">
        <w:rPr>
          <w:rFonts w:ascii="Book Antiqua" w:hAnsi="Book Antiqua" w:cs="Times New Roman"/>
          <w:sz w:val="24"/>
          <w:szCs w:val="24"/>
        </w:rPr>
        <w:t>, and our study provides meaningful guidelines on the timing of such OHT.</w:t>
      </w:r>
    </w:p>
    <w:p w14:paraId="6DE7F53C" w14:textId="2AC4A019" w:rsidR="009222BE" w:rsidRPr="00796959" w:rsidRDefault="00FA093D" w:rsidP="00796959">
      <w:pPr>
        <w:pStyle w:val="NoSpacing"/>
        <w:spacing w:line="360" w:lineRule="auto"/>
        <w:rPr>
          <w:rFonts w:ascii="Book Antiqua" w:hAnsi="Book Antiqua" w:cs="Times New Roman"/>
          <w:b/>
          <w:sz w:val="24"/>
          <w:szCs w:val="24"/>
        </w:rPr>
      </w:pPr>
      <w:r w:rsidRPr="00796959">
        <w:rPr>
          <w:rFonts w:ascii="Book Antiqua" w:hAnsi="Book Antiqua" w:cs="Times New Roman"/>
          <w:sz w:val="24"/>
          <w:szCs w:val="24"/>
        </w:rPr>
        <w:tab/>
        <w:t xml:space="preserve">In conclusion, our analysis demonstrates that </w:t>
      </w:r>
      <w:r w:rsidR="00401F27" w:rsidRPr="00796959">
        <w:rPr>
          <w:rFonts w:ascii="Book Antiqua" w:hAnsi="Book Antiqua" w:cs="Times New Roman"/>
          <w:sz w:val="24"/>
          <w:szCs w:val="24"/>
        </w:rPr>
        <w:t>early</w:t>
      </w:r>
      <w:r w:rsidR="00626827" w:rsidRPr="00796959">
        <w:rPr>
          <w:rFonts w:ascii="Book Antiqua" w:hAnsi="Book Antiqua" w:cs="Times New Roman"/>
          <w:sz w:val="24"/>
          <w:szCs w:val="24"/>
        </w:rPr>
        <w:t xml:space="preserve"> </w:t>
      </w:r>
      <w:r w:rsidR="00A3794B" w:rsidRPr="00796959">
        <w:rPr>
          <w:rFonts w:ascii="Book Antiqua" w:hAnsi="Book Antiqua" w:cs="Times New Roman"/>
          <w:sz w:val="24"/>
          <w:szCs w:val="24"/>
        </w:rPr>
        <w:t xml:space="preserve">same-admission </w:t>
      </w:r>
      <w:r w:rsidR="00626827" w:rsidRPr="00796959">
        <w:rPr>
          <w:rFonts w:ascii="Book Antiqua" w:hAnsi="Book Antiqua" w:cs="Times New Roman"/>
          <w:sz w:val="24"/>
          <w:szCs w:val="24"/>
        </w:rPr>
        <w:t>OHT after</w:t>
      </w:r>
      <w:r w:rsidRPr="00796959">
        <w:rPr>
          <w:rFonts w:ascii="Book Antiqua" w:hAnsi="Book Antiqua" w:cs="Times New Roman"/>
          <w:sz w:val="24"/>
          <w:szCs w:val="24"/>
        </w:rPr>
        <w:t xml:space="preserve"> LVAD </w:t>
      </w:r>
      <w:r w:rsidR="00A3794B" w:rsidRPr="00796959">
        <w:rPr>
          <w:rFonts w:ascii="Book Antiqua" w:hAnsi="Book Antiqua" w:cs="Times New Roman"/>
          <w:sz w:val="24"/>
          <w:szCs w:val="24"/>
        </w:rPr>
        <w:t xml:space="preserve">implantation </w:t>
      </w:r>
      <w:r w:rsidR="00401F27" w:rsidRPr="00796959">
        <w:rPr>
          <w:rFonts w:ascii="Book Antiqua" w:hAnsi="Book Antiqua" w:cs="Times New Roman"/>
          <w:sz w:val="24"/>
          <w:szCs w:val="24"/>
        </w:rPr>
        <w:t>is</w:t>
      </w:r>
      <w:r w:rsidRPr="00796959">
        <w:rPr>
          <w:rFonts w:ascii="Book Antiqua" w:hAnsi="Book Antiqua" w:cs="Times New Roman"/>
          <w:sz w:val="24"/>
          <w:szCs w:val="24"/>
        </w:rPr>
        <w:t xml:space="preserve"> associated with </w:t>
      </w:r>
      <w:r w:rsidR="00401F27" w:rsidRPr="00796959">
        <w:rPr>
          <w:rFonts w:ascii="Book Antiqua" w:hAnsi="Book Antiqua" w:cs="Times New Roman"/>
          <w:sz w:val="24"/>
          <w:szCs w:val="24"/>
        </w:rPr>
        <w:t xml:space="preserve">increased </w:t>
      </w:r>
      <w:r w:rsidRPr="00796959">
        <w:rPr>
          <w:rFonts w:ascii="Book Antiqua" w:hAnsi="Book Antiqua" w:cs="Times New Roman"/>
          <w:sz w:val="24"/>
          <w:szCs w:val="24"/>
        </w:rPr>
        <w:t>mortality</w:t>
      </w:r>
      <w:r w:rsidR="000A7615" w:rsidRPr="00796959">
        <w:rPr>
          <w:rFonts w:ascii="Book Antiqua" w:hAnsi="Book Antiqua" w:cs="Times New Roman"/>
          <w:sz w:val="24"/>
          <w:szCs w:val="24"/>
        </w:rPr>
        <w:t xml:space="preserve">. </w:t>
      </w:r>
      <w:r w:rsidR="00401F27" w:rsidRPr="00796959">
        <w:rPr>
          <w:rFonts w:ascii="Book Antiqua" w:hAnsi="Book Antiqua" w:cs="Times New Roman"/>
          <w:sz w:val="24"/>
          <w:szCs w:val="24"/>
        </w:rPr>
        <w:t>This</w:t>
      </w:r>
      <w:r w:rsidR="00A3794B" w:rsidRPr="00796959">
        <w:rPr>
          <w:rFonts w:ascii="Book Antiqua" w:hAnsi="Book Antiqua" w:cs="Times New Roman"/>
          <w:sz w:val="24"/>
          <w:szCs w:val="24"/>
        </w:rPr>
        <w:t xml:space="preserve"> new</w:t>
      </w:r>
      <w:r w:rsidR="00401F27" w:rsidRPr="00796959">
        <w:rPr>
          <w:rFonts w:ascii="Book Antiqua" w:hAnsi="Book Antiqua" w:cs="Times New Roman"/>
          <w:sz w:val="24"/>
          <w:szCs w:val="24"/>
        </w:rPr>
        <w:t xml:space="preserve"> </w:t>
      </w:r>
      <w:r w:rsidR="000A7615" w:rsidRPr="00796959">
        <w:rPr>
          <w:rFonts w:ascii="Book Antiqua" w:hAnsi="Book Antiqua" w:cs="Times New Roman"/>
          <w:sz w:val="24"/>
          <w:szCs w:val="24"/>
        </w:rPr>
        <w:t xml:space="preserve">understanding of the </w:t>
      </w:r>
      <w:r w:rsidR="00626827" w:rsidRPr="00796959">
        <w:rPr>
          <w:rFonts w:ascii="Book Antiqua" w:hAnsi="Book Antiqua" w:cs="Times New Roman"/>
          <w:sz w:val="24"/>
          <w:szCs w:val="24"/>
        </w:rPr>
        <w:t xml:space="preserve">optimal </w:t>
      </w:r>
      <w:r w:rsidR="000A7615" w:rsidRPr="00796959">
        <w:rPr>
          <w:rFonts w:ascii="Book Antiqua" w:hAnsi="Book Antiqua" w:cs="Times New Roman"/>
          <w:sz w:val="24"/>
          <w:szCs w:val="24"/>
        </w:rPr>
        <w:t xml:space="preserve">timing of </w:t>
      </w:r>
      <w:r w:rsidR="00626827" w:rsidRPr="00796959">
        <w:rPr>
          <w:rFonts w:ascii="Book Antiqua" w:hAnsi="Book Antiqua" w:cs="Times New Roman"/>
          <w:sz w:val="24"/>
          <w:szCs w:val="24"/>
        </w:rPr>
        <w:t>same-admission O</w:t>
      </w:r>
      <w:r w:rsidR="00401F27" w:rsidRPr="00796959">
        <w:rPr>
          <w:rFonts w:ascii="Book Antiqua" w:hAnsi="Book Antiqua" w:cs="Times New Roman"/>
          <w:sz w:val="24"/>
          <w:szCs w:val="24"/>
        </w:rPr>
        <w:t xml:space="preserve">HT after </w:t>
      </w:r>
      <w:r w:rsidR="000A7615" w:rsidRPr="00796959">
        <w:rPr>
          <w:rFonts w:ascii="Book Antiqua" w:hAnsi="Book Antiqua" w:cs="Times New Roman"/>
          <w:sz w:val="24"/>
          <w:szCs w:val="24"/>
        </w:rPr>
        <w:t xml:space="preserve">LVAD implantation </w:t>
      </w:r>
      <w:r w:rsidR="00A3794B" w:rsidRPr="00796959">
        <w:rPr>
          <w:rFonts w:ascii="Book Antiqua" w:hAnsi="Book Antiqua" w:cs="Times New Roman"/>
          <w:sz w:val="24"/>
          <w:szCs w:val="24"/>
        </w:rPr>
        <w:t xml:space="preserve">can greatly </w:t>
      </w:r>
      <w:r w:rsidR="00401F27" w:rsidRPr="00796959">
        <w:rPr>
          <w:rFonts w:ascii="Book Antiqua" w:hAnsi="Book Antiqua" w:cs="Times New Roman"/>
          <w:sz w:val="24"/>
          <w:szCs w:val="24"/>
        </w:rPr>
        <w:t xml:space="preserve">improve </w:t>
      </w:r>
      <w:r w:rsidR="00A3794B" w:rsidRPr="00796959">
        <w:rPr>
          <w:rFonts w:ascii="Book Antiqua" w:hAnsi="Book Antiqua" w:cs="Times New Roman"/>
          <w:sz w:val="24"/>
          <w:szCs w:val="24"/>
        </w:rPr>
        <w:t>patient</w:t>
      </w:r>
      <w:r w:rsidR="000A7615" w:rsidRPr="00796959">
        <w:rPr>
          <w:rFonts w:ascii="Book Antiqua" w:hAnsi="Book Antiqua" w:cs="Times New Roman"/>
          <w:sz w:val="24"/>
          <w:szCs w:val="24"/>
        </w:rPr>
        <w:t xml:space="preserve"> outcomes</w:t>
      </w:r>
      <w:r w:rsidR="00401F27" w:rsidRPr="00796959">
        <w:rPr>
          <w:rFonts w:ascii="Book Antiqua" w:hAnsi="Book Antiqua" w:cs="Times New Roman"/>
          <w:sz w:val="24"/>
          <w:szCs w:val="24"/>
        </w:rPr>
        <w:t xml:space="preserve">, </w:t>
      </w:r>
      <w:r w:rsidR="00626827" w:rsidRPr="00796959">
        <w:rPr>
          <w:rFonts w:ascii="Book Antiqua" w:hAnsi="Book Antiqua" w:cs="Times New Roman"/>
          <w:sz w:val="24"/>
          <w:szCs w:val="24"/>
        </w:rPr>
        <w:t>al</w:t>
      </w:r>
      <w:r w:rsidR="00401F27" w:rsidRPr="00796959">
        <w:rPr>
          <w:rFonts w:ascii="Book Antiqua" w:hAnsi="Book Antiqua" w:cs="Times New Roman"/>
          <w:sz w:val="24"/>
          <w:szCs w:val="24"/>
        </w:rPr>
        <w:t xml:space="preserve">though prospective data </w:t>
      </w:r>
      <w:r w:rsidR="00626827" w:rsidRPr="00796959">
        <w:rPr>
          <w:rFonts w:ascii="Book Antiqua" w:hAnsi="Book Antiqua" w:cs="Times New Roman"/>
          <w:sz w:val="24"/>
          <w:szCs w:val="24"/>
        </w:rPr>
        <w:t xml:space="preserve">will be needed to </w:t>
      </w:r>
      <w:r w:rsidR="00401F27" w:rsidRPr="00796959">
        <w:rPr>
          <w:rFonts w:ascii="Book Antiqua" w:hAnsi="Book Antiqua" w:cs="Times New Roman"/>
          <w:sz w:val="24"/>
          <w:szCs w:val="24"/>
        </w:rPr>
        <w:t>enhance the validity of our findings</w:t>
      </w:r>
      <w:r w:rsidR="000A7615" w:rsidRPr="00796959">
        <w:rPr>
          <w:rFonts w:ascii="Book Antiqua" w:hAnsi="Book Antiqua" w:cs="Times New Roman"/>
          <w:sz w:val="24"/>
          <w:szCs w:val="24"/>
        </w:rPr>
        <w:t>.</w:t>
      </w:r>
    </w:p>
    <w:p w14:paraId="76B7F10F" w14:textId="77777777" w:rsidR="004E3532" w:rsidRPr="00796959" w:rsidRDefault="004E3532" w:rsidP="00796959">
      <w:pPr>
        <w:rPr>
          <w:rFonts w:ascii="Book Antiqua" w:hAnsi="Book Antiqua" w:cs="Times New Roman"/>
          <w:b/>
          <w:sz w:val="24"/>
          <w:szCs w:val="24"/>
        </w:rPr>
      </w:pPr>
    </w:p>
    <w:p w14:paraId="09A7CCCE" w14:textId="489C6CC8" w:rsidR="006C7F64" w:rsidRPr="00796959" w:rsidRDefault="006C7F64" w:rsidP="00796959">
      <w:pPr>
        <w:rPr>
          <w:rFonts w:ascii="Book Antiqua" w:hAnsi="Book Antiqua" w:cs="Times New Roman"/>
          <w:sz w:val="24"/>
          <w:szCs w:val="24"/>
        </w:rPr>
      </w:pPr>
      <w:r w:rsidRPr="00796959">
        <w:rPr>
          <w:rFonts w:ascii="Book Antiqua" w:hAnsi="Book Antiqua" w:cs="Times New Roman"/>
          <w:b/>
          <w:sz w:val="24"/>
          <w:szCs w:val="24"/>
        </w:rPr>
        <w:t xml:space="preserve">Funding Sources: </w:t>
      </w:r>
      <w:r w:rsidRPr="00796959">
        <w:rPr>
          <w:rFonts w:ascii="Book Antiqua" w:hAnsi="Book Antiqua" w:cs="Times New Roman"/>
          <w:sz w:val="24"/>
          <w:szCs w:val="24"/>
        </w:rPr>
        <w:t xml:space="preserve">No study specific funding was used to support this work. The authors are solely responsible for the study design, conduct, and analyses, drafting and editing of the manuscript and its final contents. </w:t>
      </w:r>
    </w:p>
    <w:p w14:paraId="0568B429" w14:textId="44F70F25" w:rsidR="00080D48" w:rsidRPr="00796959" w:rsidRDefault="00080D48" w:rsidP="00796959">
      <w:pPr>
        <w:rPr>
          <w:rFonts w:ascii="Book Antiqua" w:hAnsi="Book Antiqua" w:cs="Times New Roman"/>
          <w:sz w:val="24"/>
          <w:szCs w:val="24"/>
        </w:rPr>
      </w:pPr>
      <w:r w:rsidRPr="00796959">
        <w:rPr>
          <w:rFonts w:ascii="Book Antiqua" w:hAnsi="Book Antiqua" w:cs="Times New Roman"/>
          <w:b/>
          <w:sz w:val="24"/>
          <w:szCs w:val="24"/>
        </w:rPr>
        <w:t xml:space="preserve">Conflict of Interest Disclosures: </w:t>
      </w:r>
      <w:r w:rsidR="00FC05D2" w:rsidRPr="00796959">
        <w:rPr>
          <w:rFonts w:ascii="Book Antiqua" w:hAnsi="Book Antiqua" w:cs="Times New Roman"/>
          <w:sz w:val="24"/>
          <w:szCs w:val="24"/>
        </w:rPr>
        <w:t>D</w:t>
      </w:r>
      <w:r w:rsidR="00B31AAA" w:rsidRPr="00796959">
        <w:rPr>
          <w:rFonts w:ascii="Book Antiqua" w:hAnsi="Book Antiqua" w:cs="Times New Roman"/>
          <w:sz w:val="24"/>
          <w:szCs w:val="24"/>
        </w:rPr>
        <w:t>r.</w:t>
      </w:r>
      <w:r w:rsidR="00FC05D2" w:rsidRPr="00796959">
        <w:rPr>
          <w:rFonts w:ascii="Book Antiqua" w:hAnsi="Book Antiqua" w:cs="Times New Roman"/>
          <w:sz w:val="24"/>
          <w:szCs w:val="24"/>
        </w:rPr>
        <w:t xml:space="preserve"> Banerjee reports research support from HeartWare/Medtronic and Thoratec/St. Jude. </w:t>
      </w:r>
      <w:r w:rsidRPr="00796959">
        <w:rPr>
          <w:rFonts w:ascii="Book Antiqua" w:hAnsi="Book Antiqua" w:cs="Times New Roman"/>
          <w:sz w:val="24"/>
          <w:szCs w:val="24"/>
        </w:rPr>
        <w:t xml:space="preserve">None of the </w:t>
      </w:r>
      <w:r w:rsidR="00FC05D2" w:rsidRPr="00796959">
        <w:rPr>
          <w:rFonts w:ascii="Book Antiqua" w:hAnsi="Book Antiqua" w:cs="Times New Roman"/>
          <w:sz w:val="24"/>
          <w:szCs w:val="24"/>
        </w:rPr>
        <w:t xml:space="preserve">other </w:t>
      </w:r>
      <w:r w:rsidRPr="00796959">
        <w:rPr>
          <w:rFonts w:ascii="Book Antiqua" w:hAnsi="Book Antiqua" w:cs="Times New Roman"/>
          <w:sz w:val="24"/>
          <w:szCs w:val="24"/>
        </w:rPr>
        <w:t xml:space="preserve">listed authors have any disclosures or potential conflicts of interest. </w:t>
      </w:r>
    </w:p>
    <w:p w14:paraId="1CD43AA6" w14:textId="77777777" w:rsidR="000E1DA3" w:rsidRPr="00796959" w:rsidRDefault="000E1DA3" w:rsidP="00796959">
      <w:pPr>
        <w:rPr>
          <w:rFonts w:ascii="Book Antiqua" w:hAnsi="Book Antiqua" w:cs="Times New Roman"/>
          <w:sz w:val="24"/>
          <w:szCs w:val="24"/>
        </w:rPr>
      </w:pPr>
    </w:p>
    <w:p w14:paraId="14DABD29" w14:textId="77777777" w:rsidR="0097065E" w:rsidRPr="00796959" w:rsidRDefault="0097065E" w:rsidP="00796959">
      <w:pPr>
        <w:rPr>
          <w:rFonts w:ascii="Book Antiqua" w:hAnsi="Book Antiqua" w:cs="Times New Roman"/>
          <w:sz w:val="24"/>
          <w:szCs w:val="24"/>
        </w:rPr>
      </w:pPr>
      <w:r w:rsidRPr="00796959">
        <w:rPr>
          <w:rFonts w:ascii="Book Antiqua" w:hAnsi="Book Antiqua" w:cs="Times New Roman"/>
          <w:b/>
          <w:sz w:val="24"/>
          <w:szCs w:val="24"/>
        </w:rPr>
        <w:t xml:space="preserve">Perspectives: </w:t>
      </w:r>
      <w:r w:rsidRPr="00796959">
        <w:rPr>
          <w:rFonts w:ascii="Book Antiqua" w:hAnsi="Book Antiqua" w:cs="Times New Roman"/>
          <w:sz w:val="24"/>
          <w:szCs w:val="24"/>
        </w:rPr>
        <w:tab/>
      </w:r>
    </w:p>
    <w:p w14:paraId="269792FB" w14:textId="77777777" w:rsidR="0097065E" w:rsidRPr="00796959" w:rsidRDefault="0097065E" w:rsidP="00796959">
      <w:pPr>
        <w:rPr>
          <w:rFonts w:ascii="Book Antiqua" w:hAnsi="Book Antiqua" w:cs="Times New Roman"/>
          <w:sz w:val="24"/>
          <w:szCs w:val="24"/>
        </w:rPr>
      </w:pPr>
      <w:r w:rsidRPr="00796959">
        <w:rPr>
          <w:rFonts w:ascii="Book Antiqua" w:hAnsi="Book Antiqua" w:cs="Times New Roman"/>
          <w:sz w:val="24"/>
          <w:szCs w:val="24"/>
        </w:rPr>
        <w:t>Competency in System-Based Practice: A multi-disciplinary team of cardiologists, cardiac surgeons, and other medical professional</w:t>
      </w:r>
      <w:r w:rsidR="0025051B" w:rsidRPr="00796959">
        <w:rPr>
          <w:rFonts w:ascii="Book Antiqua" w:hAnsi="Book Antiqua" w:cs="Times New Roman"/>
          <w:sz w:val="24"/>
          <w:szCs w:val="24"/>
        </w:rPr>
        <w:t>s</w:t>
      </w:r>
      <w:r w:rsidRPr="00796959">
        <w:rPr>
          <w:rFonts w:ascii="Book Antiqua" w:hAnsi="Book Antiqua" w:cs="Times New Roman"/>
          <w:sz w:val="24"/>
          <w:szCs w:val="24"/>
        </w:rPr>
        <w:t xml:space="preserve"> work together to </w:t>
      </w:r>
      <w:r w:rsidR="0025051B" w:rsidRPr="00796959">
        <w:rPr>
          <w:rFonts w:ascii="Book Antiqua" w:hAnsi="Book Antiqua" w:cs="Times New Roman"/>
          <w:sz w:val="24"/>
          <w:szCs w:val="24"/>
        </w:rPr>
        <w:t xml:space="preserve">identify the </w:t>
      </w:r>
      <w:r w:rsidRPr="00796959">
        <w:rPr>
          <w:rFonts w:ascii="Book Antiqua" w:hAnsi="Book Antiqua" w:cs="Times New Roman"/>
          <w:sz w:val="24"/>
          <w:szCs w:val="24"/>
        </w:rPr>
        <w:t xml:space="preserve">benefits of various treatments of end stage heart failure. </w:t>
      </w:r>
    </w:p>
    <w:p w14:paraId="1FEE6CCB" w14:textId="77777777" w:rsidR="0097065E" w:rsidRPr="00796959" w:rsidRDefault="0097065E" w:rsidP="00796959">
      <w:pPr>
        <w:rPr>
          <w:rFonts w:ascii="Book Antiqua" w:hAnsi="Book Antiqua" w:cs="Times New Roman"/>
          <w:sz w:val="24"/>
          <w:szCs w:val="24"/>
        </w:rPr>
      </w:pPr>
      <w:r w:rsidRPr="00796959">
        <w:rPr>
          <w:rFonts w:ascii="Book Antiqua" w:hAnsi="Book Antiqua" w:cs="Times New Roman"/>
          <w:sz w:val="24"/>
          <w:szCs w:val="24"/>
        </w:rPr>
        <w:t xml:space="preserve">Translational Outlook 1: The optimal timing for OHT after LVAD remains controversial. This study suggests that OHT soon after LVAD placement (less than 8 days) is associated with more in-hospital mortality. Depending on the clinical scenario, it might be reasonable to defer OHT immediately after LVAD placement. </w:t>
      </w:r>
    </w:p>
    <w:p w14:paraId="18D077C6" w14:textId="77777777" w:rsidR="0097065E" w:rsidRPr="00796959" w:rsidRDefault="0097065E" w:rsidP="00796959">
      <w:pPr>
        <w:rPr>
          <w:rFonts w:ascii="Book Antiqua" w:hAnsi="Book Antiqua" w:cs="Times New Roman"/>
          <w:sz w:val="24"/>
          <w:szCs w:val="24"/>
        </w:rPr>
      </w:pPr>
    </w:p>
    <w:p w14:paraId="108F9A1C" w14:textId="77777777" w:rsidR="006E641A" w:rsidRPr="00796959" w:rsidRDefault="00080D48" w:rsidP="00796959">
      <w:pPr>
        <w:rPr>
          <w:rFonts w:ascii="Book Antiqua" w:hAnsi="Book Antiqua" w:cs="Times New Roman"/>
          <w:b/>
          <w:sz w:val="24"/>
          <w:szCs w:val="24"/>
        </w:rPr>
      </w:pPr>
      <w:r w:rsidRPr="00796959">
        <w:rPr>
          <w:rFonts w:ascii="Book Antiqua" w:hAnsi="Book Antiqua" w:cs="Times New Roman"/>
          <w:b/>
          <w:sz w:val="24"/>
          <w:szCs w:val="24"/>
        </w:rPr>
        <w:t xml:space="preserve">References: </w:t>
      </w:r>
    </w:p>
    <w:p w14:paraId="7017D9F8" w14:textId="689A8D6F"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Bui, Anh L., Tamara B. Horwich, and Gregg C. Fonarow. "Epidemiology and risk profile of heart failure." Nature Reviews Cardiology 8.1 (2011): 30-41.</w:t>
      </w:r>
    </w:p>
    <w:p w14:paraId="5E11E8F7" w14:textId="0C30C01B"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Lloyd-Jones, Donald, et al. "Heart disease and stroke statistics—2010 update A report from the American Heart Association." Circulation 121.7 (2010): e46-e215.</w:t>
      </w:r>
    </w:p>
    <w:p w14:paraId="70233EE5" w14:textId="45468B0C"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Blecker, Saul, et al. "Heart failure–associated hospitalizations in the United States." Journal of the American College of Cardiology 61.12 (2013): 1259-1267.</w:t>
      </w:r>
    </w:p>
    <w:p w14:paraId="1330B800" w14:textId="3E5130E3"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Heidenreich, Paul A., et al. "Forecasting the impact of heart failure in the United States a policy statement from the American Heart Association."Circulation: Heart Failure 6.3 (2013): 606-619.</w:t>
      </w:r>
    </w:p>
    <w:p w14:paraId="4F0FA58D" w14:textId="4BCD5306"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Friedrich, Erik B., and Michael Böhm. "Management of end stage heart failure."Heart 93.5 (2007): 626-631.</w:t>
      </w:r>
    </w:p>
    <w:p w14:paraId="264EEBFD" w14:textId="1EF6EFDD"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Fanaroff, Alexander C., et al. "Patient Selection for Advanced Heart Failure Therapy Referral." Critical pathways in cardiology 13.1 (2014): 1.</w:t>
      </w:r>
    </w:p>
    <w:p w14:paraId="3CC0139D" w14:textId="025CAD3B"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Carabello, Blase A. "Contemporary Reviews in Cardiovascular Medicine."Circulation 112 (2005): 432-437.</w:t>
      </w:r>
    </w:p>
    <w:p w14:paraId="2FBD4B8C" w14:textId="386E6FE6"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Taylor, David O., et al. "Registry of the International Society for Heart and Lung Transplantation: twenty-sixth official adult heart transplant report—2009." The Journal of Heart and Lung Transplantation 28.10 (2009): 1007-1022.</w:t>
      </w:r>
    </w:p>
    <w:p w14:paraId="0C0807B7" w14:textId="7FC79E9F"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Rose, Eric A., et al. "Long-term use of a left ventricular assist device for end-stage heart failure." New England Journal of Medicine 345.20 (2001): 1435-1443.</w:t>
      </w:r>
    </w:p>
    <w:p w14:paraId="2B1CA065" w14:textId="281D4953"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Takeda, Koji, et al. "Outcome of cardiac transplantation in patients requiring prolonged continuous-flow left ventricular assist device support." The Journal of Heart and Lung Transplantation 34.1 (2015): 89-99.</w:t>
      </w:r>
    </w:p>
    <w:p w14:paraId="0441FCEA" w14:textId="0692CFE5"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McIlvennan, Colleen K., et al. "Clinical outcomes following continuous-flow left ventricular assist device: a systematic review." Circulation: Heart Failure(2014): CIRCHEARTFAILURE-114</w:t>
      </w:r>
    </w:p>
    <w:p w14:paraId="729055A7" w14:textId="493E3665"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lastRenderedPageBreak/>
        <w:t>Nativi, Jose N., et al. "Changing outcomes in patients bridged to heart transplantation with continuous-versus pulsatile-flow ventricular assist devices: an analysis of the registry of the International Society for Heart and Lung Transplantation." The Journal of Heart and Lung Transplantation 30.8 (2011): 854-861.</w:t>
      </w:r>
    </w:p>
    <w:p w14:paraId="2632CDCC" w14:textId="72B98EFD"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John, Ranjit, et al. "Improved survival and decreasing incidence of adverse events with the HeartMate II left ventricular assist device as bridge-to-transplant therapy." The Annals of thoracic surgery 86.4 (2008): 1227-1235.</w:t>
      </w:r>
    </w:p>
    <w:p w14:paraId="060DD4C5" w14:textId="53AF78FE"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Deo, Salil V., et al. "Cardiac transplantation after bridged therapy with continuous flow left ventricular assist devices." Heart, Lung and Circulation23.3 (2014): 224-228.</w:t>
      </w:r>
    </w:p>
    <w:p w14:paraId="5BA82BE2" w14:textId="0DC1967F"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Lietz, Katherine, et al. "Outcomes of left ventricular assist device implantation as destination therapy in the post-rematch era implications for patient selection." Circulation 116.5 (2007): 497-505.</w:t>
      </w:r>
    </w:p>
    <w:p w14:paraId="5DA85E48" w14:textId="56B74108"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La Francesca, Saverio, et al. "First Use of the TandemHeart® Percutaneous Left Ventricular Assist Device as a Short-Term Bridge to Cardiac Transplantation." Texas Heart Institute Journal 33.4 (2006): 490.</w:t>
      </w:r>
    </w:p>
    <w:p w14:paraId="1F35E08D" w14:textId="4F46A0E7"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Naidu, Srihari S. "Novel percutaneous cardiac assist devices the science of and indications for hemodynamic support." Circulation 123.5 (2011): 533-543.</w:t>
      </w:r>
    </w:p>
    <w:p w14:paraId="70F44661" w14:textId="6397A551"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Kar, Biswajit, et al. "Clinical experience with the TandemHeart® percutaneous ventricular assist device." Texas Heart Institute Journal 33.2 (2006): 111.</w:t>
      </w:r>
    </w:p>
    <w:p w14:paraId="663CEA2D" w14:textId="4BAE07BD"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 xml:space="preserve">Lampropulos, Julianna F., et al. "Trends in left ventricular assist device use and outcomes among Medicare beneficiaries, 2004–2011." Open heart 1.1 (2014): e000109. </w:t>
      </w:r>
    </w:p>
    <w:p w14:paraId="49F0B2C3" w14:textId="6E6BCC67"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Hasin, Tal, et al. "Readmissions after implantation of axial flow left ventricular assist device." Journal of the American College of Cardiology 61.2 (2013): 153-163.</w:t>
      </w:r>
    </w:p>
    <w:p w14:paraId="3206CAB1" w14:textId="388D7717" w:rsidR="004F73E9"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Terracciano, Cesare M., Leslie W. Miller, and Magdi H. Yacoub. "Contemporary use of ventricular assist devices." Annual review of medicine 61 (2010): 255-270.</w:t>
      </w:r>
    </w:p>
    <w:p w14:paraId="499AB8B3" w14:textId="261E87F2" w:rsidR="006E641A" w:rsidRPr="00796959" w:rsidRDefault="004F73E9"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Miller, Leslie W. "Left ventricular assist devices are underutilized." Circulation 123.14 (2011): 1552-1558.</w:t>
      </w:r>
    </w:p>
    <w:p w14:paraId="485E5D15" w14:textId="1F6C32FA" w:rsidR="0054380D" w:rsidRPr="00796959" w:rsidRDefault="0054380D"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lastRenderedPageBreak/>
        <w:t>Dardas, Todd, et al. "Transplant registrants with implanted left ventricular assist devices have insufficient risk to justify elective organ procurement and transplantation network status 1A time." </w:t>
      </w:r>
      <w:r w:rsidRPr="00796959">
        <w:rPr>
          <w:rFonts w:ascii="Book Antiqua" w:hAnsi="Book Antiqua" w:cs="Times New Roman"/>
          <w:i/>
          <w:iCs/>
          <w:sz w:val="24"/>
          <w:szCs w:val="24"/>
        </w:rPr>
        <w:t>Journal of the American College of Cardiology</w:t>
      </w:r>
      <w:r w:rsidRPr="00796959">
        <w:rPr>
          <w:rFonts w:ascii="Book Antiqua" w:hAnsi="Book Antiqua" w:cs="Times New Roman"/>
          <w:sz w:val="24"/>
          <w:szCs w:val="24"/>
        </w:rPr>
        <w:t> 60.1 (2012): 36-43.</w:t>
      </w:r>
      <w:r w:rsidRPr="00796959" w:rsidDel="0054380D">
        <w:rPr>
          <w:rFonts w:ascii="Book Antiqua" w:hAnsi="Book Antiqua" w:cs="Times New Roman"/>
          <w:sz w:val="24"/>
          <w:szCs w:val="24"/>
        </w:rPr>
        <w:t xml:space="preserve"> </w:t>
      </w:r>
    </w:p>
    <w:p w14:paraId="671CC993" w14:textId="080317EC" w:rsidR="00AD253A" w:rsidRPr="00796959" w:rsidRDefault="0054380D"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John, Ranjit, et al. "Post–cardiac transplant survival after support with a continuous-flow left ventricular assist device: impact of duration of left ventricular assist device support and other variables." </w:t>
      </w:r>
      <w:r w:rsidRPr="00796959">
        <w:rPr>
          <w:rFonts w:ascii="Book Antiqua" w:hAnsi="Book Antiqua" w:cs="Times New Roman"/>
          <w:i/>
          <w:iCs/>
          <w:sz w:val="24"/>
          <w:szCs w:val="24"/>
        </w:rPr>
        <w:t>The Journal of thoracic and cardiovascular surgery</w:t>
      </w:r>
      <w:r w:rsidRPr="00796959">
        <w:rPr>
          <w:rFonts w:ascii="Book Antiqua" w:hAnsi="Book Antiqua" w:cs="Times New Roman"/>
          <w:sz w:val="24"/>
          <w:szCs w:val="24"/>
        </w:rPr>
        <w:t> 140.1 (2010): 174-181.</w:t>
      </w:r>
    </w:p>
    <w:p w14:paraId="27DF70EB" w14:textId="1E949047" w:rsidR="006E641A" w:rsidRPr="00796959" w:rsidRDefault="00AD253A"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Gammie, James S., et al. "Optimal timing of cardiac transplantation after ventricular assist device implantation." </w:t>
      </w:r>
      <w:r w:rsidRPr="00796959">
        <w:rPr>
          <w:rFonts w:ascii="Book Antiqua" w:hAnsi="Book Antiqua" w:cs="Times New Roman"/>
          <w:i/>
          <w:iCs/>
          <w:sz w:val="24"/>
          <w:szCs w:val="24"/>
        </w:rPr>
        <w:t>The Journal of thoracic and cardiovascular surgery</w:t>
      </w:r>
      <w:r w:rsidRPr="00796959">
        <w:rPr>
          <w:rFonts w:ascii="Book Antiqua" w:hAnsi="Book Antiqua" w:cs="Times New Roman"/>
          <w:sz w:val="24"/>
          <w:szCs w:val="24"/>
        </w:rPr>
        <w:t> 127.6 (2004): 1789-1799.</w:t>
      </w:r>
    </w:p>
    <w:p w14:paraId="7714AF01" w14:textId="0CBC60EF" w:rsidR="0054380D" w:rsidRPr="00796959" w:rsidRDefault="0054380D" w:rsidP="00796959">
      <w:pPr>
        <w:pStyle w:val="ListParagraph"/>
        <w:numPr>
          <w:ilvl w:val="0"/>
          <w:numId w:val="6"/>
        </w:numPr>
        <w:rPr>
          <w:rFonts w:ascii="Book Antiqua" w:hAnsi="Book Antiqua" w:cs="Times New Roman"/>
          <w:sz w:val="24"/>
          <w:szCs w:val="24"/>
        </w:rPr>
      </w:pPr>
      <w:r w:rsidRPr="00796959">
        <w:rPr>
          <w:rFonts w:ascii="Book Antiqua" w:hAnsi="Book Antiqua" w:cs="Times New Roman"/>
          <w:sz w:val="24"/>
          <w:szCs w:val="24"/>
        </w:rPr>
        <w:t>Ashton Jr, Robert C., et al. "Duration of left ventricular assist device support affects transplant survival." </w:t>
      </w:r>
      <w:r w:rsidRPr="00796959">
        <w:rPr>
          <w:rFonts w:ascii="Book Antiqua" w:hAnsi="Book Antiqua" w:cs="Times New Roman"/>
          <w:i/>
          <w:iCs/>
          <w:sz w:val="24"/>
          <w:szCs w:val="24"/>
        </w:rPr>
        <w:t>The Journal of heart and lung transplantation: the official publication of the International Society for Heart Transplantation</w:t>
      </w:r>
      <w:r w:rsidRPr="00796959">
        <w:rPr>
          <w:rFonts w:ascii="Book Antiqua" w:hAnsi="Book Antiqua" w:cs="Times New Roman"/>
          <w:sz w:val="24"/>
          <w:szCs w:val="24"/>
        </w:rPr>
        <w:t>15.11 (1996): 1151-1157.</w:t>
      </w:r>
    </w:p>
    <w:p w14:paraId="6FF3B304" w14:textId="23392FD9" w:rsidR="00D525EC" w:rsidRPr="00796959" w:rsidRDefault="00D525EC" w:rsidP="00796959">
      <w:pPr>
        <w:rPr>
          <w:rFonts w:ascii="Book Antiqua" w:hAnsi="Book Antiqua" w:cs="Times New Roman"/>
          <w:sz w:val="24"/>
          <w:szCs w:val="24"/>
        </w:rPr>
      </w:pPr>
    </w:p>
    <w:p w14:paraId="3FF72AC8" w14:textId="28F55357" w:rsidR="00D525EC" w:rsidRPr="00796959" w:rsidRDefault="00D525EC" w:rsidP="00796959">
      <w:pPr>
        <w:rPr>
          <w:rFonts w:ascii="Book Antiqua" w:hAnsi="Book Antiqua" w:cs="Times New Roman"/>
          <w:sz w:val="24"/>
          <w:szCs w:val="24"/>
        </w:rPr>
      </w:pPr>
      <w:r w:rsidRPr="00796959">
        <w:rPr>
          <w:rFonts w:ascii="Book Antiqua" w:hAnsi="Book Antiqua" w:cs="Times New Roman"/>
          <w:sz w:val="24"/>
          <w:szCs w:val="24"/>
        </w:rPr>
        <w:br w:type="page"/>
      </w:r>
    </w:p>
    <w:p w14:paraId="69DF064F" w14:textId="77777777" w:rsidR="00D525EC" w:rsidRPr="00796959" w:rsidRDefault="00D525EC" w:rsidP="00796959">
      <w:pPr>
        <w:spacing w:after="160"/>
        <w:rPr>
          <w:rFonts w:ascii="Book Antiqua" w:hAnsi="Book Antiqua"/>
          <w:sz w:val="24"/>
          <w:szCs w:val="24"/>
        </w:rPr>
        <w:sectPr w:rsidR="00D525EC" w:rsidRPr="00796959" w:rsidSect="00E06CA7">
          <w:pgSz w:w="12240" w:h="15840"/>
          <w:pgMar w:top="1440" w:right="1440" w:bottom="1440" w:left="1440" w:header="720" w:footer="720" w:gutter="0"/>
          <w:cols w:space="720"/>
          <w:docGrid w:linePitch="360"/>
        </w:sectPr>
      </w:pPr>
    </w:p>
    <w:p w14:paraId="00953FC0" w14:textId="77777777" w:rsidR="006F7356" w:rsidRPr="00796959" w:rsidRDefault="006F7356" w:rsidP="00796959">
      <w:pPr>
        <w:pStyle w:val="Heading1"/>
        <w:spacing w:line="360" w:lineRule="auto"/>
        <w:jc w:val="center"/>
        <w:rPr>
          <w:rFonts w:ascii="Book Antiqua" w:hAnsi="Book Antiqua" w:cs="Times New Roman"/>
          <w:color w:val="000000" w:themeColor="text1"/>
          <w:sz w:val="24"/>
          <w:szCs w:val="24"/>
        </w:rPr>
      </w:pPr>
      <w:r w:rsidRPr="00796959">
        <w:rPr>
          <w:rFonts w:ascii="Book Antiqua" w:hAnsi="Book Antiqua" w:cs="Times New Roman"/>
          <w:color w:val="000000" w:themeColor="text1"/>
          <w:sz w:val="24"/>
          <w:szCs w:val="24"/>
        </w:rPr>
        <w:lastRenderedPageBreak/>
        <w:t>MAIN FIGURES AND TABLES</w:t>
      </w:r>
    </w:p>
    <w:p w14:paraId="78BB630B" w14:textId="77777777" w:rsidR="006F7356" w:rsidRPr="00796959" w:rsidRDefault="006F7356" w:rsidP="00796959">
      <w:pPr>
        <w:rPr>
          <w:rFonts w:ascii="Book Antiqua" w:hAnsi="Book Antiqua"/>
          <w:b/>
          <w:bCs/>
          <w:sz w:val="24"/>
          <w:szCs w:val="24"/>
        </w:rPr>
      </w:pPr>
      <w:r w:rsidRPr="00796959">
        <w:rPr>
          <w:rFonts w:ascii="Book Antiqua" w:hAnsi="Book Antiqua"/>
          <w:b/>
          <w:bCs/>
          <w:sz w:val="24"/>
          <w:szCs w:val="24"/>
        </w:rPr>
        <w:br w:type="page"/>
      </w:r>
    </w:p>
    <w:p w14:paraId="47D382F9" w14:textId="77777777" w:rsidR="006F7356" w:rsidRPr="00796959" w:rsidRDefault="006F7356" w:rsidP="00796959">
      <w:pPr>
        <w:rPr>
          <w:rFonts w:ascii="Book Antiqua" w:hAnsi="Book Antiqua"/>
          <w:b/>
          <w:bCs/>
          <w:sz w:val="24"/>
          <w:szCs w:val="24"/>
        </w:rPr>
      </w:pPr>
    </w:p>
    <w:p w14:paraId="18547814" w14:textId="77777777" w:rsidR="006F7356" w:rsidRPr="00796959" w:rsidRDefault="006F7356" w:rsidP="00796959">
      <w:pPr>
        <w:rPr>
          <w:rFonts w:ascii="Book Antiqua" w:hAnsi="Book Antiqua"/>
          <w:sz w:val="24"/>
          <w:szCs w:val="24"/>
        </w:rPr>
      </w:pPr>
    </w:p>
    <w:p w14:paraId="7B8F6723" w14:textId="77777777" w:rsidR="006F7356" w:rsidRPr="00796959" w:rsidRDefault="006F7356" w:rsidP="00796959">
      <w:pPr>
        <w:rPr>
          <w:rFonts w:ascii="Book Antiqua" w:hAnsi="Book Antiqua"/>
          <w:sz w:val="24"/>
          <w:szCs w:val="24"/>
        </w:rPr>
      </w:pPr>
    </w:p>
    <w:p w14:paraId="47749BAE" w14:textId="77777777" w:rsidR="006F7356" w:rsidRPr="00796959" w:rsidRDefault="006F7356" w:rsidP="00796959">
      <w:pPr>
        <w:tabs>
          <w:tab w:val="left" w:pos="1733"/>
        </w:tabs>
        <w:jc w:val="center"/>
        <w:rPr>
          <w:rFonts w:ascii="Book Antiqua" w:hAnsi="Book Antiqua"/>
          <w:b/>
          <w:bCs/>
          <w:sz w:val="24"/>
          <w:szCs w:val="24"/>
        </w:rPr>
      </w:pPr>
      <w:r w:rsidRPr="00796959">
        <w:rPr>
          <w:rFonts w:ascii="Book Antiqua" w:hAnsi="Book Antiqua"/>
          <w:b/>
          <w:noProof/>
          <w:sz w:val="24"/>
          <w:szCs w:val="24"/>
        </w:rPr>
        <mc:AlternateContent>
          <mc:Choice Requires="wps">
            <w:drawing>
              <wp:anchor distT="45720" distB="45720" distL="114300" distR="114300" simplePos="0" relativeHeight="251659264" behindDoc="0" locked="0" layoutInCell="1" allowOverlap="1" wp14:anchorId="12F1127E" wp14:editId="455F2D09">
                <wp:simplePos x="0" y="0"/>
                <wp:positionH relativeFrom="margin">
                  <wp:align>left</wp:align>
                </wp:positionH>
                <wp:positionV relativeFrom="paragraph">
                  <wp:posOffset>2992332</wp:posOffset>
                </wp:positionV>
                <wp:extent cx="5932170" cy="662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62940"/>
                        </a:xfrm>
                        <a:prstGeom prst="rect">
                          <a:avLst/>
                        </a:prstGeom>
                        <a:solidFill>
                          <a:srgbClr val="FFFFFF"/>
                        </a:solidFill>
                        <a:ln w="9525">
                          <a:noFill/>
                          <a:miter lim="800000"/>
                          <a:headEnd/>
                          <a:tailEnd/>
                        </a:ln>
                      </wps:spPr>
                      <wps:txbx>
                        <w:txbxContent>
                          <w:p w14:paraId="4D4A0F05" w14:textId="77777777" w:rsidR="00F33799" w:rsidRPr="00C93806" w:rsidRDefault="00F33799" w:rsidP="006F7356">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14:paraId="2D2F09BC" w14:textId="77777777" w:rsidR="00F33799" w:rsidRDefault="00F33799" w:rsidP="006F73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F1127E" id="_x0000_t202" coordsize="21600,21600" o:spt="202" path="m,l,21600r21600,l21600,xe">
                <v:stroke joinstyle="miter"/>
                <v:path gradientshapeok="t" o:connecttype="rect"/>
              </v:shapetype>
              <v:shape id="Text Box 2" o:spid="_x0000_s1026" type="#_x0000_t202" style="position:absolute;left:0;text-align:left;margin-left:0;margin-top:235.6pt;width:467.1pt;height:52.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" stroked="f">
                <v:textbox>
                  <w:txbxContent>
                    <w:p w14:paraId="4D4A0F05" w14:textId="77777777" w:rsidR="00F33799" w:rsidRPr="00C93806" w:rsidRDefault="00F33799" w:rsidP="006F7356">
                      <w:pPr>
                        <w:rPr>
                          <w:rFonts w:ascii="Arial" w:hAnsi="Arial" w:cs="Arial"/>
                          <w:sz w:val="18"/>
                          <w:szCs w:val="18"/>
                        </w:rPr>
                      </w:pPr>
                      <w:r w:rsidRPr="00C93806">
                        <w:rPr>
                          <w:rFonts w:ascii="Arial" w:hAnsi="Arial" w:cs="Arial"/>
                          <w:b/>
                          <w:sz w:val="18"/>
                          <w:szCs w:val="18"/>
                        </w:rPr>
                        <w:t>Figure 1.</w:t>
                      </w:r>
                      <w:r w:rsidRPr="00C93806">
                        <w:rPr>
                          <w:rFonts w:ascii="Arial" w:hAnsi="Arial" w:cs="Arial"/>
                          <w:sz w:val="18"/>
                          <w:szCs w:val="18"/>
                        </w:rPr>
                        <w:t xml:space="preserve"> Percent in-hospital mortality by quartiles of wait time for OHT after LVAD implantation and no OHT after LVAD implantation. Percent mortality for each quartile was calculated as number of deaths per quartile by total number of patients per quartile. LVAD, Left Ventricular Assist Device</w:t>
                      </w:r>
                    </w:p>
                    <w:p w14:paraId="2D2F09BC" w14:textId="77777777" w:rsidR="00F33799" w:rsidRDefault="00F33799" w:rsidP="006F7356"/>
                  </w:txbxContent>
                </v:textbox>
                <w10:wrap type="square" anchorx="margin"/>
              </v:shape>
            </w:pict>
          </mc:Fallback>
        </mc:AlternateContent>
      </w:r>
      <w:r w:rsidRPr="00796959">
        <w:rPr>
          <w:rFonts w:ascii="Book Antiqua" w:hAnsi="Book Antiqua"/>
          <w:noProof/>
          <w:sz w:val="24"/>
          <w:szCs w:val="24"/>
        </w:rPr>
        <w:drawing>
          <wp:inline distT="0" distB="0" distL="0" distR="0" wp14:anchorId="6F4F9420" wp14:editId="5AF27201">
            <wp:extent cx="4766310" cy="278955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8546B0" w14:textId="77777777" w:rsidR="006F7356" w:rsidRPr="00796959" w:rsidRDefault="006F7356" w:rsidP="00796959">
      <w:pPr>
        <w:rPr>
          <w:rFonts w:ascii="Book Antiqua" w:hAnsi="Book Antiqua"/>
          <w:b/>
          <w:bCs/>
          <w:sz w:val="24"/>
          <w:szCs w:val="24"/>
        </w:rPr>
      </w:pPr>
      <w:r w:rsidRPr="00796959">
        <w:rPr>
          <w:rFonts w:ascii="Book Antiqua" w:hAnsi="Book Antiqua"/>
          <w:b/>
          <w:bCs/>
          <w:sz w:val="24"/>
          <w:szCs w:val="24"/>
        </w:rPr>
        <w:br w:type="page"/>
      </w:r>
    </w:p>
    <w:tbl>
      <w:tblPr>
        <w:tblStyle w:val="PlainTable4"/>
        <w:tblW w:w="0" w:type="auto"/>
        <w:jc w:val="center"/>
        <w:tblLayout w:type="fixed"/>
        <w:tblLook w:val="04A0" w:firstRow="1" w:lastRow="0" w:firstColumn="1" w:lastColumn="0" w:noHBand="0" w:noVBand="1"/>
      </w:tblPr>
      <w:tblGrid>
        <w:gridCol w:w="4100"/>
        <w:gridCol w:w="1303"/>
        <w:gridCol w:w="1303"/>
        <w:gridCol w:w="1303"/>
        <w:gridCol w:w="1303"/>
        <w:gridCol w:w="1303"/>
      </w:tblGrid>
      <w:tr w:rsidR="006F7356" w:rsidRPr="00796959" w14:paraId="6C88088D" w14:textId="77777777" w:rsidTr="004333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10615" w:type="dxa"/>
            <w:gridSpan w:val="6"/>
            <w:tcBorders>
              <w:bottom w:val="single" w:sz="12" w:space="0" w:color="auto"/>
            </w:tcBorders>
            <w:hideMark/>
          </w:tcPr>
          <w:p w14:paraId="16F5BE08" w14:textId="77777777" w:rsidR="006F7356" w:rsidRPr="00796959" w:rsidRDefault="006F7356" w:rsidP="00796959">
            <w:pPr>
              <w:spacing w:line="360" w:lineRule="auto"/>
              <w:rPr>
                <w:rFonts w:ascii="Book Antiqua" w:eastAsia="Times New Roman" w:hAnsi="Book Antiqua" w:cs="Arial"/>
                <w:b w:val="0"/>
                <w:bCs w:val="0"/>
                <w:color w:val="000000"/>
                <w:sz w:val="24"/>
                <w:szCs w:val="24"/>
              </w:rPr>
            </w:pPr>
            <w:r w:rsidRPr="00796959">
              <w:rPr>
                <w:rFonts w:ascii="Book Antiqua" w:eastAsia="Times New Roman" w:hAnsi="Book Antiqua" w:cs="Arial"/>
                <w:bCs w:val="0"/>
                <w:color w:val="000000"/>
                <w:sz w:val="24"/>
                <w:szCs w:val="24"/>
              </w:rPr>
              <w:lastRenderedPageBreak/>
              <w:t>Table 1.</w:t>
            </w:r>
            <w:r w:rsidRPr="00796959">
              <w:rPr>
                <w:rFonts w:ascii="Book Antiqua" w:eastAsia="Times New Roman" w:hAnsi="Book Antiqua" w:cs="Arial"/>
                <w:b w:val="0"/>
                <w:bCs w:val="0"/>
                <w:color w:val="000000"/>
                <w:sz w:val="24"/>
                <w:szCs w:val="24"/>
              </w:rPr>
              <w:t xml:space="preserve"> </w:t>
            </w:r>
            <w:r w:rsidRPr="00796959">
              <w:rPr>
                <w:rFonts w:ascii="Book Antiqua" w:eastAsia="Times New Roman" w:hAnsi="Book Antiqua" w:cs="Arial"/>
                <w:b w:val="0"/>
                <w:color w:val="000000"/>
                <w:sz w:val="24"/>
                <w:szCs w:val="24"/>
              </w:rPr>
              <w:t>Baseline demographics for patients who waited 0-7 days, 8-31 days, 32-65 days, and ≥66 days for an Orthotopic Heart Transplant (OHT) after Left Ventricular Assist Device (LVAD) implantation</w:t>
            </w:r>
          </w:p>
        </w:tc>
      </w:tr>
      <w:tr w:rsidR="006F7356" w:rsidRPr="00796959" w14:paraId="29A62280" w14:textId="77777777" w:rsidTr="004333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12" w:space="0" w:color="auto"/>
              <w:bottom w:val="single" w:sz="8" w:space="0" w:color="auto"/>
            </w:tcBorders>
            <w:shd w:val="clear" w:color="auto" w:fill="auto"/>
            <w:vAlign w:val="center"/>
            <w:hideMark/>
          </w:tcPr>
          <w:p w14:paraId="39BD0CA6" w14:textId="77777777" w:rsidR="006F7356" w:rsidRPr="00796959" w:rsidRDefault="006F7356" w:rsidP="00796959">
            <w:pPr>
              <w:spacing w:line="360" w:lineRule="auto"/>
              <w:rPr>
                <w:rFonts w:ascii="Book Antiqua" w:eastAsia="Times New Roman" w:hAnsi="Book Antiqua" w:cs="Arial"/>
                <w:b w:val="0"/>
                <w:bCs w:val="0"/>
                <w:color w:val="000000"/>
                <w:sz w:val="24"/>
                <w:szCs w:val="24"/>
              </w:rPr>
            </w:pPr>
          </w:p>
        </w:tc>
        <w:tc>
          <w:tcPr>
            <w:tcW w:w="1303" w:type="dxa"/>
            <w:tcBorders>
              <w:top w:val="single" w:sz="12" w:space="0" w:color="auto"/>
              <w:bottom w:val="single" w:sz="8" w:space="0" w:color="auto"/>
            </w:tcBorders>
            <w:shd w:val="clear" w:color="auto" w:fill="auto"/>
            <w:vAlign w:val="center"/>
            <w:hideMark/>
          </w:tcPr>
          <w:p w14:paraId="249B06D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0-7 days</w:t>
            </w:r>
            <w:r w:rsidRPr="00796959">
              <w:rPr>
                <w:rFonts w:ascii="Book Antiqua" w:eastAsia="Times New Roman" w:hAnsi="Book Antiqua" w:cs="Arial"/>
                <w:b/>
                <w:bCs/>
                <w:color w:val="000000"/>
                <w:sz w:val="24"/>
                <w:szCs w:val="24"/>
              </w:rPr>
              <w:br/>
              <w:t>(n = 41)</w:t>
            </w:r>
          </w:p>
        </w:tc>
        <w:tc>
          <w:tcPr>
            <w:tcW w:w="1303" w:type="dxa"/>
            <w:tcBorders>
              <w:top w:val="single" w:sz="12" w:space="0" w:color="auto"/>
              <w:bottom w:val="single" w:sz="8" w:space="0" w:color="auto"/>
            </w:tcBorders>
            <w:shd w:val="clear" w:color="auto" w:fill="auto"/>
            <w:vAlign w:val="center"/>
            <w:hideMark/>
          </w:tcPr>
          <w:p w14:paraId="6A62F57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8-31 days</w:t>
            </w:r>
            <w:r w:rsidRPr="00796959">
              <w:rPr>
                <w:rFonts w:ascii="Book Antiqua" w:eastAsia="Times New Roman" w:hAnsi="Book Antiqua" w:cs="Arial"/>
                <w:b/>
                <w:bCs/>
                <w:color w:val="000000"/>
                <w:sz w:val="24"/>
                <w:szCs w:val="24"/>
              </w:rPr>
              <w:br/>
              <w:t>(n = 38)</w:t>
            </w:r>
          </w:p>
        </w:tc>
        <w:tc>
          <w:tcPr>
            <w:tcW w:w="1303" w:type="dxa"/>
            <w:tcBorders>
              <w:top w:val="single" w:sz="12" w:space="0" w:color="auto"/>
              <w:bottom w:val="single" w:sz="8" w:space="0" w:color="auto"/>
            </w:tcBorders>
            <w:shd w:val="clear" w:color="auto" w:fill="auto"/>
            <w:vAlign w:val="center"/>
            <w:hideMark/>
          </w:tcPr>
          <w:p w14:paraId="7170DF3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32-65 days</w:t>
            </w:r>
            <w:r w:rsidRPr="00796959">
              <w:rPr>
                <w:rFonts w:ascii="Book Antiqua" w:eastAsia="Times New Roman" w:hAnsi="Book Antiqua" w:cs="Arial"/>
                <w:b/>
                <w:bCs/>
                <w:color w:val="000000"/>
                <w:sz w:val="24"/>
                <w:szCs w:val="24"/>
              </w:rPr>
              <w:br/>
              <w:t>(n = 42)</w:t>
            </w:r>
          </w:p>
        </w:tc>
        <w:tc>
          <w:tcPr>
            <w:tcW w:w="1303" w:type="dxa"/>
            <w:tcBorders>
              <w:top w:val="single" w:sz="12" w:space="0" w:color="auto"/>
              <w:bottom w:val="single" w:sz="8" w:space="0" w:color="auto"/>
            </w:tcBorders>
            <w:shd w:val="clear" w:color="auto" w:fill="auto"/>
            <w:vAlign w:val="center"/>
            <w:hideMark/>
          </w:tcPr>
          <w:p w14:paraId="1230A8F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 xml:space="preserve">≥66 days </w:t>
            </w:r>
            <w:r w:rsidRPr="00796959">
              <w:rPr>
                <w:rFonts w:ascii="Book Antiqua" w:eastAsia="Times New Roman" w:hAnsi="Book Antiqua" w:cs="Arial"/>
                <w:b/>
                <w:bCs/>
                <w:color w:val="000000"/>
                <w:sz w:val="24"/>
                <w:szCs w:val="24"/>
              </w:rPr>
              <w:br/>
              <w:t>(n = 43)</w:t>
            </w:r>
          </w:p>
        </w:tc>
        <w:tc>
          <w:tcPr>
            <w:tcW w:w="1303" w:type="dxa"/>
            <w:tcBorders>
              <w:top w:val="single" w:sz="12" w:space="0" w:color="auto"/>
              <w:bottom w:val="single" w:sz="8" w:space="0" w:color="auto"/>
            </w:tcBorders>
            <w:shd w:val="clear" w:color="auto" w:fill="auto"/>
            <w:vAlign w:val="center"/>
          </w:tcPr>
          <w:p w14:paraId="6FCEA6A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No OHT</w:t>
            </w:r>
          </w:p>
          <w:p w14:paraId="65DB505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(n = 2036)</w:t>
            </w:r>
          </w:p>
        </w:tc>
      </w:tr>
      <w:tr w:rsidR="006F7356" w:rsidRPr="00796959" w14:paraId="1827473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top w:val="single" w:sz="8" w:space="0" w:color="auto"/>
            </w:tcBorders>
            <w:vAlign w:val="center"/>
            <w:hideMark/>
          </w:tcPr>
          <w:p w14:paraId="65865CDE"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Length of stay, mean ± SD</w:t>
            </w:r>
          </w:p>
        </w:tc>
        <w:tc>
          <w:tcPr>
            <w:tcW w:w="1303" w:type="dxa"/>
            <w:tcBorders>
              <w:top w:val="single" w:sz="8" w:space="0" w:color="auto"/>
            </w:tcBorders>
            <w:vAlign w:val="center"/>
            <w:hideMark/>
          </w:tcPr>
          <w:p w14:paraId="6EA59EB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39.3 ± 33.2</w:t>
            </w:r>
          </w:p>
        </w:tc>
        <w:tc>
          <w:tcPr>
            <w:tcW w:w="1303" w:type="dxa"/>
            <w:tcBorders>
              <w:top w:val="single" w:sz="8" w:space="0" w:color="auto"/>
            </w:tcBorders>
            <w:vAlign w:val="center"/>
            <w:hideMark/>
          </w:tcPr>
          <w:p w14:paraId="62C6CC2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48.9 ± 25.6</w:t>
            </w:r>
          </w:p>
        </w:tc>
        <w:tc>
          <w:tcPr>
            <w:tcW w:w="1303" w:type="dxa"/>
            <w:tcBorders>
              <w:top w:val="single" w:sz="8" w:space="0" w:color="auto"/>
            </w:tcBorders>
            <w:vAlign w:val="center"/>
            <w:hideMark/>
          </w:tcPr>
          <w:p w14:paraId="7F93407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85.8 ± 40.1</w:t>
            </w:r>
          </w:p>
        </w:tc>
        <w:tc>
          <w:tcPr>
            <w:tcW w:w="1303" w:type="dxa"/>
            <w:tcBorders>
              <w:top w:val="single" w:sz="8" w:space="0" w:color="auto"/>
            </w:tcBorders>
            <w:vAlign w:val="center"/>
            <w:hideMark/>
          </w:tcPr>
          <w:p w14:paraId="4F1E2EC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151.2 ± 52.6</w:t>
            </w:r>
          </w:p>
        </w:tc>
        <w:tc>
          <w:tcPr>
            <w:tcW w:w="1303" w:type="dxa"/>
            <w:tcBorders>
              <w:top w:val="single" w:sz="8" w:space="0" w:color="auto"/>
            </w:tcBorders>
            <w:vAlign w:val="center"/>
          </w:tcPr>
          <w:p w14:paraId="53F5CF8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37.1 ± 34.6</w:t>
            </w:r>
          </w:p>
        </w:tc>
      </w:tr>
      <w:tr w:rsidR="006F7356" w:rsidRPr="00796959" w14:paraId="77170CD6"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5E39BF0"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Length of stay after OHT, mean ± SD</w:t>
            </w:r>
          </w:p>
        </w:tc>
        <w:tc>
          <w:tcPr>
            <w:tcW w:w="1303" w:type="dxa"/>
            <w:vAlign w:val="center"/>
            <w:hideMark/>
          </w:tcPr>
          <w:p w14:paraId="77E21E4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Cs/>
                <w:color w:val="000000"/>
                <w:sz w:val="24"/>
                <w:szCs w:val="24"/>
              </w:rPr>
            </w:pPr>
            <w:r w:rsidRPr="00796959">
              <w:rPr>
                <w:rFonts w:ascii="Book Antiqua" w:eastAsia="Times New Roman" w:hAnsi="Book Antiqua" w:cs="Arial"/>
                <w:bCs/>
                <w:color w:val="000000"/>
                <w:sz w:val="24"/>
                <w:szCs w:val="24"/>
              </w:rPr>
              <w:t>23.8 ± 21.4</w:t>
            </w:r>
          </w:p>
        </w:tc>
        <w:tc>
          <w:tcPr>
            <w:tcW w:w="1303" w:type="dxa"/>
            <w:vAlign w:val="center"/>
            <w:hideMark/>
          </w:tcPr>
          <w:p w14:paraId="38B1613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Cs/>
                <w:color w:val="000000"/>
                <w:sz w:val="24"/>
                <w:szCs w:val="24"/>
              </w:rPr>
            </w:pPr>
            <w:r w:rsidRPr="00796959">
              <w:rPr>
                <w:rFonts w:ascii="Book Antiqua" w:eastAsia="Times New Roman" w:hAnsi="Book Antiqua" w:cs="Arial"/>
                <w:bCs/>
                <w:color w:val="000000"/>
                <w:sz w:val="24"/>
                <w:szCs w:val="24"/>
              </w:rPr>
              <w:t>21.7 ± 15.8</w:t>
            </w:r>
          </w:p>
        </w:tc>
        <w:tc>
          <w:tcPr>
            <w:tcW w:w="1303" w:type="dxa"/>
            <w:vAlign w:val="center"/>
            <w:hideMark/>
          </w:tcPr>
          <w:p w14:paraId="07EA59F7"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Cs/>
                <w:color w:val="000000"/>
                <w:sz w:val="24"/>
                <w:szCs w:val="24"/>
              </w:rPr>
            </w:pPr>
            <w:r w:rsidRPr="00796959">
              <w:rPr>
                <w:rFonts w:ascii="Book Antiqua" w:eastAsia="Times New Roman" w:hAnsi="Book Antiqua" w:cs="Arial"/>
                <w:bCs/>
                <w:color w:val="000000"/>
                <w:sz w:val="24"/>
                <w:szCs w:val="24"/>
              </w:rPr>
              <w:t>27.6 ± 37.1</w:t>
            </w:r>
          </w:p>
        </w:tc>
        <w:tc>
          <w:tcPr>
            <w:tcW w:w="1303" w:type="dxa"/>
            <w:vAlign w:val="center"/>
            <w:hideMark/>
          </w:tcPr>
          <w:p w14:paraId="4489FEF2"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Cs/>
                <w:color w:val="000000"/>
                <w:sz w:val="24"/>
                <w:szCs w:val="24"/>
              </w:rPr>
            </w:pPr>
            <w:r w:rsidRPr="00796959">
              <w:rPr>
                <w:rFonts w:ascii="Book Antiqua" w:eastAsia="Times New Roman" w:hAnsi="Book Antiqua" w:cs="Arial"/>
                <w:bCs/>
                <w:color w:val="000000"/>
                <w:sz w:val="24"/>
                <w:szCs w:val="24"/>
              </w:rPr>
              <w:t>27.1 ± 22.8</w:t>
            </w:r>
          </w:p>
        </w:tc>
        <w:tc>
          <w:tcPr>
            <w:tcW w:w="1303" w:type="dxa"/>
            <w:vAlign w:val="center"/>
          </w:tcPr>
          <w:p w14:paraId="7D0655D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Cs/>
                <w:color w:val="000000"/>
                <w:sz w:val="24"/>
                <w:szCs w:val="24"/>
              </w:rPr>
            </w:pPr>
            <w:r w:rsidRPr="00796959">
              <w:rPr>
                <w:rFonts w:ascii="Book Antiqua" w:eastAsia="Times New Roman" w:hAnsi="Book Antiqua" w:cs="Arial"/>
                <w:bCs/>
                <w:color w:val="000000"/>
                <w:sz w:val="24"/>
                <w:szCs w:val="24"/>
              </w:rPr>
              <w:t>NA</w:t>
            </w:r>
          </w:p>
        </w:tc>
      </w:tr>
      <w:tr w:rsidR="006F7356" w:rsidRPr="00796959" w14:paraId="153AA551"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4A546CBF"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Mortality, n (%)</w:t>
            </w:r>
          </w:p>
        </w:tc>
        <w:tc>
          <w:tcPr>
            <w:tcW w:w="1303" w:type="dxa"/>
            <w:vAlign w:val="center"/>
            <w:hideMark/>
          </w:tcPr>
          <w:p w14:paraId="23DCB0BB"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11 (26.8)</w:t>
            </w:r>
          </w:p>
        </w:tc>
        <w:tc>
          <w:tcPr>
            <w:tcW w:w="1303" w:type="dxa"/>
            <w:vAlign w:val="center"/>
            <w:hideMark/>
          </w:tcPr>
          <w:p w14:paraId="6474CB8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(13.2)</w:t>
            </w:r>
          </w:p>
        </w:tc>
        <w:tc>
          <w:tcPr>
            <w:tcW w:w="1303" w:type="dxa"/>
            <w:vAlign w:val="center"/>
            <w:hideMark/>
          </w:tcPr>
          <w:p w14:paraId="6FAFD7F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(11.9)</w:t>
            </w:r>
          </w:p>
        </w:tc>
        <w:tc>
          <w:tcPr>
            <w:tcW w:w="1303" w:type="dxa"/>
            <w:vAlign w:val="center"/>
            <w:hideMark/>
          </w:tcPr>
          <w:p w14:paraId="47FD499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(11.6)</w:t>
            </w:r>
          </w:p>
        </w:tc>
        <w:tc>
          <w:tcPr>
            <w:tcW w:w="1303" w:type="dxa"/>
            <w:vAlign w:val="center"/>
          </w:tcPr>
          <w:p w14:paraId="5AFC1EE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564 (27.3)</w:t>
            </w:r>
          </w:p>
        </w:tc>
      </w:tr>
      <w:tr w:rsidR="006F7356" w:rsidRPr="00796959" w14:paraId="1125B1D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5E4D1A5"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Age, mean ± SD</w:t>
            </w:r>
          </w:p>
        </w:tc>
        <w:tc>
          <w:tcPr>
            <w:tcW w:w="1303" w:type="dxa"/>
            <w:vAlign w:val="center"/>
            <w:hideMark/>
          </w:tcPr>
          <w:p w14:paraId="364B69C7"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50.6 ± 12.6</w:t>
            </w:r>
          </w:p>
        </w:tc>
        <w:tc>
          <w:tcPr>
            <w:tcW w:w="1303" w:type="dxa"/>
            <w:vAlign w:val="center"/>
            <w:hideMark/>
          </w:tcPr>
          <w:p w14:paraId="0625D209"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48.6 ± 12.7</w:t>
            </w:r>
          </w:p>
        </w:tc>
        <w:tc>
          <w:tcPr>
            <w:tcW w:w="1303" w:type="dxa"/>
            <w:vAlign w:val="center"/>
            <w:hideMark/>
          </w:tcPr>
          <w:p w14:paraId="73F7557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47.4 ± 15.3</w:t>
            </w:r>
          </w:p>
        </w:tc>
        <w:tc>
          <w:tcPr>
            <w:tcW w:w="1303" w:type="dxa"/>
            <w:vAlign w:val="center"/>
            <w:hideMark/>
          </w:tcPr>
          <w:p w14:paraId="7296D14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46.3 ± 13.1</w:t>
            </w:r>
          </w:p>
        </w:tc>
        <w:tc>
          <w:tcPr>
            <w:tcW w:w="1303" w:type="dxa"/>
            <w:vAlign w:val="center"/>
          </w:tcPr>
          <w:p w14:paraId="1EE6A3C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55.4 ± 13.2</w:t>
            </w:r>
          </w:p>
        </w:tc>
      </w:tr>
      <w:tr w:rsidR="006F7356" w:rsidRPr="00796959" w14:paraId="74A5D083"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6E23F61E"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Sex, n (%)</w:t>
            </w:r>
          </w:p>
        </w:tc>
      </w:tr>
      <w:tr w:rsidR="006F7356" w:rsidRPr="00796959" w14:paraId="47D6E8D0"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83D15EC"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Male</w:t>
            </w:r>
          </w:p>
        </w:tc>
        <w:tc>
          <w:tcPr>
            <w:tcW w:w="1303" w:type="dxa"/>
            <w:vAlign w:val="center"/>
            <w:hideMark/>
          </w:tcPr>
          <w:p w14:paraId="7A7EBA99"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33 (80.5)</w:t>
            </w:r>
          </w:p>
        </w:tc>
        <w:tc>
          <w:tcPr>
            <w:tcW w:w="1303" w:type="dxa"/>
            <w:vAlign w:val="center"/>
            <w:hideMark/>
          </w:tcPr>
          <w:p w14:paraId="6AC984C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32 (84.2)</w:t>
            </w:r>
          </w:p>
        </w:tc>
        <w:tc>
          <w:tcPr>
            <w:tcW w:w="1303" w:type="dxa"/>
            <w:vAlign w:val="center"/>
            <w:hideMark/>
          </w:tcPr>
          <w:p w14:paraId="4FF8AB2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35 (83.3)</w:t>
            </w:r>
          </w:p>
        </w:tc>
        <w:tc>
          <w:tcPr>
            <w:tcW w:w="1303" w:type="dxa"/>
            <w:vAlign w:val="center"/>
            <w:hideMark/>
          </w:tcPr>
          <w:p w14:paraId="11CBBD2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34 (79.1)</w:t>
            </w:r>
          </w:p>
        </w:tc>
        <w:tc>
          <w:tcPr>
            <w:tcW w:w="1303" w:type="dxa"/>
            <w:vAlign w:val="center"/>
          </w:tcPr>
          <w:p w14:paraId="502573C3"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1525 (74.9)</w:t>
            </w:r>
          </w:p>
        </w:tc>
      </w:tr>
      <w:tr w:rsidR="006F7356" w:rsidRPr="00796959" w14:paraId="7B1B2D25"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AAE5FC3"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Female</w:t>
            </w:r>
          </w:p>
        </w:tc>
        <w:tc>
          <w:tcPr>
            <w:tcW w:w="1303" w:type="dxa"/>
            <w:vAlign w:val="center"/>
            <w:hideMark/>
          </w:tcPr>
          <w:p w14:paraId="2E9C7A6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 (19.5)</w:t>
            </w:r>
          </w:p>
        </w:tc>
        <w:tc>
          <w:tcPr>
            <w:tcW w:w="1303" w:type="dxa"/>
            <w:vAlign w:val="center"/>
            <w:hideMark/>
          </w:tcPr>
          <w:p w14:paraId="4410B4F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 (15.8)</w:t>
            </w:r>
          </w:p>
        </w:tc>
        <w:tc>
          <w:tcPr>
            <w:tcW w:w="1303" w:type="dxa"/>
            <w:vAlign w:val="center"/>
            <w:hideMark/>
          </w:tcPr>
          <w:p w14:paraId="4FFAF84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 (16.7)</w:t>
            </w:r>
          </w:p>
        </w:tc>
        <w:tc>
          <w:tcPr>
            <w:tcW w:w="1303" w:type="dxa"/>
            <w:vAlign w:val="center"/>
            <w:hideMark/>
          </w:tcPr>
          <w:p w14:paraId="6A140E3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 (20.9)</w:t>
            </w:r>
          </w:p>
        </w:tc>
        <w:tc>
          <w:tcPr>
            <w:tcW w:w="1303" w:type="dxa"/>
            <w:vAlign w:val="center"/>
          </w:tcPr>
          <w:p w14:paraId="1E71497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511 (25.1)</w:t>
            </w:r>
          </w:p>
        </w:tc>
      </w:tr>
      <w:tr w:rsidR="006F7356" w:rsidRPr="00796959" w14:paraId="79AF46BE"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5C9FCE04"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Race, n (%)</w:t>
            </w:r>
          </w:p>
        </w:tc>
      </w:tr>
      <w:tr w:rsidR="006F7356" w:rsidRPr="00796959" w14:paraId="1D5A5E40"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439D850"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White</w:t>
            </w:r>
          </w:p>
        </w:tc>
        <w:tc>
          <w:tcPr>
            <w:tcW w:w="1303" w:type="dxa"/>
            <w:vAlign w:val="center"/>
            <w:hideMark/>
          </w:tcPr>
          <w:p w14:paraId="4A2C677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25 (61.0)</w:t>
            </w:r>
          </w:p>
        </w:tc>
        <w:tc>
          <w:tcPr>
            <w:tcW w:w="1303" w:type="dxa"/>
            <w:vAlign w:val="center"/>
            <w:hideMark/>
          </w:tcPr>
          <w:p w14:paraId="248A9B2C"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19 (50.0)</w:t>
            </w:r>
          </w:p>
        </w:tc>
        <w:tc>
          <w:tcPr>
            <w:tcW w:w="1303" w:type="dxa"/>
            <w:vAlign w:val="center"/>
            <w:hideMark/>
          </w:tcPr>
          <w:p w14:paraId="746FB76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23 (54.8)</w:t>
            </w:r>
          </w:p>
        </w:tc>
        <w:tc>
          <w:tcPr>
            <w:tcW w:w="1303" w:type="dxa"/>
            <w:noWrap/>
            <w:vAlign w:val="center"/>
            <w:hideMark/>
          </w:tcPr>
          <w:p w14:paraId="7CDB009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22 (51.2)</w:t>
            </w:r>
          </w:p>
        </w:tc>
        <w:tc>
          <w:tcPr>
            <w:tcW w:w="1303" w:type="dxa"/>
            <w:vAlign w:val="center"/>
          </w:tcPr>
          <w:p w14:paraId="78B39B5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1185 (58.2)</w:t>
            </w:r>
          </w:p>
        </w:tc>
      </w:tr>
      <w:tr w:rsidR="006F7356" w:rsidRPr="00796959" w14:paraId="7FA848AE"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2EDE7F6A"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Black</w:t>
            </w:r>
          </w:p>
        </w:tc>
        <w:tc>
          <w:tcPr>
            <w:tcW w:w="1303" w:type="dxa"/>
            <w:vAlign w:val="center"/>
            <w:hideMark/>
          </w:tcPr>
          <w:p w14:paraId="28CAC7E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 (7.3)</w:t>
            </w:r>
          </w:p>
        </w:tc>
        <w:tc>
          <w:tcPr>
            <w:tcW w:w="1303" w:type="dxa"/>
            <w:vAlign w:val="center"/>
            <w:hideMark/>
          </w:tcPr>
          <w:p w14:paraId="0663737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(13.2)</w:t>
            </w:r>
          </w:p>
        </w:tc>
        <w:tc>
          <w:tcPr>
            <w:tcW w:w="1303" w:type="dxa"/>
            <w:vAlign w:val="center"/>
            <w:hideMark/>
          </w:tcPr>
          <w:p w14:paraId="305226F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 (19.0)</w:t>
            </w:r>
          </w:p>
        </w:tc>
        <w:tc>
          <w:tcPr>
            <w:tcW w:w="1303" w:type="dxa"/>
            <w:noWrap/>
            <w:vAlign w:val="center"/>
            <w:hideMark/>
          </w:tcPr>
          <w:p w14:paraId="5AAE10D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 (14.0)</w:t>
            </w:r>
          </w:p>
        </w:tc>
        <w:tc>
          <w:tcPr>
            <w:tcW w:w="1303" w:type="dxa"/>
            <w:vAlign w:val="center"/>
          </w:tcPr>
          <w:p w14:paraId="62CA22D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330 (16.2)</w:t>
            </w:r>
          </w:p>
        </w:tc>
      </w:tr>
      <w:tr w:rsidR="006F7356" w:rsidRPr="00796959" w14:paraId="0C4CD54C"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5F93797"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Hispanic</w:t>
            </w:r>
          </w:p>
        </w:tc>
        <w:tc>
          <w:tcPr>
            <w:tcW w:w="1303" w:type="dxa"/>
            <w:vAlign w:val="center"/>
            <w:hideMark/>
          </w:tcPr>
          <w:p w14:paraId="74D689C6"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 (7.3)</w:t>
            </w:r>
          </w:p>
        </w:tc>
        <w:tc>
          <w:tcPr>
            <w:tcW w:w="1303" w:type="dxa"/>
            <w:vAlign w:val="center"/>
            <w:hideMark/>
          </w:tcPr>
          <w:p w14:paraId="65705CC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 (18.4)</w:t>
            </w:r>
          </w:p>
        </w:tc>
        <w:tc>
          <w:tcPr>
            <w:tcW w:w="1303" w:type="dxa"/>
            <w:vAlign w:val="center"/>
            <w:hideMark/>
          </w:tcPr>
          <w:p w14:paraId="22A31A4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(4.8)</w:t>
            </w:r>
          </w:p>
        </w:tc>
        <w:tc>
          <w:tcPr>
            <w:tcW w:w="1303" w:type="dxa"/>
            <w:noWrap/>
            <w:vAlign w:val="center"/>
            <w:hideMark/>
          </w:tcPr>
          <w:p w14:paraId="6633D82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(11.6)</w:t>
            </w:r>
          </w:p>
        </w:tc>
        <w:tc>
          <w:tcPr>
            <w:tcW w:w="1303" w:type="dxa"/>
            <w:vAlign w:val="center"/>
          </w:tcPr>
          <w:p w14:paraId="6DF9340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125 (6.1)</w:t>
            </w:r>
          </w:p>
        </w:tc>
      </w:tr>
      <w:tr w:rsidR="006F7356" w:rsidRPr="00796959" w14:paraId="38C0149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A9F6A4C"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Asian/Pacific Islander</w:t>
            </w:r>
          </w:p>
        </w:tc>
        <w:tc>
          <w:tcPr>
            <w:tcW w:w="1303" w:type="dxa"/>
            <w:vAlign w:val="center"/>
            <w:hideMark/>
          </w:tcPr>
          <w:p w14:paraId="50BDCD7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(4.9)</w:t>
            </w:r>
          </w:p>
        </w:tc>
        <w:tc>
          <w:tcPr>
            <w:tcW w:w="1303" w:type="dxa"/>
            <w:vAlign w:val="center"/>
            <w:hideMark/>
          </w:tcPr>
          <w:p w14:paraId="1C7FF86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7469DE7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(2.4)</w:t>
            </w:r>
          </w:p>
        </w:tc>
        <w:tc>
          <w:tcPr>
            <w:tcW w:w="1303" w:type="dxa"/>
            <w:noWrap/>
            <w:vAlign w:val="center"/>
            <w:hideMark/>
          </w:tcPr>
          <w:p w14:paraId="1C883A8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 (9.3)</w:t>
            </w:r>
          </w:p>
        </w:tc>
        <w:tc>
          <w:tcPr>
            <w:tcW w:w="1303" w:type="dxa"/>
            <w:vAlign w:val="center"/>
          </w:tcPr>
          <w:p w14:paraId="313AD312"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44 (2.2)</w:t>
            </w:r>
          </w:p>
        </w:tc>
      </w:tr>
      <w:tr w:rsidR="006F7356" w:rsidRPr="00796959" w14:paraId="0C31042C"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BE27710"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Native American</w:t>
            </w:r>
          </w:p>
        </w:tc>
        <w:tc>
          <w:tcPr>
            <w:tcW w:w="1303" w:type="dxa"/>
            <w:vAlign w:val="center"/>
            <w:hideMark/>
          </w:tcPr>
          <w:p w14:paraId="79FE7FF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3380412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5A50834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noWrap/>
            <w:vAlign w:val="center"/>
            <w:hideMark/>
          </w:tcPr>
          <w:p w14:paraId="5DCA372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tcPr>
          <w:p w14:paraId="31B1C72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(0.2)</w:t>
            </w:r>
          </w:p>
        </w:tc>
      </w:tr>
      <w:tr w:rsidR="006F7356" w:rsidRPr="00796959" w14:paraId="38501ABA"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4F79D4E4"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Other or unknown</w:t>
            </w:r>
          </w:p>
        </w:tc>
        <w:tc>
          <w:tcPr>
            <w:tcW w:w="1303" w:type="dxa"/>
            <w:vAlign w:val="center"/>
            <w:hideMark/>
          </w:tcPr>
          <w:p w14:paraId="0FE8FE8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 (19.5)</w:t>
            </w:r>
          </w:p>
        </w:tc>
        <w:tc>
          <w:tcPr>
            <w:tcW w:w="1303" w:type="dxa"/>
            <w:vAlign w:val="center"/>
            <w:hideMark/>
          </w:tcPr>
          <w:p w14:paraId="787A4B4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 (18.4)</w:t>
            </w:r>
          </w:p>
        </w:tc>
        <w:tc>
          <w:tcPr>
            <w:tcW w:w="1303" w:type="dxa"/>
            <w:vAlign w:val="center"/>
            <w:hideMark/>
          </w:tcPr>
          <w:p w14:paraId="06A5C2E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 (19.0)</w:t>
            </w:r>
          </w:p>
        </w:tc>
        <w:tc>
          <w:tcPr>
            <w:tcW w:w="1303" w:type="dxa"/>
            <w:noWrap/>
            <w:vAlign w:val="center"/>
            <w:hideMark/>
          </w:tcPr>
          <w:p w14:paraId="2032B3B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 (14.0)</w:t>
            </w:r>
          </w:p>
        </w:tc>
        <w:tc>
          <w:tcPr>
            <w:tcW w:w="1303" w:type="dxa"/>
            <w:vAlign w:val="center"/>
          </w:tcPr>
          <w:p w14:paraId="54255C3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347 (17.0)</w:t>
            </w:r>
          </w:p>
        </w:tc>
      </w:tr>
      <w:tr w:rsidR="006F7356" w:rsidRPr="00796959" w14:paraId="4238268D"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741E1C7F"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Median household income, n (%)</w:t>
            </w:r>
          </w:p>
        </w:tc>
      </w:tr>
      <w:tr w:rsidR="006F7356" w:rsidRPr="00796959" w14:paraId="50485687"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F2BD725"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$1-24,999</w:t>
            </w:r>
          </w:p>
        </w:tc>
        <w:tc>
          <w:tcPr>
            <w:tcW w:w="1303" w:type="dxa"/>
            <w:vAlign w:val="center"/>
            <w:hideMark/>
          </w:tcPr>
          <w:p w14:paraId="4FE9A42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 (9.8)</w:t>
            </w:r>
          </w:p>
        </w:tc>
        <w:tc>
          <w:tcPr>
            <w:tcW w:w="1303" w:type="dxa"/>
            <w:vAlign w:val="center"/>
            <w:hideMark/>
          </w:tcPr>
          <w:p w14:paraId="514BFE0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 (21.1)</w:t>
            </w:r>
          </w:p>
        </w:tc>
        <w:tc>
          <w:tcPr>
            <w:tcW w:w="1303" w:type="dxa"/>
            <w:vAlign w:val="center"/>
            <w:hideMark/>
          </w:tcPr>
          <w:p w14:paraId="6B5D4EC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 (19.0)</w:t>
            </w:r>
          </w:p>
        </w:tc>
        <w:tc>
          <w:tcPr>
            <w:tcW w:w="1303" w:type="dxa"/>
            <w:vAlign w:val="center"/>
            <w:hideMark/>
          </w:tcPr>
          <w:p w14:paraId="75A3E1E9"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 (18.6)</w:t>
            </w:r>
          </w:p>
        </w:tc>
        <w:tc>
          <w:tcPr>
            <w:tcW w:w="1303" w:type="dxa"/>
            <w:vAlign w:val="center"/>
          </w:tcPr>
          <w:p w14:paraId="2B1E9BB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447 (22.0)</w:t>
            </w:r>
          </w:p>
        </w:tc>
      </w:tr>
      <w:tr w:rsidR="006F7356" w:rsidRPr="00796959" w14:paraId="63792C0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22C68D7"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$25,000-34,999</w:t>
            </w:r>
          </w:p>
        </w:tc>
        <w:tc>
          <w:tcPr>
            <w:tcW w:w="1303" w:type="dxa"/>
            <w:vAlign w:val="center"/>
            <w:hideMark/>
          </w:tcPr>
          <w:p w14:paraId="7CBEB3E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10 (24.4)</w:t>
            </w:r>
          </w:p>
        </w:tc>
        <w:tc>
          <w:tcPr>
            <w:tcW w:w="1303" w:type="dxa"/>
            <w:vAlign w:val="center"/>
            <w:hideMark/>
          </w:tcPr>
          <w:p w14:paraId="3B07AC4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10 (26.3)</w:t>
            </w:r>
          </w:p>
        </w:tc>
        <w:tc>
          <w:tcPr>
            <w:tcW w:w="1303" w:type="dxa"/>
            <w:vAlign w:val="center"/>
            <w:hideMark/>
          </w:tcPr>
          <w:p w14:paraId="30694C8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10 (23.8)</w:t>
            </w:r>
          </w:p>
        </w:tc>
        <w:tc>
          <w:tcPr>
            <w:tcW w:w="1303" w:type="dxa"/>
            <w:vAlign w:val="center"/>
            <w:hideMark/>
          </w:tcPr>
          <w:p w14:paraId="52A8BE7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 (16.3)</w:t>
            </w:r>
          </w:p>
        </w:tc>
        <w:tc>
          <w:tcPr>
            <w:tcW w:w="1303" w:type="dxa"/>
            <w:vAlign w:val="center"/>
          </w:tcPr>
          <w:p w14:paraId="2EA0A22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454 (22.3)</w:t>
            </w:r>
          </w:p>
        </w:tc>
      </w:tr>
      <w:tr w:rsidR="006F7356" w:rsidRPr="00796959" w14:paraId="3EACFD1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A9AC011"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$35,000-44,999</w:t>
            </w:r>
          </w:p>
        </w:tc>
        <w:tc>
          <w:tcPr>
            <w:tcW w:w="1303" w:type="dxa"/>
            <w:vAlign w:val="center"/>
            <w:hideMark/>
          </w:tcPr>
          <w:p w14:paraId="5DC7168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 (29.3)</w:t>
            </w:r>
          </w:p>
        </w:tc>
        <w:tc>
          <w:tcPr>
            <w:tcW w:w="1303" w:type="dxa"/>
            <w:vAlign w:val="center"/>
            <w:hideMark/>
          </w:tcPr>
          <w:p w14:paraId="39B733E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 (21.1)</w:t>
            </w:r>
          </w:p>
        </w:tc>
        <w:tc>
          <w:tcPr>
            <w:tcW w:w="1303" w:type="dxa"/>
            <w:vAlign w:val="center"/>
            <w:hideMark/>
          </w:tcPr>
          <w:p w14:paraId="444EBAA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10 (23.8)</w:t>
            </w:r>
          </w:p>
        </w:tc>
        <w:tc>
          <w:tcPr>
            <w:tcW w:w="1303" w:type="dxa"/>
            <w:vAlign w:val="center"/>
            <w:hideMark/>
          </w:tcPr>
          <w:p w14:paraId="1B5B3FB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13 (30.2)</w:t>
            </w:r>
          </w:p>
        </w:tc>
        <w:tc>
          <w:tcPr>
            <w:tcW w:w="1303" w:type="dxa"/>
            <w:vAlign w:val="center"/>
          </w:tcPr>
          <w:p w14:paraId="16A7CE9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509 (25.0)</w:t>
            </w:r>
          </w:p>
        </w:tc>
      </w:tr>
      <w:tr w:rsidR="006F7356" w:rsidRPr="00796959" w14:paraId="0AFF4DB8"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D759EAB"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$45,000 or more</w:t>
            </w:r>
          </w:p>
        </w:tc>
        <w:tc>
          <w:tcPr>
            <w:tcW w:w="1303" w:type="dxa"/>
            <w:vAlign w:val="center"/>
            <w:hideMark/>
          </w:tcPr>
          <w:p w14:paraId="7454B4A6"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 9 (29.3)</w:t>
            </w:r>
          </w:p>
        </w:tc>
        <w:tc>
          <w:tcPr>
            <w:tcW w:w="1303" w:type="dxa"/>
            <w:vAlign w:val="center"/>
            <w:hideMark/>
          </w:tcPr>
          <w:p w14:paraId="70A33CC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 (31.6)</w:t>
            </w:r>
          </w:p>
        </w:tc>
        <w:tc>
          <w:tcPr>
            <w:tcW w:w="1303" w:type="dxa"/>
            <w:vAlign w:val="center"/>
            <w:hideMark/>
          </w:tcPr>
          <w:p w14:paraId="415FEE3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14 (33.3)</w:t>
            </w:r>
          </w:p>
        </w:tc>
        <w:tc>
          <w:tcPr>
            <w:tcW w:w="1303" w:type="dxa"/>
            <w:vAlign w:val="center"/>
            <w:hideMark/>
          </w:tcPr>
          <w:p w14:paraId="1842B64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14 (32.6)</w:t>
            </w:r>
          </w:p>
        </w:tc>
        <w:tc>
          <w:tcPr>
            <w:tcW w:w="1303" w:type="dxa"/>
            <w:vAlign w:val="center"/>
          </w:tcPr>
          <w:p w14:paraId="5257BD2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579 (28.4)</w:t>
            </w:r>
          </w:p>
        </w:tc>
      </w:tr>
      <w:tr w:rsidR="006F7356" w:rsidRPr="00796959" w14:paraId="6C9C6C4E"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F553E31"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Unknown</w:t>
            </w:r>
          </w:p>
        </w:tc>
        <w:tc>
          <w:tcPr>
            <w:tcW w:w="1303" w:type="dxa"/>
            <w:vAlign w:val="center"/>
            <w:hideMark/>
          </w:tcPr>
          <w:p w14:paraId="043FE06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 (7.3)</w:t>
            </w:r>
          </w:p>
        </w:tc>
        <w:tc>
          <w:tcPr>
            <w:tcW w:w="1303" w:type="dxa"/>
            <w:vAlign w:val="center"/>
            <w:hideMark/>
          </w:tcPr>
          <w:p w14:paraId="219099F9"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436FB50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2F80CA0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(2.3)</w:t>
            </w:r>
          </w:p>
        </w:tc>
        <w:tc>
          <w:tcPr>
            <w:tcW w:w="1303" w:type="dxa"/>
            <w:vAlign w:val="center"/>
          </w:tcPr>
          <w:p w14:paraId="7AD2308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47 (2.3)</w:t>
            </w:r>
          </w:p>
        </w:tc>
      </w:tr>
      <w:tr w:rsidR="006F7356" w:rsidRPr="00796959" w14:paraId="6F3CF020"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47F3CE44"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Comorbidities</w:t>
            </w:r>
          </w:p>
        </w:tc>
      </w:tr>
      <w:tr w:rsidR="006F7356" w:rsidRPr="00796959" w14:paraId="5FDB2408"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FD4EB45"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Diabetes</w:t>
            </w:r>
          </w:p>
        </w:tc>
        <w:tc>
          <w:tcPr>
            <w:tcW w:w="1303" w:type="dxa"/>
            <w:vAlign w:val="center"/>
            <w:hideMark/>
          </w:tcPr>
          <w:p w14:paraId="7652826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 (19.5)</w:t>
            </w:r>
          </w:p>
        </w:tc>
        <w:tc>
          <w:tcPr>
            <w:tcW w:w="1303" w:type="dxa"/>
            <w:vAlign w:val="center"/>
            <w:hideMark/>
          </w:tcPr>
          <w:p w14:paraId="5662203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(13.2)</w:t>
            </w:r>
          </w:p>
        </w:tc>
        <w:tc>
          <w:tcPr>
            <w:tcW w:w="1303" w:type="dxa"/>
            <w:vAlign w:val="center"/>
            <w:hideMark/>
          </w:tcPr>
          <w:p w14:paraId="0D7B5DD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 (9.5)</w:t>
            </w:r>
          </w:p>
        </w:tc>
        <w:tc>
          <w:tcPr>
            <w:tcW w:w="1303" w:type="dxa"/>
            <w:noWrap/>
            <w:vAlign w:val="center"/>
            <w:hideMark/>
          </w:tcPr>
          <w:p w14:paraId="50CCA66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(4.7)</w:t>
            </w:r>
          </w:p>
        </w:tc>
        <w:tc>
          <w:tcPr>
            <w:tcW w:w="1303" w:type="dxa"/>
            <w:vAlign w:val="center"/>
          </w:tcPr>
          <w:p w14:paraId="56178877"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373 (18.3)</w:t>
            </w:r>
          </w:p>
        </w:tc>
      </w:tr>
      <w:tr w:rsidR="006F7356" w:rsidRPr="00796959" w14:paraId="7673E468"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50228D6"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Hyperlipidemia</w:t>
            </w:r>
          </w:p>
        </w:tc>
        <w:tc>
          <w:tcPr>
            <w:tcW w:w="1303" w:type="dxa"/>
            <w:vAlign w:val="center"/>
            <w:hideMark/>
          </w:tcPr>
          <w:p w14:paraId="6EE5831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(12.2)</w:t>
            </w:r>
          </w:p>
        </w:tc>
        <w:tc>
          <w:tcPr>
            <w:tcW w:w="1303" w:type="dxa"/>
            <w:vAlign w:val="center"/>
            <w:hideMark/>
          </w:tcPr>
          <w:p w14:paraId="75E2F22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(5.3)</w:t>
            </w:r>
          </w:p>
        </w:tc>
        <w:tc>
          <w:tcPr>
            <w:tcW w:w="1303" w:type="dxa"/>
            <w:vAlign w:val="center"/>
            <w:hideMark/>
          </w:tcPr>
          <w:p w14:paraId="1E71AD0C"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 (7.1)</w:t>
            </w:r>
          </w:p>
        </w:tc>
        <w:tc>
          <w:tcPr>
            <w:tcW w:w="1303" w:type="dxa"/>
            <w:noWrap/>
            <w:vAlign w:val="center"/>
            <w:hideMark/>
          </w:tcPr>
          <w:p w14:paraId="0A08733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 (7.0)</w:t>
            </w:r>
          </w:p>
        </w:tc>
        <w:tc>
          <w:tcPr>
            <w:tcW w:w="1303" w:type="dxa"/>
            <w:vAlign w:val="center"/>
          </w:tcPr>
          <w:p w14:paraId="0138ADE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297 (14.6)</w:t>
            </w:r>
          </w:p>
        </w:tc>
      </w:tr>
      <w:tr w:rsidR="006F7356" w:rsidRPr="00796959" w14:paraId="7C602C1A"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70E6F27"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Hypertension</w:t>
            </w:r>
          </w:p>
        </w:tc>
        <w:tc>
          <w:tcPr>
            <w:tcW w:w="1303" w:type="dxa"/>
            <w:vAlign w:val="center"/>
            <w:hideMark/>
          </w:tcPr>
          <w:p w14:paraId="5FCB1CD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(12.2)</w:t>
            </w:r>
          </w:p>
        </w:tc>
        <w:tc>
          <w:tcPr>
            <w:tcW w:w="1303" w:type="dxa"/>
            <w:vAlign w:val="center"/>
            <w:hideMark/>
          </w:tcPr>
          <w:p w14:paraId="0E1E0647"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(2.6)</w:t>
            </w:r>
          </w:p>
        </w:tc>
        <w:tc>
          <w:tcPr>
            <w:tcW w:w="1303" w:type="dxa"/>
            <w:vAlign w:val="center"/>
            <w:hideMark/>
          </w:tcPr>
          <w:p w14:paraId="30E37EA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(4.8)</w:t>
            </w:r>
          </w:p>
        </w:tc>
        <w:tc>
          <w:tcPr>
            <w:tcW w:w="1303" w:type="dxa"/>
            <w:noWrap/>
            <w:vAlign w:val="center"/>
            <w:hideMark/>
          </w:tcPr>
          <w:p w14:paraId="227F851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(4.7)</w:t>
            </w:r>
          </w:p>
        </w:tc>
        <w:tc>
          <w:tcPr>
            <w:tcW w:w="1303" w:type="dxa"/>
            <w:vAlign w:val="center"/>
          </w:tcPr>
          <w:p w14:paraId="1122BAA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291 (14.3)</w:t>
            </w:r>
          </w:p>
        </w:tc>
      </w:tr>
      <w:tr w:rsidR="006F7356" w:rsidRPr="00796959" w14:paraId="2AC5BDFC"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088D690"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History of smoking</w:t>
            </w:r>
          </w:p>
        </w:tc>
        <w:tc>
          <w:tcPr>
            <w:tcW w:w="1303" w:type="dxa"/>
            <w:vAlign w:val="center"/>
            <w:hideMark/>
          </w:tcPr>
          <w:p w14:paraId="6C9C023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(12.2)</w:t>
            </w:r>
          </w:p>
        </w:tc>
        <w:tc>
          <w:tcPr>
            <w:tcW w:w="1303" w:type="dxa"/>
            <w:vAlign w:val="center"/>
            <w:hideMark/>
          </w:tcPr>
          <w:p w14:paraId="380CEE43"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(5.3)</w:t>
            </w:r>
          </w:p>
        </w:tc>
        <w:tc>
          <w:tcPr>
            <w:tcW w:w="1303" w:type="dxa"/>
            <w:vAlign w:val="center"/>
            <w:hideMark/>
          </w:tcPr>
          <w:p w14:paraId="631D5FDF"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noWrap/>
            <w:vAlign w:val="center"/>
            <w:hideMark/>
          </w:tcPr>
          <w:p w14:paraId="78F3DE8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tcPr>
          <w:p w14:paraId="3EADC0AF"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137 (6.7)</w:t>
            </w:r>
          </w:p>
        </w:tc>
      </w:tr>
      <w:tr w:rsidR="006F7356" w:rsidRPr="00796959" w14:paraId="4285E276"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F16402A"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BMI ≥ 30 kg/m</w:t>
            </w:r>
            <w:r w:rsidRPr="00796959">
              <w:rPr>
                <w:rFonts w:ascii="Book Antiqua" w:eastAsia="Times New Roman" w:hAnsi="Book Antiqua" w:cs="Arial"/>
                <w:b w:val="0"/>
                <w:color w:val="000000"/>
                <w:sz w:val="24"/>
                <w:szCs w:val="24"/>
                <w:vertAlign w:val="superscript"/>
              </w:rPr>
              <w:t>2</w:t>
            </w:r>
          </w:p>
        </w:tc>
        <w:tc>
          <w:tcPr>
            <w:tcW w:w="1303" w:type="dxa"/>
            <w:vAlign w:val="center"/>
            <w:hideMark/>
          </w:tcPr>
          <w:p w14:paraId="13A8806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425192C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4E77D293"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noWrap/>
            <w:vAlign w:val="center"/>
            <w:hideMark/>
          </w:tcPr>
          <w:p w14:paraId="65D630C9"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tcPr>
          <w:p w14:paraId="651A71A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96 (4.7)</w:t>
            </w:r>
          </w:p>
        </w:tc>
      </w:tr>
      <w:tr w:rsidR="006F7356" w:rsidRPr="00796959" w14:paraId="7557C704"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254DB2D1"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Number of comorbid diagnoses, mean ± SD</w:t>
            </w:r>
          </w:p>
        </w:tc>
        <w:tc>
          <w:tcPr>
            <w:tcW w:w="1303" w:type="dxa"/>
            <w:vAlign w:val="center"/>
            <w:hideMark/>
          </w:tcPr>
          <w:p w14:paraId="30D1CF9F"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11.9 ± 3.1</w:t>
            </w:r>
          </w:p>
        </w:tc>
        <w:tc>
          <w:tcPr>
            <w:tcW w:w="1303" w:type="dxa"/>
            <w:vAlign w:val="center"/>
            <w:hideMark/>
          </w:tcPr>
          <w:p w14:paraId="7C16DC7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12.3 ± 3.0</w:t>
            </w:r>
          </w:p>
        </w:tc>
        <w:tc>
          <w:tcPr>
            <w:tcW w:w="1303" w:type="dxa"/>
            <w:vAlign w:val="center"/>
            <w:hideMark/>
          </w:tcPr>
          <w:p w14:paraId="14152CBC"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12.5 ± 3.2</w:t>
            </w:r>
          </w:p>
        </w:tc>
        <w:tc>
          <w:tcPr>
            <w:tcW w:w="1303" w:type="dxa"/>
            <w:vAlign w:val="center"/>
            <w:hideMark/>
          </w:tcPr>
          <w:p w14:paraId="0B61D7E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12.5 ± 3.2</w:t>
            </w:r>
          </w:p>
        </w:tc>
        <w:tc>
          <w:tcPr>
            <w:tcW w:w="1303" w:type="dxa"/>
            <w:vAlign w:val="center"/>
          </w:tcPr>
          <w:p w14:paraId="43A3935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12.8 ± 2.9</w:t>
            </w:r>
          </w:p>
        </w:tc>
      </w:tr>
      <w:tr w:rsidR="006F7356" w:rsidRPr="00796959" w14:paraId="5DB9A628"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437AEBEC"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Location of hospital, n (%)</w:t>
            </w:r>
          </w:p>
        </w:tc>
      </w:tr>
      <w:tr w:rsidR="006F7356" w:rsidRPr="00796959" w14:paraId="20DD6479"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36283C2D"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Rural</w:t>
            </w:r>
          </w:p>
        </w:tc>
        <w:tc>
          <w:tcPr>
            <w:tcW w:w="1303" w:type="dxa"/>
            <w:vAlign w:val="center"/>
            <w:hideMark/>
          </w:tcPr>
          <w:p w14:paraId="4099568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559A2EA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16FC5E7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6AC0ABA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tcPr>
          <w:p w14:paraId="7C854CB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17 (0.8)</w:t>
            </w:r>
          </w:p>
        </w:tc>
      </w:tr>
      <w:tr w:rsidR="006F7356" w:rsidRPr="00796959" w14:paraId="4E453B6F"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686434D2"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Urban</w:t>
            </w:r>
          </w:p>
        </w:tc>
        <w:tc>
          <w:tcPr>
            <w:tcW w:w="1303" w:type="dxa"/>
            <w:vAlign w:val="center"/>
            <w:hideMark/>
          </w:tcPr>
          <w:p w14:paraId="674B455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41 (100.0)</w:t>
            </w:r>
          </w:p>
        </w:tc>
        <w:tc>
          <w:tcPr>
            <w:tcW w:w="1303" w:type="dxa"/>
            <w:vAlign w:val="center"/>
            <w:hideMark/>
          </w:tcPr>
          <w:p w14:paraId="4DAFE76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38 (100.0)</w:t>
            </w:r>
          </w:p>
        </w:tc>
        <w:tc>
          <w:tcPr>
            <w:tcW w:w="1303" w:type="dxa"/>
            <w:vAlign w:val="center"/>
            <w:hideMark/>
          </w:tcPr>
          <w:p w14:paraId="704D619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42 (100.0)</w:t>
            </w:r>
          </w:p>
        </w:tc>
        <w:tc>
          <w:tcPr>
            <w:tcW w:w="1303" w:type="dxa"/>
            <w:vAlign w:val="center"/>
            <w:hideMark/>
          </w:tcPr>
          <w:p w14:paraId="63A5AB6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43 (100.0)</w:t>
            </w:r>
          </w:p>
        </w:tc>
        <w:tc>
          <w:tcPr>
            <w:tcW w:w="1303" w:type="dxa"/>
            <w:vAlign w:val="center"/>
          </w:tcPr>
          <w:p w14:paraId="65AD8E9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2017 (99.1)</w:t>
            </w:r>
          </w:p>
        </w:tc>
      </w:tr>
      <w:tr w:rsidR="006F7356" w:rsidRPr="00796959" w14:paraId="2D8D66EC"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105EAB7"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Unknown</w:t>
            </w:r>
          </w:p>
        </w:tc>
        <w:tc>
          <w:tcPr>
            <w:tcW w:w="1303" w:type="dxa"/>
            <w:vAlign w:val="center"/>
            <w:hideMark/>
          </w:tcPr>
          <w:p w14:paraId="6B0A3CB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02C7B783"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42D7C24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6A4505A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tcPr>
          <w:p w14:paraId="74F6725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(0.1)</w:t>
            </w:r>
          </w:p>
        </w:tc>
      </w:tr>
      <w:tr w:rsidR="006F7356" w:rsidRPr="00796959" w14:paraId="6389081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24B23431"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Size of hospital, n (%)</w:t>
            </w:r>
          </w:p>
        </w:tc>
      </w:tr>
      <w:tr w:rsidR="006F7356" w:rsidRPr="00796959" w14:paraId="55C74CC7"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1B07BDA9"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Small</w:t>
            </w:r>
          </w:p>
        </w:tc>
        <w:tc>
          <w:tcPr>
            <w:tcW w:w="1303" w:type="dxa"/>
            <w:vAlign w:val="center"/>
            <w:hideMark/>
          </w:tcPr>
          <w:p w14:paraId="1303C06F"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 (9.8)</w:t>
            </w:r>
          </w:p>
        </w:tc>
        <w:tc>
          <w:tcPr>
            <w:tcW w:w="1303" w:type="dxa"/>
            <w:vAlign w:val="center"/>
            <w:hideMark/>
          </w:tcPr>
          <w:p w14:paraId="11FA131B"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41BBAFC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58541FC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(4.7)</w:t>
            </w:r>
          </w:p>
        </w:tc>
        <w:tc>
          <w:tcPr>
            <w:tcW w:w="1303" w:type="dxa"/>
            <w:vAlign w:val="center"/>
          </w:tcPr>
          <w:p w14:paraId="2E53894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32 (1.6)</w:t>
            </w:r>
          </w:p>
        </w:tc>
      </w:tr>
      <w:tr w:rsidR="006F7356" w:rsidRPr="00796959" w14:paraId="4E42F18F"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59D94728"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Medium</w:t>
            </w:r>
          </w:p>
        </w:tc>
        <w:tc>
          <w:tcPr>
            <w:tcW w:w="1303" w:type="dxa"/>
            <w:vAlign w:val="center"/>
            <w:hideMark/>
          </w:tcPr>
          <w:p w14:paraId="7F8BB3B3"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 (17.0)</w:t>
            </w:r>
          </w:p>
        </w:tc>
        <w:tc>
          <w:tcPr>
            <w:tcW w:w="1303" w:type="dxa"/>
            <w:vAlign w:val="center"/>
            <w:hideMark/>
          </w:tcPr>
          <w:p w14:paraId="2D79E8F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 (15.8)</w:t>
            </w:r>
          </w:p>
        </w:tc>
        <w:tc>
          <w:tcPr>
            <w:tcW w:w="1303" w:type="dxa"/>
            <w:vAlign w:val="center"/>
            <w:hideMark/>
          </w:tcPr>
          <w:p w14:paraId="38EC21A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(11.9)</w:t>
            </w:r>
          </w:p>
        </w:tc>
        <w:tc>
          <w:tcPr>
            <w:tcW w:w="1303" w:type="dxa"/>
            <w:vAlign w:val="center"/>
            <w:hideMark/>
          </w:tcPr>
          <w:p w14:paraId="55D2F0A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tcPr>
          <w:p w14:paraId="18674EB3"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211 (10.4)</w:t>
            </w:r>
          </w:p>
        </w:tc>
      </w:tr>
      <w:tr w:rsidR="006F7356" w:rsidRPr="00796959" w14:paraId="45E1096A"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939CE31"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Large</w:t>
            </w:r>
          </w:p>
        </w:tc>
        <w:tc>
          <w:tcPr>
            <w:tcW w:w="1303" w:type="dxa"/>
            <w:vAlign w:val="center"/>
            <w:hideMark/>
          </w:tcPr>
          <w:p w14:paraId="39A8267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30 (73.2)</w:t>
            </w:r>
          </w:p>
        </w:tc>
        <w:tc>
          <w:tcPr>
            <w:tcW w:w="1303" w:type="dxa"/>
            <w:vAlign w:val="center"/>
            <w:hideMark/>
          </w:tcPr>
          <w:p w14:paraId="02D75B4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32 (84.2)</w:t>
            </w:r>
          </w:p>
        </w:tc>
        <w:tc>
          <w:tcPr>
            <w:tcW w:w="1303" w:type="dxa"/>
            <w:vAlign w:val="center"/>
            <w:hideMark/>
          </w:tcPr>
          <w:p w14:paraId="1AD4617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37 (88.1)</w:t>
            </w:r>
          </w:p>
        </w:tc>
        <w:tc>
          <w:tcPr>
            <w:tcW w:w="1303" w:type="dxa"/>
            <w:vAlign w:val="center"/>
            <w:hideMark/>
          </w:tcPr>
          <w:p w14:paraId="60AB18EC"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41 (95.3)</w:t>
            </w:r>
          </w:p>
        </w:tc>
        <w:tc>
          <w:tcPr>
            <w:tcW w:w="1303" w:type="dxa"/>
            <w:vAlign w:val="center"/>
          </w:tcPr>
          <w:p w14:paraId="1EE803A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1791 (88.0)</w:t>
            </w:r>
          </w:p>
        </w:tc>
      </w:tr>
      <w:tr w:rsidR="006F7356" w:rsidRPr="00796959" w14:paraId="2BB459E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653308FD"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Unknown</w:t>
            </w:r>
          </w:p>
        </w:tc>
        <w:tc>
          <w:tcPr>
            <w:tcW w:w="1303" w:type="dxa"/>
            <w:vAlign w:val="center"/>
            <w:hideMark/>
          </w:tcPr>
          <w:p w14:paraId="71ECB7C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2154819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41FCBF19"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hideMark/>
          </w:tcPr>
          <w:p w14:paraId="183BE6D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vAlign w:val="center"/>
          </w:tcPr>
          <w:p w14:paraId="4D14A2B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(0.1)</w:t>
            </w:r>
          </w:p>
        </w:tc>
      </w:tr>
      <w:tr w:rsidR="006F7356" w:rsidRPr="00796959" w14:paraId="589C87AE"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10615" w:type="dxa"/>
            <w:gridSpan w:val="6"/>
            <w:vAlign w:val="center"/>
            <w:hideMark/>
          </w:tcPr>
          <w:p w14:paraId="40E97E3B"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Teaching status of hospital, n (%)</w:t>
            </w:r>
          </w:p>
        </w:tc>
      </w:tr>
      <w:tr w:rsidR="006F7356" w:rsidRPr="00796959" w14:paraId="76FD7E4E"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080E0DC8"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Nonteaching</w:t>
            </w:r>
          </w:p>
        </w:tc>
        <w:tc>
          <w:tcPr>
            <w:tcW w:w="1303" w:type="dxa"/>
            <w:vAlign w:val="center"/>
            <w:hideMark/>
          </w:tcPr>
          <w:p w14:paraId="1E3376E4"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(2.4)</w:t>
            </w:r>
          </w:p>
        </w:tc>
        <w:tc>
          <w:tcPr>
            <w:tcW w:w="1303" w:type="dxa"/>
            <w:vAlign w:val="center"/>
            <w:hideMark/>
          </w:tcPr>
          <w:p w14:paraId="3764DC6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(2.6)</w:t>
            </w:r>
          </w:p>
        </w:tc>
        <w:tc>
          <w:tcPr>
            <w:tcW w:w="1303" w:type="dxa"/>
            <w:vAlign w:val="center"/>
            <w:hideMark/>
          </w:tcPr>
          <w:p w14:paraId="336716A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(4.8)</w:t>
            </w:r>
          </w:p>
        </w:tc>
        <w:tc>
          <w:tcPr>
            <w:tcW w:w="1303" w:type="dxa"/>
            <w:vAlign w:val="center"/>
            <w:hideMark/>
          </w:tcPr>
          <w:p w14:paraId="14DD0553"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(2.3)</w:t>
            </w:r>
          </w:p>
        </w:tc>
        <w:tc>
          <w:tcPr>
            <w:tcW w:w="1303" w:type="dxa"/>
            <w:vAlign w:val="center"/>
          </w:tcPr>
          <w:p w14:paraId="7E21EFE7"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160 (7.9)</w:t>
            </w:r>
          </w:p>
        </w:tc>
      </w:tr>
      <w:tr w:rsidR="006F7356" w:rsidRPr="00796959" w14:paraId="3E05C2D8"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vAlign w:val="center"/>
            <w:hideMark/>
          </w:tcPr>
          <w:p w14:paraId="75E36D3F"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Teaching</w:t>
            </w:r>
          </w:p>
        </w:tc>
        <w:tc>
          <w:tcPr>
            <w:tcW w:w="1303" w:type="dxa"/>
            <w:vAlign w:val="center"/>
            <w:hideMark/>
          </w:tcPr>
          <w:p w14:paraId="30E2EDEB"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40 (97.6)</w:t>
            </w:r>
          </w:p>
        </w:tc>
        <w:tc>
          <w:tcPr>
            <w:tcW w:w="1303" w:type="dxa"/>
            <w:vAlign w:val="center"/>
            <w:hideMark/>
          </w:tcPr>
          <w:p w14:paraId="0CCE16BB"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37 (97.4)</w:t>
            </w:r>
          </w:p>
        </w:tc>
        <w:tc>
          <w:tcPr>
            <w:tcW w:w="1303" w:type="dxa"/>
            <w:vAlign w:val="center"/>
            <w:hideMark/>
          </w:tcPr>
          <w:p w14:paraId="594ACCE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40 (95.2)</w:t>
            </w:r>
          </w:p>
        </w:tc>
        <w:tc>
          <w:tcPr>
            <w:tcW w:w="1303" w:type="dxa"/>
            <w:vAlign w:val="center"/>
            <w:hideMark/>
          </w:tcPr>
          <w:p w14:paraId="25A403B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42 (97.7)</w:t>
            </w:r>
          </w:p>
        </w:tc>
        <w:tc>
          <w:tcPr>
            <w:tcW w:w="1303" w:type="dxa"/>
            <w:vAlign w:val="center"/>
          </w:tcPr>
          <w:p w14:paraId="202EC9F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1874 (92.0)</w:t>
            </w:r>
          </w:p>
        </w:tc>
      </w:tr>
      <w:tr w:rsidR="006F7356" w:rsidRPr="00796959" w14:paraId="56EAD009"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100" w:type="dxa"/>
            <w:tcBorders>
              <w:bottom w:val="single" w:sz="8" w:space="0" w:color="auto"/>
            </w:tcBorders>
            <w:vAlign w:val="center"/>
            <w:hideMark/>
          </w:tcPr>
          <w:p w14:paraId="7E10BD52"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Unknown</w:t>
            </w:r>
          </w:p>
        </w:tc>
        <w:tc>
          <w:tcPr>
            <w:tcW w:w="1303" w:type="dxa"/>
            <w:tcBorders>
              <w:bottom w:val="single" w:sz="8" w:space="0" w:color="auto"/>
            </w:tcBorders>
            <w:vAlign w:val="center"/>
            <w:hideMark/>
          </w:tcPr>
          <w:p w14:paraId="633BDF5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tcBorders>
              <w:bottom w:val="single" w:sz="8" w:space="0" w:color="auto"/>
            </w:tcBorders>
            <w:vAlign w:val="center"/>
            <w:hideMark/>
          </w:tcPr>
          <w:p w14:paraId="0AF4ADE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tcBorders>
              <w:bottom w:val="single" w:sz="8" w:space="0" w:color="auto"/>
            </w:tcBorders>
            <w:vAlign w:val="center"/>
            <w:hideMark/>
          </w:tcPr>
          <w:p w14:paraId="67C05CD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tcBorders>
              <w:bottom w:val="single" w:sz="8" w:space="0" w:color="auto"/>
            </w:tcBorders>
            <w:vAlign w:val="center"/>
            <w:hideMark/>
          </w:tcPr>
          <w:p w14:paraId="59B5BF53"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1303" w:type="dxa"/>
            <w:tcBorders>
              <w:bottom w:val="single" w:sz="8" w:space="0" w:color="auto"/>
            </w:tcBorders>
            <w:vAlign w:val="center"/>
          </w:tcPr>
          <w:p w14:paraId="2C79C79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(0.1)</w:t>
            </w:r>
          </w:p>
        </w:tc>
      </w:tr>
    </w:tbl>
    <w:p w14:paraId="093BBD7E" w14:textId="77777777" w:rsidR="006F7356" w:rsidRPr="00796959" w:rsidRDefault="006F7356" w:rsidP="00796959">
      <w:pPr>
        <w:pStyle w:val="NoSpacing"/>
        <w:tabs>
          <w:tab w:val="left" w:pos="90"/>
        </w:tabs>
        <w:spacing w:line="360" w:lineRule="auto"/>
        <w:ind w:left="180"/>
        <w:jc w:val="both"/>
        <w:rPr>
          <w:rFonts w:ascii="Book Antiqua" w:hAnsi="Book Antiqua"/>
          <w:sz w:val="24"/>
          <w:szCs w:val="24"/>
        </w:rPr>
      </w:pPr>
      <w:r w:rsidRPr="00796959">
        <w:rPr>
          <w:rFonts w:ascii="Book Antiqua" w:hAnsi="Book Antiqua"/>
          <w:sz w:val="24"/>
          <w:szCs w:val="24"/>
        </w:rPr>
        <w:t>SD, Standard Deviation; BMI, Body Mass Index; LVAD, Left Ventricular Assist Device; OHT, Orthotopic Heart Transplant</w:t>
      </w:r>
    </w:p>
    <w:p w14:paraId="53E1448B" w14:textId="77777777" w:rsidR="006F7356" w:rsidRPr="00796959" w:rsidRDefault="006F7356" w:rsidP="00796959">
      <w:pPr>
        <w:rPr>
          <w:rFonts w:ascii="Book Antiqua" w:hAnsi="Book Antiqua"/>
          <w:sz w:val="24"/>
          <w:szCs w:val="24"/>
        </w:rPr>
      </w:pPr>
    </w:p>
    <w:p w14:paraId="040F6410" w14:textId="77777777" w:rsidR="006F7356" w:rsidRPr="00796959" w:rsidRDefault="006F7356" w:rsidP="00796959">
      <w:pPr>
        <w:rPr>
          <w:rFonts w:ascii="Book Antiqua" w:hAnsi="Book Antiqua"/>
          <w:sz w:val="24"/>
          <w:szCs w:val="24"/>
        </w:rPr>
      </w:pPr>
    </w:p>
    <w:p w14:paraId="5D7E6BF0" w14:textId="77777777" w:rsidR="006F7356" w:rsidRPr="00796959" w:rsidRDefault="006F7356" w:rsidP="00796959">
      <w:pPr>
        <w:rPr>
          <w:rFonts w:ascii="Book Antiqua" w:hAnsi="Book Antiqua"/>
          <w:sz w:val="24"/>
          <w:szCs w:val="24"/>
        </w:rPr>
      </w:pPr>
    </w:p>
    <w:p w14:paraId="55FFC3E2" w14:textId="77777777" w:rsidR="006F7356" w:rsidRPr="00796959" w:rsidRDefault="006F7356" w:rsidP="00796959">
      <w:pPr>
        <w:rPr>
          <w:rFonts w:ascii="Book Antiqua" w:hAnsi="Book Antiqua"/>
          <w:sz w:val="24"/>
          <w:szCs w:val="24"/>
        </w:rPr>
      </w:pPr>
    </w:p>
    <w:p w14:paraId="500A8BF1" w14:textId="77777777" w:rsidR="006F7356" w:rsidRPr="00796959" w:rsidRDefault="006F7356" w:rsidP="00796959">
      <w:pPr>
        <w:rPr>
          <w:rFonts w:ascii="Book Antiqua" w:hAnsi="Book Antiqua"/>
          <w:sz w:val="24"/>
          <w:szCs w:val="24"/>
        </w:rPr>
      </w:pPr>
    </w:p>
    <w:p w14:paraId="3FA78A65" w14:textId="77777777" w:rsidR="006F7356" w:rsidRPr="00796959" w:rsidRDefault="006F7356" w:rsidP="00796959">
      <w:pPr>
        <w:rPr>
          <w:rFonts w:ascii="Book Antiqua" w:hAnsi="Book Antiqua"/>
          <w:sz w:val="24"/>
          <w:szCs w:val="24"/>
        </w:rPr>
      </w:pPr>
    </w:p>
    <w:p w14:paraId="19752979" w14:textId="77777777" w:rsidR="006F7356" w:rsidRPr="00796959" w:rsidRDefault="006F7356" w:rsidP="00796959">
      <w:pPr>
        <w:rPr>
          <w:rFonts w:ascii="Book Antiqua" w:hAnsi="Book Antiqua"/>
          <w:sz w:val="24"/>
          <w:szCs w:val="24"/>
        </w:rPr>
      </w:pPr>
    </w:p>
    <w:tbl>
      <w:tblPr>
        <w:tblStyle w:val="PlainTable4"/>
        <w:tblW w:w="5000" w:type="pct"/>
        <w:jc w:val="center"/>
        <w:tblLook w:val="04A0" w:firstRow="1" w:lastRow="0" w:firstColumn="1" w:lastColumn="0" w:noHBand="0" w:noVBand="1"/>
      </w:tblPr>
      <w:tblGrid>
        <w:gridCol w:w="4962"/>
        <w:gridCol w:w="1542"/>
        <w:gridCol w:w="1514"/>
        <w:gridCol w:w="1542"/>
        <w:gridCol w:w="1240"/>
      </w:tblGrid>
      <w:tr w:rsidR="006F7356" w:rsidRPr="00796959" w14:paraId="1DF451B2" w14:textId="77777777" w:rsidTr="00F9579F">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5"/>
            <w:tcBorders>
              <w:bottom w:val="single" w:sz="12" w:space="0" w:color="auto"/>
            </w:tcBorders>
            <w:vAlign w:val="center"/>
            <w:hideMark/>
          </w:tcPr>
          <w:p w14:paraId="3EC4C632" w14:textId="77777777" w:rsidR="006F7356" w:rsidRPr="00796959" w:rsidRDefault="006F7356" w:rsidP="00796959">
            <w:pPr>
              <w:spacing w:line="360" w:lineRule="auto"/>
              <w:rPr>
                <w:rFonts w:ascii="Book Antiqua" w:eastAsia="Times New Roman" w:hAnsi="Book Antiqua" w:cs="Arial"/>
                <w:b w:val="0"/>
                <w:bCs w:val="0"/>
                <w:color w:val="000000"/>
                <w:sz w:val="24"/>
                <w:szCs w:val="24"/>
              </w:rPr>
            </w:pPr>
            <w:r w:rsidRPr="00796959">
              <w:rPr>
                <w:rFonts w:ascii="Book Antiqua" w:eastAsia="Times New Roman" w:hAnsi="Book Antiqua" w:cs="Arial"/>
                <w:bCs w:val="0"/>
                <w:color w:val="000000"/>
                <w:sz w:val="24"/>
                <w:szCs w:val="24"/>
              </w:rPr>
              <w:t>Table 2.</w:t>
            </w:r>
            <w:r w:rsidRPr="00796959">
              <w:rPr>
                <w:rFonts w:ascii="Book Antiqua" w:eastAsia="Times New Roman" w:hAnsi="Book Antiqua" w:cs="Arial"/>
                <w:b w:val="0"/>
                <w:bCs w:val="0"/>
                <w:color w:val="000000"/>
                <w:sz w:val="24"/>
                <w:szCs w:val="24"/>
              </w:rPr>
              <w:t xml:space="preserve"> </w:t>
            </w:r>
            <w:r w:rsidRPr="00796959">
              <w:rPr>
                <w:rFonts w:ascii="Book Antiqua" w:eastAsia="Times New Roman" w:hAnsi="Book Antiqua" w:cs="Arial"/>
                <w:b w:val="0"/>
                <w:color w:val="000000"/>
                <w:sz w:val="24"/>
                <w:szCs w:val="24"/>
              </w:rPr>
              <w:t>Baseline demographics of all LVAD patients, LVAD patients from 1998-2005, and LVAD patients from 2006-2011.</w:t>
            </w:r>
            <w:r w:rsidRPr="00796959">
              <w:rPr>
                <w:rFonts w:ascii="Book Antiqua" w:eastAsia="Times New Roman" w:hAnsi="Book Antiqua" w:cs="Arial"/>
                <w:color w:val="000000"/>
                <w:sz w:val="24"/>
                <w:szCs w:val="24"/>
              </w:rPr>
              <w:t xml:space="preserve"> </w:t>
            </w:r>
          </w:p>
        </w:tc>
      </w:tr>
      <w:tr w:rsidR="006F7356" w:rsidRPr="00796959" w14:paraId="3CB8C670" w14:textId="77777777" w:rsidTr="004333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12" w:space="0" w:color="auto"/>
              <w:bottom w:val="single" w:sz="8" w:space="0" w:color="auto"/>
            </w:tcBorders>
            <w:shd w:val="clear" w:color="auto" w:fill="auto"/>
            <w:vAlign w:val="center"/>
            <w:hideMark/>
          </w:tcPr>
          <w:p w14:paraId="40EED1DC" w14:textId="77777777" w:rsidR="006F7356" w:rsidRPr="00796959" w:rsidRDefault="006F7356" w:rsidP="00796959">
            <w:pPr>
              <w:spacing w:line="360" w:lineRule="auto"/>
              <w:rPr>
                <w:rFonts w:ascii="Book Antiqua" w:eastAsia="Times New Roman" w:hAnsi="Book Antiqua" w:cs="Arial"/>
                <w:b w:val="0"/>
                <w:bCs w:val="0"/>
                <w:color w:val="000000"/>
                <w:sz w:val="24"/>
                <w:szCs w:val="24"/>
              </w:rPr>
            </w:pPr>
          </w:p>
        </w:tc>
        <w:tc>
          <w:tcPr>
            <w:tcW w:w="714" w:type="pct"/>
            <w:tcBorders>
              <w:top w:val="single" w:sz="12" w:space="0" w:color="auto"/>
              <w:bottom w:val="single" w:sz="8" w:space="0" w:color="auto"/>
            </w:tcBorders>
            <w:shd w:val="clear" w:color="auto" w:fill="auto"/>
            <w:vAlign w:val="center"/>
            <w:hideMark/>
          </w:tcPr>
          <w:p w14:paraId="24F5C79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All LVADs</w:t>
            </w:r>
            <w:r w:rsidRPr="00796959">
              <w:rPr>
                <w:rFonts w:ascii="Book Antiqua" w:eastAsia="Times New Roman" w:hAnsi="Book Antiqua" w:cs="Arial"/>
                <w:b/>
                <w:bCs/>
                <w:color w:val="000000"/>
                <w:sz w:val="24"/>
                <w:szCs w:val="24"/>
              </w:rPr>
              <w:br/>
              <w:t>(n = 2200)</w:t>
            </w:r>
          </w:p>
        </w:tc>
        <w:tc>
          <w:tcPr>
            <w:tcW w:w="701" w:type="pct"/>
            <w:tcBorders>
              <w:top w:val="single" w:sz="12" w:space="0" w:color="auto"/>
              <w:bottom w:val="single" w:sz="8" w:space="0" w:color="auto"/>
            </w:tcBorders>
            <w:shd w:val="clear" w:color="auto" w:fill="auto"/>
            <w:vAlign w:val="center"/>
            <w:hideMark/>
          </w:tcPr>
          <w:p w14:paraId="03F7414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1998-2005</w:t>
            </w:r>
            <w:r w:rsidRPr="00796959">
              <w:rPr>
                <w:rFonts w:ascii="Book Antiqua" w:eastAsia="Times New Roman" w:hAnsi="Book Antiqua" w:cs="Arial"/>
                <w:b/>
                <w:bCs/>
                <w:color w:val="000000"/>
                <w:sz w:val="24"/>
                <w:szCs w:val="24"/>
              </w:rPr>
              <w:br/>
              <w:t>(n = 589)</w:t>
            </w:r>
          </w:p>
        </w:tc>
        <w:tc>
          <w:tcPr>
            <w:tcW w:w="714" w:type="pct"/>
            <w:tcBorders>
              <w:top w:val="single" w:sz="12" w:space="0" w:color="auto"/>
              <w:bottom w:val="single" w:sz="8" w:space="0" w:color="auto"/>
            </w:tcBorders>
            <w:shd w:val="clear" w:color="auto" w:fill="auto"/>
            <w:vAlign w:val="center"/>
            <w:hideMark/>
          </w:tcPr>
          <w:p w14:paraId="3F8F1A14"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2006-2011</w:t>
            </w:r>
            <w:r w:rsidRPr="00796959">
              <w:rPr>
                <w:rFonts w:ascii="Book Antiqua" w:eastAsia="Times New Roman" w:hAnsi="Book Antiqua" w:cs="Arial"/>
                <w:b/>
                <w:bCs/>
                <w:color w:val="000000"/>
                <w:sz w:val="24"/>
                <w:szCs w:val="24"/>
              </w:rPr>
              <w:br/>
              <w:t>(n = 1611)</w:t>
            </w:r>
          </w:p>
        </w:tc>
        <w:tc>
          <w:tcPr>
            <w:tcW w:w="574" w:type="pct"/>
            <w:tcBorders>
              <w:top w:val="single" w:sz="12" w:space="0" w:color="auto"/>
              <w:bottom w:val="single" w:sz="8" w:space="0" w:color="auto"/>
            </w:tcBorders>
            <w:shd w:val="clear" w:color="auto" w:fill="auto"/>
            <w:vAlign w:val="center"/>
          </w:tcPr>
          <w:p w14:paraId="6FE8455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vertAlign w:val="superscript"/>
              </w:rPr>
            </w:pPr>
            <w:r w:rsidRPr="00796959">
              <w:rPr>
                <w:rFonts w:ascii="Book Antiqua" w:eastAsia="Times New Roman" w:hAnsi="Book Antiqua" w:cs="Arial"/>
                <w:b/>
                <w:bCs/>
                <w:color w:val="000000"/>
                <w:sz w:val="24"/>
                <w:szCs w:val="24"/>
              </w:rPr>
              <w:t>p-value</w:t>
            </w:r>
            <w:r w:rsidRPr="00796959">
              <w:rPr>
                <w:rFonts w:ascii="Book Antiqua" w:eastAsia="Times New Roman" w:hAnsi="Book Antiqua" w:cs="Arial"/>
                <w:b/>
                <w:bCs/>
                <w:color w:val="000000"/>
                <w:sz w:val="24"/>
                <w:szCs w:val="24"/>
                <w:vertAlign w:val="superscript"/>
              </w:rPr>
              <w:t>a</w:t>
            </w:r>
          </w:p>
        </w:tc>
      </w:tr>
      <w:tr w:rsidR="006F7356" w:rsidRPr="00796959" w14:paraId="4C5AEB73"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top w:val="single" w:sz="8" w:space="0" w:color="auto"/>
            </w:tcBorders>
            <w:vAlign w:val="center"/>
            <w:hideMark/>
          </w:tcPr>
          <w:p w14:paraId="17A19A92"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Mortality, n (%)</w:t>
            </w:r>
          </w:p>
        </w:tc>
        <w:tc>
          <w:tcPr>
            <w:tcW w:w="714" w:type="pct"/>
            <w:tcBorders>
              <w:top w:val="single" w:sz="8" w:space="0" w:color="auto"/>
            </w:tcBorders>
            <w:vAlign w:val="center"/>
            <w:hideMark/>
          </w:tcPr>
          <w:p w14:paraId="2DB38B63"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 xml:space="preserve">590 (26.5) </w:t>
            </w:r>
          </w:p>
        </w:tc>
        <w:tc>
          <w:tcPr>
            <w:tcW w:w="701" w:type="pct"/>
            <w:tcBorders>
              <w:top w:val="single" w:sz="8" w:space="0" w:color="auto"/>
            </w:tcBorders>
            <w:vAlign w:val="center"/>
            <w:hideMark/>
          </w:tcPr>
          <w:p w14:paraId="5BF71F3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b/>
                <w:color w:val="000000"/>
                <w:sz w:val="24"/>
                <w:szCs w:val="24"/>
              </w:rPr>
            </w:pPr>
            <w:r w:rsidRPr="00796959">
              <w:rPr>
                <w:rFonts w:ascii="Book Antiqua" w:eastAsia="Times New Roman" w:hAnsi="Book Antiqua" w:cs="Arial"/>
                <w:color w:val="000000"/>
                <w:sz w:val="24"/>
                <w:szCs w:val="24"/>
              </w:rPr>
              <w:t>253 (43.0)</w:t>
            </w:r>
          </w:p>
        </w:tc>
        <w:tc>
          <w:tcPr>
            <w:tcW w:w="714" w:type="pct"/>
            <w:tcBorders>
              <w:top w:val="single" w:sz="8" w:space="0" w:color="auto"/>
            </w:tcBorders>
            <w:vAlign w:val="center"/>
            <w:hideMark/>
          </w:tcPr>
          <w:p w14:paraId="3275816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329 (20.4)</w:t>
            </w:r>
          </w:p>
        </w:tc>
        <w:tc>
          <w:tcPr>
            <w:tcW w:w="574" w:type="pct"/>
            <w:tcBorders>
              <w:top w:val="single" w:sz="8" w:space="0" w:color="auto"/>
            </w:tcBorders>
            <w:vAlign w:val="center"/>
          </w:tcPr>
          <w:p w14:paraId="60F2595B"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&lt;0.001</w:t>
            </w:r>
          </w:p>
        </w:tc>
      </w:tr>
      <w:tr w:rsidR="006F7356" w:rsidRPr="00796959" w14:paraId="325E5C61"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7076A20"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Same admission OHT, n (%)</w:t>
            </w:r>
          </w:p>
        </w:tc>
        <w:tc>
          <w:tcPr>
            <w:tcW w:w="714" w:type="pct"/>
            <w:vAlign w:val="center"/>
            <w:hideMark/>
          </w:tcPr>
          <w:p w14:paraId="527F352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164 (7.5)</w:t>
            </w:r>
          </w:p>
        </w:tc>
        <w:tc>
          <w:tcPr>
            <w:tcW w:w="701" w:type="pct"/>
            <w:vAlign w:val="center"/>
            <w:hideMark/>
          </w:tcPr>
          <w:p w14:paraId="7527DA3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102 (17.3)</w:t>
            </w:r>
          </w:p>
        </w:tc>
        <w:tc>
          <w:tcPr>
            <w:tcW w:w="714" w:type="pct"/>
            <w:vAlign w:val="center"/>
            <w:hideMark/>
          </w:tcPr>
          <w:p w14:paraId="14EC164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62 (3.8)</w:t>
            </w:r>
          </w:p>
        </w:tc>
        <w:tc>
          <w:tcPr>
            <w:tcW w:w="574" w:type="pct"/>
            <w:vAlign w:val="center"/>
          </w:tcPr>
          <w:p w14:paraId="40204E0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&lt;0.001</w:t>
            </w:r>
          </w:p>
        </w:tc>
      </w:tr>
      <w:tr w:rsidR="006F7356" w:rsidRPr="00796959" w14:paraId="6A9D0FC4"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90AB60D"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Length of stay, mean ± SD</w:t>
            </w:r>
          </w:p>
        </w:tc>
        <w:tc>
          <w:tcPr>
            <w:tcW w:w="714" w:type="pct"/>
            <w:vAlign w:val="center"/>
            <w:hideMark/>
          </w:tcPr>
          <w:p w14:paraId="5AF6EF2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40.5 ± 38.9</w:t>
            </w:r>
          </w:p>
        </w:tc>
        <w:tc>
          <w:tcPr>
            <w:tcW w:w="701" w:type="pct"/>
            <w:vAlign w:val="center"/>
            <w:hideMark/>
          </w:tcPr>
          <w:p w14:paraId="4E40C01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b/>
                <w:color w:val="000000"/>
                <w:sz w:val="24"/>
                <w:szCs w:val="24"/>
              </w:rPr>
            </w:pPr>
            <w:r w:rsidRPr="00796959">
              <w:rPr>
                <w:rFonts w:ascii="Book Antiqua" w:eastAsia="Times New Roman" w:hAnsi="Book Antiqua" w:cs="Arial"/>
                <w:color w:val="000000"/>
                <w:sz w:val="24"/>
                <w:szCs w:val="24"/>
              </w:rPr>
              <w:t>44.7 ± 48.6</w:t>
            </w:r>
          </w:p>
        </w:tc>
        <w:tc>
          <w:tcPr>
            <w:tcW w:w="714" w:type="pct"/>
            <w:vAlign w:val="center"/>
            <w:hideMark/>
          </w:tcPr>
          <w:p w14:paraId="2516434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39.0 ± 34.6</w:t>
            </w:r>
          </w:p>
        </w:tc>
        <w:tc>
          <w:tcPr>
            <w:tcW w:w="574" w:type="pct"/>
            <w:vAlign w:val="center"/>
          </w:tcPr>
          <w:p w14:paraId="621F6CC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0.008</w:t>
            </w:r>
          </w:p>
        </w:tc>
      </w:tr>
      <w:tr w:rsidR="006F7356" w:rsidRPr="00796959" w14:paraId="194C6547"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672CD9D"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Age, mean ± SD</w:t>
            </w:r>
          </w:p>
        </w:tc>
        <w:tc>
          <w:tcPr>
            <w:tcW w:w="714" w:type="pct"/>
            <w:vAlign w:val="center"/>
            <w:hideMark/>
          </w:tcPr>
          <w:p w14:paraId="1D46B9B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53.4 ± 13.7</w:t>
            </w:r>
          </w:p>
        </w:tc>
        <w:tc>
          <w:tcPr>
            <w:tcW w:w="701" w:type="pct"/>
            <w:vAlign w:val="center"/>
            <w:hideMark/>
          </w:tcPr>
          <w:p w14:paraId="3D500F87"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53.2 ± 13.4</w:t>
            </w:r>
          </w:p>
        </w:tc>
        <w:tc>
          <w:tcPr>
            <w:tcW w:w="714" w:type="pct"/>
            <w:vAlign w:val="center"/>
            <w:hideMark/>
          </w:tcPr>
          <w:p w14:paraId="43708AA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55.4 ± 13.4</w:t>
            </w:r>
          </w:p>
        </w:tc>
        <w:tc>
          <w:tcPr>
            <w:tcW w:w="574" w:type="pct"/>
            <w:vAlign w:val="center"/>
          </w:tcPr>
          <w:p w14:paraId="4F8415F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&lt;0.001</w:t>
            </w:r>
          </w:p>
        </w:tc>
      </w:tr>
      <w:tr w:rsidR="006F7356" w:rsidRPr="00796959" w14:paraId="24B764C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22D60A85"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Sex, n (%)</w:t>
            </w:r>
          </w:p>
        </w:tc>
        <w:tc>
          <w:tcPr>
            <w:tcW w:w="574" w:type="pct"/>
            <w:vAlign w:val="center"/>
          </w:tcPr>
          <w:p w14:paraId="085E4CD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0382FDA1"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AA1B308"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Male</w:t>
            </w:r>
          </w:p>
        </w:tc>
        <w:tc>
          <w:tcPr>
            <w:tcW w:w="714" w:type="pct"/>
            <w:vAlign w:val="center"/>
            <w:hideMark/>
          </w:tcPr>
          <w:p w14:paraId="185E0F1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1659 (75.4)</w:t>
            </w:r>
          </w:p>
        </w:tc>
        <w:tc>
          <w:tcPr>
            <w:tcW w:w="701" w:type="pct"/>
            <w:vAlign w:val="center"/>
            <w:hideMark/>
          </w:tcPr>
          <w:p w14:paraId="6B762013"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433 (73.5)</w:t>
            </w:r>
          </w:p>
        </w:tc>
        <w:tc>
          <w:tcPr>
            <w:tcW w:w="714" w:type="pct"/>
            <w:vAlign w:val="center"/>
            <w:hideMark/>
          </w:tcPr>
          <w:p w14:paraId="2DB96B9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1226 (76.1)</w:t>
            </w:r>
          </w:p>
        </w:tc>
        <w:tc>
          <w:tcPr>
            <w:tcW w:w="574" w:type="pct"/>
            <w:vAlign w:val="center"/>
          </w:tcPr>
          <w:p w14:paraId="3D6269D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0.23</w:t>
            </w:r>
          </w:p>
        </w:tc>
      </w:tr>
      <w:tr w:rsidR="006F7356" w:rsidRPr="00796959" w14:paraId="36FFCFB9"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348B685"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Female</w:t>
            </w:r>
          </w:p>
        </w:tc>
        <w:tc>
          <w:tcPr>
            <w:tcW w:w="714" w:type="pct"/>
            <w:vAlign w:val="center"/>
            <w:hideMark/>
          </w:tcPr>
          <w:p w14:paraId="278EEC8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541 (24.6)</w:t>
            </w:r>
          </w:p>
        </w:tc>
        <w:tc>
          <w:tcPr>
            <w:tcW w:w="701" w:type="pct"/>
            <w:vAlign w:val="center"/>
            <w:hideMark/>
          </w:tcPr>
          <w:p w14:paraId="3114B336"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156 (26.5)</w:t>
            </w:r>
          </w:p>
        </w:tc>
        <w:tc>
          <w:tcPr>
            <w:tcW w:w="714" w:type="pct"/>
            <w:vAlign w:val="center"/>
            <w:hideMark/>
          </w:tcPr>
          <w:p w14:paraId="022BF2F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385 (23.9)</w:t>
            </w:r>
          </w:p>
        </w:tc>
        <w:tc>
          <w:tcPr>
            <w:tcW w:w="574" w:type="pct"/>
            <w:vAlign w:val="center"/>
          </w:tcPr>
          <w:p w14:paraId="6B159B9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469B377A"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0ED0B62A"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Race, n (%)</w:t>
            </w:r>
          </w:p>
        </w:tc>
        <w:tc>
          <w:tcPr>
            <w:tcW w:w="574" w:type="pct"/>
            <w:vAlign w:val="center"/>
          </w:tcPr>
          <w:p w14:paraId="77E92772"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&lt;0.001</w:t>
            </w:r>
          </w:p>
        </w:tc>
      </w:tr>
      <w:tr w:rsidR="006F7356" w:rsidRPr="00796959" w14:paraId="501567BD"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4BAC0EEC"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White</w:t>
            </w:r>
          </w:p>
        </w:tc>
        <w:tc>
          <w:tcPr>
            <w:tcW w:w="714" w:type="pct"/>
            <w:vAlign w:val="center"/>
            <w:hideMark/>
          </w:tcPr>
          <w:p w14:paraId="22C5582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1274 (57.9)</w:t>
            </w:r>
          </w:p>
        </w:tc>
        <w:tc>
          <w:tcPr>
            <w:tcW w:w="701" w:type="pct"/>
            <w:vAlign w:val="center"/>
            <w:hideMark/>
          </w:tcPr>
          <w:p w14:paraId="07D31FD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327 (55.5)</w:t>
            </w:r>
          </w:p>
        </w:tc>
        <w:tc>
          <w:tcPr>
            <w:tcW w:w="714" w:type="pct"/>
            <w:vAlign w:val="center"/>
            <w:hideMark/>
          </w:tcPr>
          <w:p w14:paraId="49794EE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947 (58.8)</w:t>
            </w:r>
          </w:p>
        </w:tc>
        <w:tc>
          <w:tcPr>
            <w:tcW w:w="574" w:type="pct"/>
            <w:vAlign w:val="center"/>
          </w:tcPr>
          <w:p w14:paraId="4DD3C41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23C2AB1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03993E7"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Black</w:t>
            </w:r>
          </w:p>
        </w:tc>
        <w:tc>
          <w:tcPr>
            <w:tcW w:w="714" w:type="pct"/>
            <w:vAlign w:val="center"/>
            <w:hideMark/>
          </w:tcPr>
          <w:p w14:paraId="1BEBE162"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352 (16.0)</w:t>
            </w:r>
          </w:p>
        </w:tc>
        <w:tc>
          <w:tcPr>
            <w:tcW w:w="701" w:type="pct"/>
            <w:vAlign w:val="center"/>
            <w:hideMark/>
          </w:tcPr>
          <w:p w14:paraId="4332259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62 (10.5)</w:t>
            </w:r>
          </w:p>
        </w:tc>
        <w:tc>
          <w:tcPr>
            <w:tcW w:w="714" w:type="pct"/>
            <w:vAlign w:val="center"/>
            <w:hideMark/>
          </w:tcPr>
          <w:p w14:paraId="75DA275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290 (18.0)</w:t>
            </w:r>
          </w:p>
        </w:tc>
        <w:tc>
          <w:tcPr>
            <w:tcW w:w="574" w:type="pct"/>
            <w:vAlign w:val="center"/>
          </w:tcPr>
          <w:p w14:paraId="4D251C7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006A09FC"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E29AC33"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Hispanic</w:t>
            </w:r>
          </w:p>
        </w:tc>
        <w:tc>
          <w:tcPr>
            <w:tcW w:w="714" w:type="pct"/>
            <w:vAlign w:val="center"/>
            <w:hideMark/>
          </w:tcPr>
          <w:p w14:paraId="1FC0187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142 (6.5)</w:t>
            </w:r>
          </w:p>
        </w:tc>
        <w:tc>
          <w:tcPr>
            <w:tcW w:w="701" w:type="pct"/>
            <w:vAlign w:val="center"/>
            <w:hideMark/>
          </w:tcPr>
          <w:p w14:paraId="277845E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28 (4.8)</w:t>
            </w:r>
          </w:p>
        </w:tc>
        <w:tc>
          <w:tcPr>
            <w:tcW w:w="714" w:type="pct"/>
            <w:vAlign w:val="center"/>
            <w:hideMark/>
          </w:tcPr>
          <w:p w14:paraId="4C1EAE9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114 (7.1)</w:t>
            </w:r>
          </w:p>
        </w:tc>
        <w:tc>
          <w:tcPr>
            <w:tcW w:w="574" w:type="pct"/>
            <w:vAlign w:val="center"/>
          </w:tcPr>
          <w:p w14:paraId="501CEAD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2291ED4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F0DADC8"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Asian/Pacific Islander</w:t>
            </w:r>
          </w:p>
        </w:tc>
        <w:tc>
          <w:tcPr>
            <w:tcW w:w="714" w:type="pct"/>
            <w:vAlign w:val="center"/>
            <w:hideMark/>
          </w:tcPr>
          <w:p w14:paraId="4AD0DC6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51 (2.3)</w:t>
            </w:r>
          </w:p>
        </w:tc>
        <w:tc>
          <w:tcPr>
            <w:tcW w:w="701" w:type="pct"/>
            <w:vAlign w:val="center"/>
            <w:hideMark/>
          </w:tcPr>
          <w:p w14:paraId="49A512B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13 (2.2)</w:t>
            </w:r>
          </w:p>
        </w:tc>
        <w:tc>
          <w:tcPr>
            <w:tcW w:w="714" w:type="pct"/>
            <w:vAlign w:val="center"/>
            <w:hideMark/>
          </w:tcPr>
          <w:p w14:paraId="5CCCF85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38 (2.4)</w:t>
            </w:r>
          </w:p>
        </w:tc>
        <w:tc>
          <w:tcPr>
            <w:tcW w:w="574" w:type="pct"/>
            <w:vAlign w:val="center"/>
          </w:tcPr>
          <w:p w14:paraId="3E60CC7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1E3E934B"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3482E55"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Native American</w:t>
            </w:r>
          </w:p>
        </w:tc>
        <w:tc>
          <w:tcPr>
            <w:tcW w:w="714" w:type="pct"/>
            <w:vAlign w:val="center"/>
            <w:hideMark/>
          </w:tcPr>
          <w:p w14:paraId="13264A8C"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(0.2)</w:t>
            </w:r>
          </w:p>
        </w:tc>
        <w:tc>
          <w:tcPr>
            <w:tcW w:w="701" w:type="pct"/>
            <w:vAlign w:val="center"/>
            <w:hideMark/>
          </w:tcPr>
          <w:p w14:paraId="3F06A44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(0.2)</w:t>
            </w:r>
          </w:p>
        </w:tc>
        <w:tc>
          <w:tcPr>
            <w:tcW w:w="714" w:type="pct"/>
            <w:vAlign w:val="center"/>
            <w:hideMark/>
          </w:tcPr>
          <w:p w14:paraId="7CD8A283"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 (0.2)</w:t>
            </w:r>
          </w:p>
        </w:tc>
        <w:tc>
          <w:tcPr>
            <w:tcW w:w="574" w:type="pct"/>
            <w:vAlign w:val="center"/>
          </w:tcPr>
          <w:p w14:paraId="1DDF655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31AF1549"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1A566EE"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Other or unknown</w:t>
            </w:r>
          </w:p>
        </w:tc>
        <w:tc>
          <w:tcPr>
            <w:tcW w:w="714" w:type="pct"/>
            <w:vAlign w:val="center"/>
            <w:hideMark/>
          </w:tcPr>
          <w:p w14:paraId="216AABA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376 (17.1)</w:t>
            </w:r>
          </w:p>
        </w:tc>
        <w:tc>
          <w:tcPr>
            <w:tcW w:w="701" w:type="pct"/>
            <w:vAlign w:val="center"/>
            <w:hideMark/>
          </w:tcPr>
          <w:p w14:paraId="1446F9E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143 (24.3)</w:t>
            </w:r>
          </w:p>
        </w:tc>
        <w:tc>
          <w:tcPr>
            <w:tcW w:w="714" w:type="pct"/>
            <w:vAlign w:val="center"/>
            <w:hideMark/>
          </w:tcPr>
          <w:p w14:paraId="01EF136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148 (9.2)</w:t>
            </w:r>
          </w:p>
        </w:tc>
        <w:tc>
          <w:tcPr>
            <w:tcW w:w="574" w:type="pct"/>
            <w:vAlign w:val="center"/>
          </w:tcPr>
          <w:p w14:paraId="4BC723A4"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4F773D2A"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24D05FAC"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Median household income, n (%)</w:t>
            </w:r>
          </w:p>
        </w:tc>
        <w:tc>
          <w:tcPr>
            <w:tcW w:w="574" w:type="pct"/>
            <w:vAlign w:val="center"/>
          </w:tcPr>
          <w:p w14:paraId="68F30E4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&lt;0.001</w:t>
            </w:r>
          </w:p>
        </w:tc>
      </w:tr>
      <w:tr w:rsidR="006F7356" w:rsidRPr="00796959" w14:paraId="0E13E0D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C7254C4"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$1-24,999</w:t>
            </w:r>
          </w:p>
        </w:tc>
        <w:tc>
          <w:tcPr>
            <w:tcW w:w="714" w:type="pct"/>
            <w:vAlign w:val="center"/>
            <w:hideMark/>
          </w:tcPr>
          <w:p w14:paraId="392ABB3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475 (21.6)</w:t>
            </w:r>
          </w:p>
        </w:tc>
        <w:tc>
          <w:tcPr>
            <w:tcW w:w="701" w:type="pct"/>
            <w:vAlign w:val="center"/>
            <w:hideMark/>
          </w:tcPr>
          <w:p w14:paraId="375E23C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88 (14.9)</w:t>
            </w:r>
          </w:p>
        </w:tc>
        <w:tc>
          <w:tcPr>
            <w:tcW w:w="714" w:type="pct"/>
            <w:vAlign w:val="center"/>
            <w:hideMark/>
          </w:tcPr>
          <w:p w14:paraId="318F2C23"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387 (24.0)</w:t>
            </w:r>
          </w:p>
        </w:tc>
        <w:tc>
          <w:tcPr>
            <w:tcW w:w="574" w:type="pct"/>
            <w:vAlign w:val="center"/>
          </w:tcPr>
          <w:p w14:paraId="5C9CFFF2"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4F56CD12"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BA4C66F"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$25,000-34,999</w:t>
            </w:r>
          </w:p>
        </w:tc>
        <w:tc>
          <w:tcPr>
            <w:tcW w:w="714" w:type="pct"/>
            <w:vAlign w:val="center"/>
            <w:hideMark/>
          </w:tcPr>
          <w:p w14:paraId="6B5D6A9C"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491 (22.3)</w:t>
            </w:r>
          </w:p>
        </w:tc>
        <w:tc>
          <w:tcPr>
            <w:tcW w:w="701" w:type="pct"/>
            <w:vAlign w:val="center"/>
            <w:hideMark/>
          </w:tcPr>
          <w:p w14:paraId="79CFDE2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126 (21.4)</w:t>
            </w:r>
          </w:p>
        </w:tc>
        <w:tc>
          <w:tcPr>
            <w:tcW w:w="714" w:type="pct"/>
            <w:vAlign w:val="center"/>
            <w:hideMark/>
          </w:tcPr>
          <w:p w14:paraId="368A653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365 (22.7)</w:t>
            </w:r>
          </w:p>
        </w:tc>
        <w:tc>
          <w:tcPr>
            <w:tcW w:w="574" w:type="pct"/>
            <w:vAlign w:val="center"/>
          </w:tcPr>
          <w:p w14:paraId="7658FFB6"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67B9FCD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006115E"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$35,000-44,999</w:t>
            </w:r>
          </w:p>
        </w:tc>
        <w:tc>
          <w:tcPr>
            <w:tcW w:w="714" w:type="pct"/>
            <w:vAlign w:val="center"/>
            <w:hideMark/>
          </w:tcPr>
          <w:p w14:paraId="13D51739"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552 (25.1)</w:t>
            </w:r>
          </w:p>
        </w:tc>
        <w:tc>
          <w:tcPr>
            <w:tcW w:w="701" w:type="pct"/>
            <w:vAlign w:val="center"/>
            <w:hideMark/>
          </w:tcPr>
          <w:p w14:paraId="70E8918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141 (23.9)</w:t>
            </w:r>
          </w:p>
        </w:tc>
        <w:tc>
          <w:tcPr>
            <w:tcW w:w="714" w:type="pct"/>
            <w:vAlign w:val="center"/>
            <w:hideMark/>
          </w:tcPr>
          <w:p w14:paraId="25243EF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411 (25.5)</w:t>
            </w:r>
          </w:p>
        </w:tc>
        <w:tc>
          <w:tcPr>
            <w:tcW w:w="574" w:type="pct"/>
            <w:vAlign w:val="center"/>
          </w:tcPr>
          <w:p w14:paraId="7A8F54E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212315F3"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65257794"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$45,000 or more</w:t>
            </w:r>
          </w:p>
        </w:tc>
        <w:tc>
          <w:tcPr>
            <w:tcW w:w="714" w:type="pct"/>
            <w:vAlign w:val="center"/>
            <w:hideMark/>
          </w:tcPr>
          <w:p w14:paraId="696960CC"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631 (28.7)</w:t>
            </w:r>
          </w:p>
        </w:tc>
        <w:tc>
          <w:tcPr>
            <w:tcW w:w="701" w:type="pct"/>
            <w:vAlign w:val="center"/>
            <w:hideMark/>
          </w:tcPr>
          <w:p w14:paraId="0AB371D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214 (36.3)</w:t>
            </w:r>
          </w:p>
        </w:tc>
        <w:tc>
          <w:tcPr>
            <w:tcW w:w="714" w:type="pct"/>
            <w:vAlign w:val="center"/>
            <w:hideMark/>
          </w:tcPr>
          <w:p w14:paraId="2123F983"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417 (25.9)</w:t>
            </w:r>
          </w:p>
        </w:tc>
        <w:tc>
          <w:tcPr>
            <w:tcW w:w="574" w:type="pct"/>
            <w:vAlign w:val="center"/>
          </w:tcPr>
          <w:p w14:paraId="7C27E25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22B260B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A0DC5F2"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Unknown</w:t>
            </w:r>
          </w:p>
        </w:tc>
        <w:tc>
          <w:tcPr>
            <w:tcW w:w="714" w:type="pct"/>
            <w:vAlign w:val="center"/>
            <w:hideMark/>
          </w:tcPr>
          <w:p w14:paraId="5D6FB75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51 (2.3)</w:t>
            </w:r>
          </w:p>
        </w:tc>
        <w:tc>
          <w:tcPr>
            <w:tcW w:w="701" w:type="pct"/>
            <w:vAlign w:val="center"/>
            <w:hideMark/>
          </w:tcPr>
          <w:p w14:paraId="21DA84E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20 (3.4)</w:t>
            </w:r>
          </w:p>
        </w:tc>
        <w:tc>
          <w:tcPr>
            <w:tcW w:w="714" w:type="pct"/>
            <w:vAlign w:val="center"/>
            <w:hideMark/>
          </w:tcPr>
          <w:p w14:paraId="5729D0D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31 (2.4)</w:t>
            </w:r>
          </w:p>
        </w:tc>
        <w:tc>
          <w:tcPr>
            <w:tcW w:w="574" w:type="pct"/>
            <w:vAlign w:val="center"/>
          </w:tcPr>
          <w:p w14:paraId="7A3D74A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591E942D"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30348812"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Comorbidities</w:t>
            </w:r>
          </w:p>
        </w:tc>
        <w:tc>
          <w:tcPr>
            <w:tcW w:w="574" w:type="pct"/>
            <w:vAlign w:val="center"/>
          </w:tcPr>
          <w:p w14:paraId="6A54FA9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59E738FB"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05275EF7"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Diabetes</w:t>
            </w:r>
          </w:p>
        </w:tc>
        <w:tc>
          <w:tcPr>
            <w:tcW w:w="714" w:type="pct"/>
            <w:vAlign w:val="center"/>
            <w:hideMark/>
          </w:tcPr>
          <w:p w14:paraId="5272CA53"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391 (17.8)</w:t>
            </w:r>
          </w:p>
        </w:tc>
        <w:tc>
          <w:tcPr>
            <w:tcW w:w="701" w:type="pct"/>
            <w:vAlign w:val="center"/>
            <w:hideMark/>
          </w:tcPr>
          <w:p w14:paraId="18C8AC8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91 (15.4)</w:t>
            </w:r>
          </w:p>
        </w:tc>
        <w:tc>
          <w:tcPr>
            <w:tcW w:w="714" w:type="pct"/>
            <w:vAlign w:val="center"/>
            <w:hideMark/>
          </w:tcPr>
          <w:p w14:paraId="658F200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300 (18.6)</w:t>
            </w:r>
          </w:p>
        </w:tc>
        <w:tc>
          <w:tcPr>
            <w:tcW w:w="574" w:type="pct"/>
            <w:vAlign w:val="center"/>
          </w:tcPr>
          <w:p w14:paraId="3ECD028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0.097</w:t>
            </w:r>
          </w:p>
        </w:tc>
      </w:tr>
      <w:tr w:rsidR="006F7356" w:rsidRPr="00796959" w14:paraId="59A5B707"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681CEA7"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Hyperlipidemia</w:t>
            </w:r>
          </w:p>
        </w:tc>
        <w:tc>
          <w:tcPr>
            <w:tcW w:w="714" w:type="pct"/>
            <w:vAlign w:val="center"/>
            <w:hideMark/>
          </w:tcPr>
          <w:p w14:paraId="0CE18B8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310 (14.1)</w:t>
            </w:r>
          </w:p>
        </w:tc>
        <w:tc>
          <w:tcPr>
            <w:tcW w:w="701" w:type="pct"/>
            <w:vAlign w:val="center"/>
            <w:hideMark/>
          </w:tcPr>
          <w:p w14:paraId="43B1752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61 (10.4)</w:t>
            </w:r>
          </w:p>
        </w:tc>
        <w:tc>
          <w:tcPr>
            <w:tcW w:w="714" w:type="pct"/>
            <w:vAlign w:val="center"/>
            <w:hideMark/>
          </w:tcPr>
          <w:p w14:paraId="09E765B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249 (15.5)</w:t>
            </w:r>
          </w:p>
        </w:tc>
        <w:tc>
          <w:tcPr>
            <w:tcW w:w="574" w:type="pct"/>
            <w:vAlign w:val="center"/>
          </w:tcPr>
          <w:p w14:paraId="0D3587C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0.003</w:t>
            </w:r>
          </w:p>
        </w:tc>
      </w:tr>
      <w:tr w:rsidR="006F7356" w:rsidRPr="00796959" w14:paraId="4B82FAA2"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456B5F0F"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Hypertension</w:t>
            </w:r>
          </w:p>
        </w:tc>
        <w:tc>
          <w:tcPr>
            <w:tcW w:w="714" w:type="pct"/>
            <w:vAlign w:val="center"/>
            <w:hideMark/>
          </w:tcPr>
          <w:p w14:paraId="432AA24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309 (14.0)</w:t>
            </w:r>
          </w:p>
        </w:tc>
        <w:tc>
          <w:tcPr>
            <w:tcW w:w="701" w:type="pct"/>
            <w:vAlign w:val="center"/>
            <w:hideMark/>
          </w:tcPr>
          <w:p w14:paraId="55A08A3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88 (14.9)</w:t>
            </w:r>
          </w:p>
        </w:tc>
        <w:tc>
          <w:tcPr>
            <w:tcW w:w="714" w:type="pct"/>
            <w:vAlign w:val="center"/>
            <w:hideMark/>
          </w:tcPr>
          <w:p w14:paraId="0AE2FC3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221 (13.7)</w:t>
            </w:r>
          </w:p>
        </w:tc>
        <w:tc>
          <w:tcPr>
            <w:tcW w:w="574" w:type="pct"/>
            <w:vAlign w:val="center"/>
          </w:tcPr>
          <w:p w14:paraId="40F32944"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0.508</w:t>
            </w:r>
          </w:p>
        </w:tc>
      </w:tr>
      <w:tr w:rsidR="006F7356" w:rsidRPr="00796959" w14:paraId="3F090DA5"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AD5E606"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History of smoking</w:t>
            </w:r>
          </w:p>
        </w:tc>
        <w:tc>
          <w:tcPr>
            <w:tcW w:w="714" w:type="pct"/>
            <w:vAlign w:val="center"/>
            <w:hideMark/>
          </w:tcPr>
          <w:p w14:paraId="7AE677D3"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131 (6.0)</w:t>
            </w:r>
          </w:p>
        </w:tc>
        <w:tc>
          <w:tcPr>
            <w:tcW w:w="701" w:type="pct"/>
            <w:vAlign w:val="center"/>
            <w:hideMark/>
          </w:tcPr>
          <w:p w14:paraId="768FDF6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29 (4.9)</w:t>
            </w:r>
          </w:p>
        </w:tc>
        <w:tc>
          <w:tcPr>
            <w:tcW w:w="714" w:type="pct"/>
            <w:vAlign w:val="center"/>
            <w:hideMark/>
          </w:tcPr>
          <w:p w14:paraId="087A2EB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102 (6.3)</w:t>
            </w:r>
          </w:p>
        </w:tc>
        <w:tc>
          <w:tcPr>
            <w:tcW w:w="574" w:type="pct"/>
            <w:vAlign w:val="center"/>
          </w:tcPr>
          <w:p w14:paraId="525FC4A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0.257</w:t>
            </w:r>
          </w:p>
        </w:tc>
      </w:tr>
      <w:tr w:rsidR="006F7356" w:rsidRPr="00796959" w14:paraId="40546A96"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95D42E4"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BMI ≥ 30 kg/m</w:t>
            </w:r>
            <w:r w:rsidRPr="00796959">
              <w:rPr>
                <w:rFonts w:ascii="Book Antiqua" w:eastAsia="Times New Roman" w:hAnsi="Book Antiqua" w:cs="Arial"/>
                <w:b w:val="0"/>
                <w:color w:val="000000"/>
                <w:sz w:val="24"/>
                <w:szCs w:val="24"/>
                <w:vertAlign w:val="superscript"/>
              </w:rPr>
              <w:t>2</w:t>
            </w:r>
          </w:p>
        </w:tc>
        <w:tc>
          <w:tcPr>
            <w:tcW w:w="714" w:type="pct"/>
            <w:vAlign w:val="center"/>
            <w:hideMark/>
          </w:tcPr>
          <w:p w14:paraId="69DBF76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96 (4.4)</w:t>
            </w:r>
          </w:p>
        </w:tc>
        <w:tc>
          <w:tcPr>
            <w:tcW w:w="701" w:type="pct"/>
            <w:vAlign w:val="center"/>
            <w:hideMark/>
          </w:tcPr>
          <w:p w14:paraId="36AEE457"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 (2.0)</w:t>
            </w:r>
          </w:p>
        </w:tc>
        <w:tc>
          <w:tcPr>
            <w:tcW w:w="714" w:type="pct"/>
            <w:vAlign w:val="center"/>
            <w:hideMark/>
          </w:tcPr>
          <w:p w14:paraId="6E7AA0B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84 (5.2)</w:t>
            </w:r>
          </w:p>
        </w:tc>
        <w:tc>
          <w:tcPr>
            <w:tcW w:w="574" w:type="pct"/>
            <w:vAlign w:val="center"/>
          </w:tcPr>
          <w:p w14:paraId="7175694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0.002</w:t>
            </w:r>
          </w:p>
        </w:tc>
      </w:tr>
      <w:tr w:rsidR="006F7356" w:rsidRPr="00796959" w14:paraId="1561D7A8"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0189D357"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Number of comorbid diagnosis, mean ± SD</w:t>
            </w:r>
          </w:p>
        </w:tc>
        <w:tc>
          <w:tcPr>
            <w:tcW w:w="714" w:type="pct"/>
            <w:vAlign w:val="center"/>
            <w:hideMark/>
          </w:tcPr>
          <w:p w14:paraId="1F7D51B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12.7 ± 2.9</w:t>
            </w:r>
          </w:p>
        </w:tc>
        <w:tc>
          <w:tcPr>
            <w:tcW w:w="701" w:type="pct"/>
            <w:vAlign w:val="center"/>
            <w:hideMark/>
          </w:tcPr>
          <w:p w14:paraId="25B50AF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10.6 ± 2.9</w:t>
            </w:r>
          </w:p>
        </w:tc>
        <w:tc>
          <w:tcPr>
            <w:tcW w:w="714" w:type="pct"/>
            <w:vAlign w:val="center"/>
            <w:hideMark/>
          </w:tcPr>
          <w:p w14:paraId="2D7356A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13.5 ± 2.5</w:t>
            </w:r>
          </w:p>
        </w:tc>
        <w:tc>
          <w:tcPr>
            <w:tcW w:w="574" w:type="pct"/>
            <w:vAlign w:val="center"/>
          </w:tcPr>
          <w:p w14:paraId="3CD0127B"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&lt;0.001</w:t>
            </w:r>
          </w:p>
        </w:tc>
      </w:tr>
      <w:tr w:rsidR="006F7356" w:rsidRPr="00796959" w14:paraId="64C94929"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659B1774"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Location of hospital, n (%)</w:t>
            </w:r>
          </w:p>
        </w:tc>
        <w:tc>
          <w:tcPr>
            <w:tcW w:w="574" w:type="pct"/>
            <w:vAlign w:val="center"/>
          </w:tcPr>
          <w:p w14:paraId="09DFABA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0.73</w:t>
            </w:r>
          </w:p>
        </w:tc>
      </w:tr>
      <w:tr w:rsidR="006F7356" w:rsidRPr="00796959" w14:paraId="348BDDAA"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90890C6"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Rural</w:t>
            </w:r>
          </w:p>
        </w:tc>
        <w:tc>
          <w:tcPr>
            <w:tcW w:w="714" w:type="pct"/>
            <w:vAlign w:val="center"/>
            <w:hideMark/>
          </w:tcPr>
          <w:p w14:paraId="78A6BE76"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17 (0.8)</w:t>
            </w:r>
          </w:p>
        </w:tc>
        <w:tc>
          <w:tcPr>
            <w:tcW w:w="701" w:type="pct"/>
            <w:vAlign w:val="center"/>
            <w:hideMark/>
          </w:tcPr>
          <w:p w14:paraId="2FE5C076"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(0.8)</w:t>
            </w:r>
          </w:p>
        </w:tc>
        <w:tc>
          <w:tcPr>
            <w:tcW w:w="714" w:type="pct"/>
            <w:vAlign w:val="center"/>
            <w:hideMark/>
          </w:tcPr>
          <w:p w14:paraId="1C1531A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 (0.7)</w:t>
            </w:r>
          </w:p>
        </w:tc>
        <w:tc>
          <w:tcPr>
            <w:tcW w:w="574" w:type="pct"/>
            <w:vAlign w:val="center"/>
          </w:tcPr>
          <w:p w14:paraId="741DC14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3754FF6F"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4C390C1"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Urban</w:t>
            </w:r>
          </w:p>
        </w:tc>
        <w:tc>
          <w:tcPr>
            <w:tcW w:w="714" w:type="pct"/>
            <w:vAlign w:val="center"/>
            <w:hideMark/>
          </w:tcPr>
          <w:p w14:paraId="0D953FB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2181 (99.1)</w:t>
            </w:r>
          </w:p>
        </w:tc>
        <w:tc>
          <w:tcPr>
            <w:tcW w:w="701" w:type="pct"/>
            <w:vAlign w:val="center"/>
            <w:hideMark/>
          </w:tcPr>
          <w:p w14:paraId="31B91B47"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583 (99.0)</w:t>
            </w:r>
          </w:p>
        </w:tc>
        <w:tc>
          <w:tcPr>
            <w:tcW w:w="714" w:type="pct"/>
            <w:vAlign w:val="center"/>
            <w:hideMark/>
          </w:tcPr>
          <w:p w14:paraId="2558528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1598 (99.2)</w:t>
            </w:r>
          </w:p>
        </w:tc>
        <w:tc>
          <w:tcPr>
            <w:tcW w:w="574" w:type="pct"/>
            <w:vAlign w:val="center"/>
          </w:tcPr>
          <w:p w14:paraId="4863CA4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32389069"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2D80AC8"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Unknown</w:t>
            </w:r>
          </w:p>
        </w:tc>
        <w:tc>
          <w:tcPr>
            <w:tcW w:w="714" w:type="pct"/>
            <w:vAlign w:val="center"/>
            <w:hideMark/>
          </w:tcPr>
          <w:p w14:paraId="4522831B"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(0.1)</w:t>
            </w:r>
          </w:p>
        </w:tc>
        <w:tc>
          <w:tcPr>
            <w:tcW w:w="701" w:type="pct"/>
            <w:vAlign w:val="center"/>
            <w:hideMark/>
          </w:tcPr>
          <w:p w14:paraId="580C849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(0.2)</w:t>
            </w:r>
          </w:p>
        </w:tc>
        <w:tc>
          <w:tcPr>
            <w:tcW w:w="714" w:type="pct"/>
            <w:vAlign w:val="center"/>
            <w:hideMark/>
          </w:tcPr>
          <w:p w14:paraId="7347704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(0.1)</w:t>
            </w:r>
          </w:p>
        </w:tc>
        <w:tc>
          <w:tcPr>
            <w:tcW w:w="574" w:type="pct"/>
            <w:vAlign w:val="center"/>
          </w:tcPr>
          <w:p w14:paraId="16AAD19F"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6E73F507"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3F08E935"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Size of hospital, n (%)</w:t>
            </w:r>
          </w:p>
        </w:tc>
        <w:tc>
          <w:tcPr>
            <w:tcW w:w="574" w:type="pct"/>
            <w:vAlign w:val="center"/>
          </w:tcPr>
          <w:p w14:paraId="53E760A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0.002</w:t>
            </w:r>
          </w:p>
        </w:tc>
      </w:tr>
      <w:tr w:rsidR="006F7356" w:rsidRPr="00796959" w14:paraId="2ED3C8DD"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718C123D"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Small</w:t>
            </w:r>
          </w:p>
        </w:tc>
        <w:tc>
          <w:tcPr>
            <w:tcW w:w="714" w:type="pct"/>
            <w:vAlign w:val="center"/>
            <w:hideMark/>
          </w:tcPr>
          <w:p w14:paraId="25A4A26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38 (1.7)</w:t>
            </w:r>
          </w:p>
        </w:tc>
        <w:tc>
          <w:tcPr>
            <w:tcW w:w="701" w:type="pct"/>
            <w:vAlign w:val="center"/>
            <w:hideMark/>
          </w:tcPr>
          <w:p w14:paraId="37F60C3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20 (3.4)</w:t>
            </w:r>
          </w:p>
        </w:tc>
        <w:tc>
          <w:tcPr>
            <w:tcW w:w="714" w:type="pct"/>
            <w:vAlign w:val="center"/>
            <w:hideMark/>
          </w:tcPr>
          <w:p w14:paraId="753FCE4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18 (1.1)</w:t>
            </w:r>
          </w:p>
        </w:tc>
        <w:tc>
          <w:tcPr>
            <w:tcW w:w="574" w:type="pct"/>
            <w:vAlign w:val="center"/>
          </w:tcPr>
          <w:p w14:paraId="2BD894D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3FC201A1"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0DCD9351"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Medium</w:t>
            </w:r>
          </w:p>
        </w:tc>
        <w:tc>
          <w:tcPr>
            <w:tcW w:w="714" w:type="pct"/>
            <w:vAlign w:val="center"/>
            <w:hideMark/>
          </w:tcPr>
          <w:p w14:paraId="2299336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229 (10.4)</w:t>
            </w:r>
          </w:p>
        </w:tc>
        <w:tc>
          <w:tcPr>
            <w:tcW w:w="701" w:type="pct"/>
            <w:vAlign w:val="center"/>
            <w:hideMark/>
          </w:tcPr>
          <w:p w14:paraId="6A562AB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67 (11.4)</w:t>
            </w:r>
          </w:p>
        </w:tc>
        <w:tc>
          <w:tcPr>
            <w:tcW w:w="714" w:type="pct"/>
            <w:vAlign w:val="center"/>
            <w:hideMark/>
          </w:tcPr>
          <w:p w14:paraId="06B0C98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162 (10.1)</w:t>
            </w:r>
          </w:p>
        </w:tc>
        <w:tc>
          <w:tcPr>
            <w:tcW w:w="574" w:type="pct"/>
            <w:vAlign w:val="center"/>
          </w:tcPr>
          <w:p w14:paraId="47310CB9"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755346B8"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0C550F6"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Large</w:t>
            </w:r>
          </w:p>
        </w:tc>
        <w:tc>
          <w:tcPr>
            <w:tcW w:w="714" w:type="pct"/>
            <w:vAlign w:val="center"/>
            <w:hideMark/>
          </w:tcPr>
          <w:p w14:paraId="7CBFAE2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1931 (87.8)</w:t>
            </w:r>
          </w:p>
        </w:tc>
        <w:tc>
          <w:tcPr>
            <w:tcW w:w="701" w:type="pct"/>
            <w:vAlign w:val="center"/>
            <w:hideMark/>
          </w:tcPr>
          <w:p w14:paraId="6089F91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501 (85.1)</w:t>
            </w:r>
          </w:p>
        </w:tc>
        <w:tc>
          <w:tcPr>
            <w:tcW w:w="714" w:type="pct"/>
            <w:vAlign w:val="center"/>
            <w:hideMark/>
          </w:tcPr>
          <w:p w14:paraId="2826EF0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1430 (88.8)</w:t>
            </w:r>
          </w:p>
        </w:tc>
        <w:tc>
          <w:tcPr>
            <w:tcW w:w="574" w:type="pct"/>
            <w:vAlign w:val="center"/>
          </w:tcPr>
          <w:p w14:paraId="78ABE3E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65E448CC"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16CD0266"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Unknown</w:t>
            </w:r>
          </w:p>
        </w:tc>
        <w:tc>
          <w:tcPr>
            <w:tcW w:w="714" w:type="pct"/>
            <w:vAlign w:val="center"/>
            <w:hideMark/>
          </w:tcPr>
          <w:p w14:paraId="51E1B8C7"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(0.1)</w:t>
            </w:r>
          </w:p>
        </w:tc>
        <w:tc>
          <w:tcPr>
            <w:tcW w:w="701" w:type="pct"/>
            <w:vAlign w:val="center"/>
            <w:hideMark/>
          </w:tcPr>
          <w:p w14:paraId="5B7A8D32"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(0.2)</w:t>
            </w:r>
          </w:p>
        </w:tc>
        <w:tc>
          <w:tcPr>
            <w:tcW w:w="714" w:type="pct"/>
            <w:vAlign w:val="center"/>
            <w:hideMark/>
          </w:tcPr>
          <w:p w14:paraId="0787AE6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(0.1)</w:t>
            </w:r>
          </w:p>
        </w:tc>
        <w:tc>
          <w:tcPr>
            <w:tcW w:w="574" w:type="pct"/>
            <w:vAlign w:val="center"/>
          </w:tcPr>
          <w:p w14:paraId="7B39725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7EE4CC25"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4426" w:type="pct"/>
            <w:gridSpan w:val="4"/>
            <w:vAlign w:val="center"/>
            <w:hideMark/>
          </w:tcPr>
          <w:p w14:paraId="01C9A82F"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Teaching status of hospital, n (%)</w:t>
            </w:r>
          </w:p>
        </w:tc>
        <w:tc>
          <w:tcPr>
            <w:tcW w:w="574" w:type="pct"/>
            <w:vAlign w:val="center"/>
          </w:tcPr>
          <w:p w14:paraId="3045C00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&lt;0.001</w:t>
            </w:r>
          </w:p>
        </w:tc>
      </w:tr>
      <w:tr w:rsidR="006F7356" w:rsidRPr="00796959" w14:paraId="0A5E4950"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2A78A519"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Nonteaching</w:t>
            </w:r>
          </w:p>
        </w:tc>
        <w:tc>
          <w:tcPr>
            <w:tcW w:w="714" w:type="pct"/>
            <w:vAlign w:val="center"/>
            <w:hideMark/>
          </w:tcPr>
          <w:p w14:paraId="71627B1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165 (7.5)</w:t>
            </w:r>
          </w:p>
        </w:tc>
        <w:tc>
          <w:tcPr>
            <w:tcW w:w="701" w:type="pct"/>
            <w:vAlign w:val="center"/>
            <w:hideMark/>
          </w:tcPr>
          <w:p w14:paraId="6A18CE03"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75 (12.7)</w:t>
            </w:r>
          </w:p>
        </w:tc>
        <w:tc>
          <w:tcPr>
            <w:tcW w:w="714" w:type="pct"/>
            <w:vAlign w:val="center"/>
            <w:hideMark/>
          </w:tcPr>
          <w:p w14:paraId="54A42CD2"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90 (5.6)</w:t>
            </w:r>
          </w:p>
        </w:tc>
        <w:tc>
          <w:tcPr>
            <w:tcW w:w="574" w:type="pct"/>
            <w:vAlign w:val="center"/>
          </w:tcPr>
          <w:p w14:paraId="3958451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2D62096B"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vAlign w:val="center"/>
            <w:hideMark/>
          </w:tcPr>
          <w:p w14:paraId="5E2F3503"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Teaching</w:t>
            </w:r>
          </w:p>
        </w:tc>
        <w:tc>
          <w:tcPr>
            <w:tcW w:w="714" w:type="pct"/>
            <w:vAlign w:val="center"/>
            <w:hideMark/>
          </w:tcPr>
          <w:p w14:paraId="5411A1B6"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2033 (92.4)</w:t>
            </w:r>
          </w:p>
        </w:tc>
        <w:tc>
          <w:tcPr>
            <w:tcW w:w="701" w:type="pct"/>
            <w:vAlign w:val="center"/>
            <w:hideMark/>
          </w:tcPr>
          <w:p w14:paraId="437592F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513 (87.1)</w:t>
            </w:r>
          </w:p>
        </w:tc>
        <w:tc>
          <w:tcPr>
            <w:tcW w:w="714" w:type="pct"/>
            <w:vAlign w:val="center"/>
            <w:hideMark/>
          </w:tcPr>
          <w:p w14:paraId="1094E5E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1520 (94.4)</w:t>
            </w:r>
          </w:p>
        </w:tc>
        <w:tc>
          <w:tcPr>
            <w:tcW w:w="574" w:type="pct"/>
            <w:vAlign w:val="center"/>
          </w:tcPr>
          <w:p w14:paraId="3B43A6C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6F7356" w:rsidRPr="00796959" w14:paraId="55D3351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297" w:type="pct"/>
            <w:tcBorders>
              <w:bottom w:val="single" w:sz="8" w:space="0" w:color="auto"/>
            </w:tcBorders>
            <w:vAlign w:val="center"/>
            <w:hideMark/>
          </w:tcPr>
          <w:p w14:paraId="251021A5"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Unknown</w:t>
            </w:r>
          </w:p>
        </w:tc>
        <w:tc>
          <w:tcPr>
            <w:tcW w:w="714" w:type="pct"/>
            <w:tcBorders>
              <w:bottom w:val="single" w:sz="8" w:space="0" w:color="auto"/>
            </w:tcBorders>
            <w:vAlign w:val="center"/>
            <w:hideMark/>
          </w:tcPr>
          <w:p w14:paraId="76E76D43"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(0.1)</w:t>
            </w:r>
          </w:p>
        </w:tc>
        <w:tc>
          <w:tcPr>
            <w:tcW w:w="701" w:type="pct"/>
            <w:tcBorders>
              <w:bottom w:val="single" w:sz="8" w:space="0" w:color="auto"/>
            </w:tcBorders>
            <w:vAlign w:val="center"/>
            <w:hideMark/>
          </w:tcPr>
          <w:p w14:paraId="275797A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(0.2)</w:t>
            </w:r>
          </w:p>
        </w:tc>
        <w:tc>
          <w:tcPr>
            <w:tcW w:w="714" w:type="pct"/>
            <w:tcBorders>
              <w:bottom w:val="single" w:sz="8" w:space="0" w:color="auto"/>
            </w:tcBorders>
            <w:vAlign w:val="center"/>
            <w:hideMark/>
          </w:tcPr>
          <w:p w14:paraId="6660D1B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(0.1)</w:t>
            </w:r>
          </w:p>
        </w:tc>
        <w:tc>
          <w:tcPr>
            <w:tcW w:w="574" w:type="pct"/>
            <w:tcBorders>
              <w:bottom w:val="single" w:sz="8" w:space="0" w:color="auto"/>
            </w:tcBorders>
            <w:vAlign w:val="center"/>
          </w:tcPr>
          <w:p w14:paraId="2B5ACF6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bl>
    <w:p w14:paraId="22A7FC83" w14:textId="77777777" w:rsidR="006F7356" w:rsidRPr="00796959" w:rsidRDefault="006F7356" w:rsidP="00796959">
      <w:pPr>
        <w:ind w:left="86"/>
        <w:rPr>
          <w:rFonts w:ascii="Book Antiqua" w:hAnsi="Book Antiqua" w:cs="Arial"/>
          <w:sz w:val="24"/>
          <w:szCs w:val="24"/>
        </w:rPr>
      </w:pPr>
      <w:r w:rsidRPr="00796959">
        <w:rPr>
          <w:rFonts w:ascii="Book Antiqua" w:hAnsi="Book Antiqua" w:cs="Arial"/>
          <w:sz w:val="24"/>
          <w:szCs w:val="24"/>
          <w:vertAlign w:val="superscript"/>
        </w:rPr>
        <w:t>a</w:t>
      </w:r>
      <w:r w:rsidRPr="00796959">
        <w:rPr>
          <w:rFonts w:ascii="Book Antiqua" w:hAnsi="Book Antiqua" w:cs="Arial"/>
          <w:sz w:val="24"/>
          <w:szCs w:val="24"/>
        </w:rPr>
        <w:t>Pairwise t-test or chi-square test for patients before 2006 and patients 2006 and afterwards.</w:t>
      </w:r>
    </w:p>
    <w:p w14:paraId="218EE291" w14:textId="77777777" w:rsidR="006F7356" w:rsidRPr="00796959" w:rsidRDefault="006F7356" w:rsidP="00796959">
      <w:pPr>
        <w:ind w:left="86"/>
        <w:rPr>
          <w:rFonts w:ascii="Book Antiqua" w:hAnsi="Book Antiqua" w:cs="Arial"/>
          <w:sz w:val="24"/>
          <w:szCs w:val="24"/>
        </w:rPr>
      </w:pPr>
      <w:r w:rsidRPr="00796959">
        <w:rPr>
          <w:rFonts w:ascii="Book Antiqua" w:hAnsi="Book Antiqua" w:cs="Arial"/>
          <w:sz w:val="24"/>
          <w:szCs w:val="24"/>
        </w:rPr>
        <w:t>SD, Standard Deviation; BMI, Body Mass Index; LVAD, Left Ventricular Assist Device; OHT, Orthotopic Heart Transplant</w:t>
      </w:r>
    </w:p>
    <w:p w14:paraId="01969844" w14:textId="77777777" w:rsidR="006F7356" w:rsidRPr="00796959" w:rsidRDefault="006F7356" w:rsidP="00796959">
      <w:pPr>
        <w:rPr>
          <w:rFonts w:ascii="Book Antiqua" w:hAnsi="Book Antiqua" w:cs="Times New Roman"/>
          <w:sz w:val="24"/>
          <w:szCs w:val="24"/>
        </w:rPr>
      </w:pPr>
    </w:p>
    <w:p w14:paraId="095C160A" w14:textId="77777777" w:rsidR="006F7356" w:rsidRPr="00796959" w:rsidRDefault="006F7356" w:rsidP="00796959">
      <w:pPr>
        <w:rPr>
          <w:rFonts w:ascii="Book Antiqua" w:hAnsi="Book Antiqua" w:cs="Times New Roman"/>
          <w:sz w:val="24"/>
          <w:szCs w:val="24"/>
        </w:rPr>
      </w:pPr>
    </w:p>
    <w:p w14:paraId="2CC62CFD" w14:textId="02EDFA0B" w:rsidR="006F7356" w:rsidRPr="00796959" w:rsidRDefault="006F7356" w:rsidP="00796959">
      <w:pPr>
        <w:rPr>
          <w:rFonts w:ascii="Book Antiqua" w:hAnsi="Book Antiqua" w:cs="Times New Roman"/>
          <w:sz w:val="24"/>
          <w:szCs w:val="24"/>
        </w:rPr>
      </w:pPr>
    </w:p>
    <w:p w14:paraId="7E9E2613" w14:textId="14279BF2" w:rsidR="006F7356" w:rsidRPr="00796959" w:rsidRDefault="006F7356" w:rsidP="00796959">
      <w:pPr>
        <w:rPr>
          <w:rFonts w:ascii="Book Antiqua" w:hAnsi="Book Antiqua" w:cs="Times New Roman"/>
          <w:sz w:val="24"/>
          <w:szCs w:val="24"/>
        </w:rPr>
      </w:pPr>
    </w:p>
    <w:p w14:paraId="4E9652D4" w14:textId="77777777" w:rsidR="006F7356" w:rsidRPr="00796959" w:rsidRDefault="006F7356" w:rsidP="00796959">
      <w:pPr>
        <w:rPr>
          <w:rFonts w:ascii="Book Antiqua" w:hAnsi="Book Antiqua" w:cs="Times New Roman"/>
          <w:sz w:val="24"/>
          <w:szCs w:val="24"/>
        </w:rPr>
      </w:pPr>
    </w:p>
    <w:p w14:paraId="49B8C375" w14:textId="77777777" w:rsidR="006F7356" w:rsidRPr="00796959" w:rsidRDefault="006F7356" w:rsidP="00796959">
      <w:pPr>
        <w:rPr>
          <w:rFonts w:ascii="Book Antiqua" w:eastAsia="Times New Roman" w:hAnsi="Book Antiqua" w:cs="Arial"/>
          <w:color w:val="000000"/>
          <w:sz w:val="24"/>
          <w:szCs w:val="24"/>
        </w:rPr>
      </w:pPr>
    </w:p>
    <w:tbl>
      <w:tblPr>
        <w:tblStyle w:val="PlainTable4"/>
        <w:tblW w:w="0" w:type="auto"/>
        <w:jc w:val="center"/>
        <w:tblLook w:val="04A0" w:firstRow="1" w:lastRow="0" w:firstColumn="1" w:lastColumn="0" w:noHBand="0" w:noVBand="1"/>
      </w:tblPr>
      <w:tblGrid>
        <w:gridCol w:w="4377"/>
        <w:gridCol w:w="1669"/>
        <w:gridCol w:w="1575"/>
        <w:gridCol w:w="1575"/>
        <w:gridCol w:w="1604"/>
      </w:tblGrid>
      <w:tr w:rsidR="006F7356" w:rsidRPr="00796959" w14:paraId="4051542D" w14:textId="77777777" w:rsidTr="004333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bottom w:val="single" w:sz="12" w:space="0" w:color="auto"/>
            </w:tcBorders>
          </w:tcPr>
          <w:p w14:paraId="502F4405" w14:textId="77777777" w:rsidR="006F7356" w:rsidRPr="00796959" w:rsidRDefault="006F7356" w:rsidP="00796959">
            <w:pPr>
              <w:spacing w:line="360" w:lineRule="auto"/>
              <w:rPr>
                <w:rFonts w:ascii="Book Antiqua" w:eastAsia="Times New Roman" w:hAnsi="Book Antiqua" w:cs="Arial"/>
                <w:b w:val="0"/>
                <w:bCs w:val="0"/>
                <w:color w:val="000000"/>
                <w:sz w:val="24"/>
                <w:szCs w:val="24"/>
              </w:rPr>
            </w:pPr>
            <w:r w:rsidRPr="00796959">
              <w:rPr>
                <w:rFonts w:ascii="Book Antiqua" w:eastAsia="Times New Roman" w:hAnsi="Book Antiqua" w:cs="Arial"/>
                <w:color w:val="000000"/>
                <w:sz w:val="24"/>
                <w:szCs w:val="24"/>
              </w:rPr>
              <w:t>Table 3.</w:t>
            </w:r>
            <w:r w:rsidRPr="00796959">
              <w:rPr>
                <w:rFonts w:ascii="Book Antiqua" w:eastAsia="Times New Roman" w:hAnsi="Book Antiqua" w:cs="Arial"/>
                <w:b w:val="0"/>
                <w:color w:val="000000"/>
                <w:sz w:val="24"/>
                <w:szCs w:val="24"/>
              </w:rPr>
              <w:t xml:space="preserve"> Complications in hospitalized patients with or without same admission Orthotopic Heart Transplant (OHT) after Left Ve</w:t>
            </w:r>
            <w:r w:rsidRPr="00796959">
              <w:rPr>
                <w:rFonts w:ascii="Book Antiqua" w:eastAsia="Times New Roman" w:hAnsi="Book Antiqua" w:cs="Arial"/>
                <w:b w:val="0"/>
                <w:bCs w:val="0"/>
                <w:color w:val="000000"/>
                <w:sz w:val="24"/>
                <w:szCs w:val="24"/>
              </w:rPr>
              <w:t xml:space="preserve">ntricular Assist Device (LVAD) </w:t>
            </w:r>
          </w:p>
        </w:tc>
      </w:tr>
      <w:tr w:rsidR="006F7356" w:rsidRPr="00796959" w14:paraId="0F316B18" w14:textId="77777777" w:rsidTr="004333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0B170C75" w14:textId="77777777" w:rsidR="006F7356" w:rsidRPr="00796959" w:rsidRDefault="006F7356" w:rsidP="00796959">
            <w:pPr>
              <w:spacing w:line="360" w:lineRule="auto"/>
              <w:rPr>
                <w:rFonts w:ascii="Book Antiqua" w:eastAsia="Times New Roman" w:hAnsi="Book Antiqua" w:cs="Arial"/>
                <w:b w:val="0"/>
                <w:bCs w:val="0"/>
                <w:color w:val="000000"/>
                <w:sz w:val="24"/>
                <w:szCs w:val="24"/>
              </w:rPr>
            </w:pPr>
          </w:p>
        </w:tc>
        <w:tc>
          <w:tcPr>
            <w:tcW w:w="0" w:type="auto"/>
            <w:tcBorders>
              <w:top w:val="single" w:sz="12" w:space="0" w:color="auto"/>
              <w:bottom w:val="single" w:sz="8" w:space="0" w:color="auto"/>
            </w:tcBorders>
            <w:shd w:val="clear" w:color="auto" w:fill="auto"/>
            <w:vAlign w:val="center"/>
            <w:hideMark/>
          </w:tcPr>
          <w:p w14:paraId="0E458A4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Early OHT</w:t>
            </w:r>
            <w:r w:rsidRPr="00796959">
              <w:rPr>
                <w:rFonts w:ascii="Book Antiqua" w:eastAsia="Times New Roman" w:hAnsi="Book Antiqua" w:cs="Arial"/>
                <w:b/>
                <w:bCs/>
                <w:color w:val="000000"/>
                <w:sz w:val="24"/>
                <w:szCs w:val="24"/>
              </w:rPr>
              <w:br/>
              <w:t>(n = 41)</w:t>
            </w:r>
          </w:p>
        </w:tc>
        <w:tc>
          <w:tcPr>
            <w:tcW w:w="0" w:type="auto"/>
            <w:tcBorders>
              <w:top w:val="single" w:sz="12" w:space="0" w:color="auto"/>
              <w:bottom w:val="single" w:sz="8" w:space="0" w:color="auto"/>
            </w:tcBorders>
            <w:shd w:val="clear" w:color="auto" w:fill="auto"/>
            <w:vAlign w:val="center"/>
          </w:tcPr>
          <w:p w14:paraId="1CD6418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Late OHT</w:t>
            </w:r>
            <w:r w:rsidRPr="00796959">
              <w:rPr>
                <w:rFonts w:ascii="Book Antiqua" w:eastAsia="Times New Roman" w:hAnsi="Book Antiqua" w:cs="Arial"/>
                <w:b/>
                <w:bCs/>
                <w:color w:val="000000"/>
                <w:sz w:val="24"/>
                <w:szCs w:val="24"/>
              </w:rPr>
              <w:br/>
              <w:t>(n = 123)</w:t>
            </w:r>
          </w:p>
        </w:tc>
        <w:tc>
          <w:tcPr>
            <w:tcW w:w="0" w:type="auto"/>
            <w:tcBorders>
              <w:top w:val="single" w:sz="12" w:space="0" w:color="auto"/>
              <w:bottom w:val="single" w:sz="8" w:space="0" w:color="auto"/>
            </w:tcBorders>
            <w:shd w:val="clear" w:color="auto" w:fill="auto"/>
            <w:vAlign w:val="center"/>
            <w:hideMark/>
          </w:tcPr>
          <w:p w14:paraId="629C7DF4"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OHT-</w:t>
            </w:r>
            <w:r w:rsidRPr="00796959">
              <w:rPr>
                <w:rFonts w:ascii="Book Antiqua" w:eastAsia="Times New Roman" w:hAnsi="Book Antiqua" w:cs="Arial"/>
                <w:b/>
                <w:bCs/>
                <w:color w:val="000000"/>
                <w:sz w:val="24"/>
                <w:szCs w:val="24"/>
              </w:rPr>
              <w:br/>
              <w:t>(n = 2036)</w:t>
            </w:r>
          </w:p>
        </w:tc>
        <w:tc>
          <w:tcPr>
            <w:tcW w:w="0" w:type="auto"/>
            <w:tcBorders>
              <w:top w:val="single" w:sz="12" w:space="0" w:color="auto"/>
              <w:bottom w:val="single" w:sz="8" w:space="0" w:color="auto"/>
            </w:tcBorders>
            <w:shd w:val="clear" w:color="auto" w:fill="auto"/>
            <w:vAlign w:val="center"/>
            <w:hideMark/>
          </w:tcPr>
          <w:p w14:paraId="2898F66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Total</w:t>
            </w:r>
            <w:r w:rsidRPr="00796959">
              <w:rPr>
                <w:rFonts w:ascii="Book Antiqua" w:eastAsia="Times New Roman" w:hAnsi="Book Antiqua" w:cs="Arial"/>
                <w:b/>
                <w:bCs/>
                <w:color w:val="000000"/>
                <w:sz w:val="24"/>
                <w:szCs w:val="24"/>
              </w:rPr>
              <w:br/>
              <w:t>(n = 2200)</w:t>
            </w:r>
          </w:p>
        </w:tc>
      </w:tr>
      <w:tr w:rsidR="006F7356" w:rsidRPr="00796959" w14:paraId="715DE224"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75E6287E"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 xml:space="preserve">Acute renal failure </w:t>
            </w:r>
          </w:p>
        </w:tc>
        <w:tc>
          <w:tcPr>
            <w:tcW w:w="0" w:type="auto"/>
            <w:tcBorders>
              <w:top w:val="single" w:sz="8" w:space="0" w:color="auto"/>
            </w:tcBorders>
            <w:vAlign w:val="center"/>
            <w:hideMark/>
          </w:tcPr>
          <w:p w14:paraId="19AC737F"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24 (58.5)</w:t>
            </w:r>
          </w:p>
        </w:tc>
        <w:tc>
          <w:tcPr>
            <w:tcW w:w="0" w:type="auto"/>
            <w:tcBorders>
              <w:top w:val="single" w:sz="8" w:space="0" w:color="auto"/>
            </w:tcBorders>
            <w:vAlign w:val="center"/>
          </w:tcPr>
          <w:p w14:paraId="07D77D3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64 (52.0)</w:t>
            </w:r>
          </w:p>
        </w:tc>
        <w:tc>
          <w:tcPr>
            <w:tcW w:w="0" w:type="auto"/>
            <w:tcBorders>
              <w:top w:val="single" w:sz="8" w:space="0" w:color="auto"/>
            </w:tcBorders>
            <w:vAlign w:val="center"/>
            <w:hideMark/>
          </w:tcPr>
          <w:p w14:paraId="70EB9C0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963 (47.3)</w:t>
            </w:r>
          </w:p>
        </w:tc>
        <w:tc>
          <w:tcPr>
            <w:tcW w:w="0" w:type="auto"/>
            <w:tcBorders>
              <w:top w:val="single" w:sz="8" w:space="0" w:color="auto"/>
            </w:tcBorders>
            <w:vAlign w:val="center"/>
            <w:hideMark/>
          </w:tcPr>
          <w:p w14:paraId="19CD3B0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1051 (47.8)</w:t>
            </w:r>
          </w:p>
        </w:tc>
      </w:tr>
      <w:tr w:rsidR="006F7356" w:rsidRPr="00796959" w14:paraId="64A89142"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B9692D"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 xml:space="preserve">Reoperation </w:t>
            </w:r>
          </w:p>
        </w:tc>
        <w:tc>
          <w:tcPr>
            <w:tcW w:w="0" w:type="auto"/>
            <w:vAlign w:val="center"/>
            <w:hideMark/>
          </w:tcPr>
          <w:p w14:paraId="1904C4F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28 (68.3)</w:t>
            </w:r>
          </w:p>
        </w:tc>
        <w:tc>
          <w:tcPr>
            <w:tcW w:w="0" w:type="auto"/>
            <w:vAlign w:val="center"/>
          </w:tcPr>
          <w:p w14:paraId="67059EA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87 (70.7)</w:t>
            </w:r>
          </w:p>
        </w:tc>
        <w:tc>
          <w:tcPr>
            <w:tcW w:w="0" w:type="auto"/>
            <w:vAlign w:val="center"/>
            <w:hideMark/>
          </w:tcPr>
          <w:p w14:paraId="5DA48C3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803 (39.4)</w:t>
            </w:r>
          </w:p>
        </w:tc>
        <w:tc>
          <w:tcPr>
            <w:tcW w:w="0" w:type="auto"/>
            <w:vAlign w:val="center"/>
            <w:hideMark/>
          </w:tcPr>
          <w:p w14:paraId="0CA302A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918 (41.7)</w:t>
            </w:r>
          </w:p>
        </w:tc>
      </w:tr>
      <w:tr w:rsidR="006F7356" w:rsidRPr="00796959" w14:paraId="323ED850"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1D988B7"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Bleeding requiring transfusion</w:t>
            </w:r>
          </w:p>
        </w:tc>
        <w:tc>
          <w:tcPr>
            <w:tcW w:w="0" w:type="auto"/>
            <w:vAlign w:val="center"/>
            <w:hideMark/>
          </w:tcPr>
          <w:p w14:paraId="015E920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 (17.1)</w:t>
            </w:r>
          </w:p>
        </w:tc>
        <w:tc>
          <w:tcPr>
            <w:tcW w:w="0" w:type="auto"/>
            <w:vAlign w:val="center"/>
          </w:tcPr>
          <w:p w14:paraId="2413C25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30 (24.4)</w:t>
            </w:r>
          </w:p>
        </w:tc>
        <w:tc>
          <w:tcPr>
            <w:tcW w:w="0" w:type="auto"/>
            <w:vAlign w:val="center"/>
            <w:hideMark/>
          </w:tcPr>
          <w:p w14:paraId="25139A9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780 (38.3)</w:t>
            </w:r>
          </w:p>
        </w:tc>
        <w:tc>
          <w:tcPr>
            <w:tcW w:w="0" w:type="auto"/>
            <w:vAlign w:val="center"/>
            <w:hideMark/>
          </w:tcPr>
          <w:p w14:paraId="7C1E520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817 (37.1)</w:t>
            </w:r>
          </w:p>
        </w:tc>
      </w:tr>
      <w:tr w:rsidR="006F7356" w:rsidRPr="00796959" w14:paraId="374EC848"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FFD429D"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Acute respiratory failure</w:t>
            </w:r>
          </w:p>
        </w:tc>
        <w:tc>
          <w:tcPr>
            <w:tcW w:w="0" w:type="auto"/>
            <w:vAlign w:val="center"/>
            <w:hideMark/>
          </w:tcPr>
          <w:p w14:paraId="21F15AC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 (19.5)</w:t>
            </w:r>
          </w:p>
        </w:tc>
        <w:tc>
          <w:tcPr>
            <w:tcW w:w="0" w:type="auto"/>
            <w:vAlign w:val="center"/>
          </w:tcPr>
          <w:p w14:paraId="4335352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37 (30.1)</w:t>
            </w:r>
          </w:p>
        </w:tc>
        <w:tc>
          <w:tcPr>
            <w:tcW w:w="0" w:type="auto"/>
            <w:vAlign w:val="center"/>
            <w:hideMark/>
          </w:tcPr>
          <w:p w14:paraId="6B45DCD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518 (25.4)</w:t>
            </w:r>
          </w:p>
        </w:tc>
        <w:tc>
          <w:tcPr>
            <w:tcW w:w="0" w:type="auto"/>
            <w:vAlign w:val="center"/>
            <w:hideMark/>
          </w:tcPr>
          <w:p w14:paraId="7236B1C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563 (25.6)</w:t>
            </w:r>
          </w:p>
        </w:tc>
      </w:tr>
      <w:tr w:rsidR="006F7356" w:rsidRPr="00796959" w14:paraId="132BDAC5"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66336B"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 xml:space="preserve">Sepsis </w:t>
            </w:r>
          </w:p>
        </w:tc>
        <w:tc>
          <w:tcPr>
            <w:tcW w:w="0" w:type="auto"/>
            <w:vAlign w:val="center"/>
            <w:hideMark/>
          </w:tcPr>
          <w:p w14:paraId="3FCF71B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(4.9)</w:t>
            </w:r>
          </w:p>
        </w:tc>
        <w:tc>
          <w:tcPr>
            <w:tcW w:w="0" w:type="auto"/>
            <w:vAlign w:val="center"/>
          </w:tcPr>
          <w:p w14:paraId="144ACEF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17 (13.8)</w:t>
            </w:r>
          </w:p>
        </w:tc>
        <w:tc>
          <w:tcPr>
            <w:tcW w:w="0" w:type="auto"/>
            <w:vAlign w:val="center"/>
            <w:hideMark/>
          </w:tcPr>
          <w:p w14:paraId="14F22D1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233 (11.4)</w:t>
            </w:r>
          </w:p>
        </w:tc>
        <w:tc>
          <w:tcPr>
            <w:tcW w:w="0" w:type="auto"/>
            <w:vAlign w:val="center"/>
            <w:hideMark/>
          </w:tcPr>
          <w:p w14:paraId="29B801D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252 (11.5)</w:t>
            </w:r>
          </w:p>
        </w:tc>
      </w:tr>
      <w:tr w:rsidR="006F7356" w:rsidRPr="00796959" w14:paraId="2A995BE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74717D"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 xml:space="preserve">Postoperative cardiac complication </w:t>
            </w:r>
          </w:p>
        </w:tc>
        <w:tc>
          <w:tcPr>
            <w:tcW w:w="0" w:type="auto"/>
            <w:vAlign w:val="center"/>
            <w:hideMark/>
          </w:tcPr>
          <w:p w14:paraId="52328B8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 (17.1)</w:t>
            </w:r>
          </w:p>
        </w:tc>
        <w:tc>
          <w:tcPr>
            <w:tcW w:w="0" w:type="auto"/>
            <w:vAlign w:val="center"/>
          </w:tcPr>
          <w:p w14:paraId="78204A1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15 (12.2)</w:t>
            </w:r>
          </w:p>
        </w:tc>
        <w:tc>
          <w:tcPr>
            <w:tcW w:w="0" w:type="auto"/>
            <w:vAlign w:val="center"/>
            <w:hideMark/>
          </w:tcPr>
          <w:p w14:paraId="09C7DC42"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234 (11.5)</w:t>
            </w:r>
          </w:p>
        </w:tc>
        <w:tc>
          <w:tcPr>
            <w:tcW w:w="0" w:type="auto"/>
            <w:vAlign w:val="center"/>
            <w:hideMark/>
          </w:tcPr>
          <w:p w14:paraId="5359799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256 (11.6)</w:t>
            </w:r>
          </w:p>
        </w:tc>
      </w:tr>
      <w:tr w:rsidR="006F7356" w:rsidRPr="00796959" w14:paraId="580A01F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66CD62"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Acute liver failure</w:t>
            </w:r>
          </w:p>
        </w:tc>
        <w:tc>
          <w:tcPr>
            <w:tcW w:w="0" w:type="auto"/>
            <w:vAlign w:val="center"/>
            <w:hideMark/>
          </w:tcPr>
          <w:p w14:paraId="7AE2121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 (7.3)</w:t>
            </w:r>
          </w:p>
        </w:tc>
        <w:tc>
          <w:tcPr>
            <w:tcW w:w="0" w:type="auto"/>
            <w:vAlign w:val="center"/>
          </w:tcPr>
          <w:p w14:paraId="4DDD3FB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 (7.3)</w:t>
            </w:r>
          </w:p>
        </w:tc>
        <w:tc>
          <w:tcPr>
            <w:tcW w:w="0" w:type="auto"/>
            <w:vAlign w:val="center"/>
            <w:hideMark/>
          </w:tcPr>
          <w:p w14:paraId="3BE157D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224 (11.0)</w:t>
            </w:r>
          </w:p>
        </w:tc>
        <w:tc>
          <w:tcPr>
            <w:tcW w:w="0" w:type="auto"/>
            <w:vAlign w:val="center"/>
            <w:hideMark/>
          </w:tcPr>
          <w:p w14:paraId="4EF2EA0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236 (10.7)</w:t>
            </w:r>
          </w:p>
        </w:tc>
      </w:tr>
      <w:tr w:rsidR="006F7356" w:rsidRPr="00796959" w14:paraId="1F081E4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FA2345"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 xml:space="preserve">Device failure </w:t>
            </w:r>
          </w:p>
        </w:tc>
        <w:tc>
          <w:tcPr>
            <w:tcW w:w="0" w:type="auto"/>
            <w:vAlign w:val="center"/>
            <w:hideMark/>
          </w:tcPr>
          <w:p w14:paraId="2127CCE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c>
          <w:tcPr>
            <w:tcW w:w="0" w:type="auto"/>
            <w:vAlign w:val="center"/>
          </w:tcPr>
          <w:p w14:paraId="0EEDAF84"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 (3.3)</w:t>
            </w:r>
          </w:p>
        </w:tc>
        <w:tc>
          <w:tcPr>
            <w:tcW w:w="0" w:type="auto"/>
            <w:vAlign w:val="center"/>
            <w:hideMark/>
          </w:tcPr>
          <w:p w14:paraId="4F730164"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62 (3.0)</w:t>
            </w:r>
          </w:p>
        </w:tc>
        <w:tc>
          <w:tcPr>
            <w:tcW w:w="0" w:type="auto"/>
            <w:vAlign w:val="center"/>
            <w:hideMark/>
          </w:tcPr>
          <w:p w14:paraId="0A093A24"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66 (3.0)</w:t>
            </w:r>
          </w:p>
        </w:tc>
      </w:tr>
      <w:tr w:rsidR="006F7356" w:rsidRPr="00796959" w14:paraId="40B056A7"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14:paraId="157DF078"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 xml:space="preserve">Stroke </w:t>
            </w:r>
          </w:p>
        </w:tc>
        <w:tc>
          <w:tcPr>
            <w:tcW w:w="0" w:type="auto"/>
            <w:tcBorders>
              <w:bottom w:val="single" w:sz="8" w:space="0" w:color="auto"/>
            </w:tcBorders>
            <w:vAlign w:val="center"/>
            <w:hideMark/>
          </w:tcPr>
          <w:p w14:paraId="1B7EF64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(2.4)</w:t>
            </w:r>
          </w:p>
        </w:tc>
        <w:tc>
          <w:tcPr>
            <w:tcW w:w="0" w:type="auto"/>
            <w:tcBorders>
              <w:bottom w:val="single" w:sz="8" w:space="0" w:color="auto"/>
            </w:tcBorders>
            <w:vAlign w:val="center"/>
          </w:tcPr>
          <w:p w14:paraId="70BB9F1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 (0.8)</w:t>
            </w:r>
          </w:p>
        </w:tc>
        <w:tc>
          <w:tcPr>
            <w:tcW w:w="0" w:type="auto"/>
            <w:tcBorders>
              <w:bottom w:val="single" w:sz="8" w:space="0" w:color="auto"/>
            </w:tcBorders>
            <w:vAlign w:val="center"/>
            <w:hideMark/>
          </w:tcPr>
          <w:p w14:paraId="68D4361C"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53 (2.6)</w:t>
            </w:r>
          </w:p>
        </w:tc>
        <w:tc>
          <w:tcPr>
            <w:tcW w:w="0" w:type="auto"/>
            <w:tcBorders>
              <w:bottom w:val="single" w:sz="8" w:space="0" w:color="auto"/>
            </w:tcBorders>
            <w:vAlign w:val="center"/>
            <w:hideMark/>
          </w:tcPr>
          <w:p w14:paraId="302CC5E3"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55 (2.5)</w:t>
            </w:r>
          </w:p>
        </w:tc>
      </w:tr>
    </w:tbl>
    <w:p w14:paraId="47F91F8E" w14:textId="77777777" w:rsidR="006F7356" w:rsidRPr="00796959" w:rsidRDefault="006F7356" w:rsidP="00796959">
      <w:pPr>
        <w:ind w:left="90"/>
        <w:rPr>
          <w:rFonts w:ascii="Book Antiqua" w:hAnsi="Book Antiqua" w:cs="Arial"/>
          <w:sz w:val="24"/>
          <w:szCs w:val="24"/>
        </w:rPr>
      </w:pPr>
      <w:r w:rsidRPr="00796959">
        <w:rPr>
          <w:rFonts w:ascii="Book Antiqua" w:hAnsi="Book Antiqua" w:cs="Arial"/>
          <w:sz w:val="24"/>
          <w:szCs w:val="24"/>
        </w:rPr>
        <w:t xml:space="preserve">*All pairwise comparisons of early vs. late OHT were not statistically significant (p &gt; 0.05). </w:t>
      </w:r>
    </w:p>
    <w:p w14:paraId="3B3C7117" w14:textId="77777777" w:rsidR="006F7356" w:rsidRPr="00796959" w:rsidRDefault="006F7356" w:rsidP="00796959">
      <w:pPr>
        <w:rPr>
          <w:rFonts w:ascii="Book Antiqua" w:hAnsi="Book Antiqua" w:cs="Arial"/>
          <w:sz w:val="24"/>
          <w:szCs w:val="24"/>
        </w:rPr>
      </w:pPr>
    </w:p>
    <w:p w14:paraId="18CB456B" w14:textId="77777777" w:rsidR="006F7356" w:rsidRPr="00796959" w:rsidRDefault="006F7356" w:rsidP="00796959">
      <w:pPr>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br w:type="page"/>
      </w:r>
    </w:p>
    <w:tbl>
      <w:tblPr>
        <w:tblStyle w:val="PlainTable4"/>
        <w:tblW w:w="0" w:type="auto"/>
        <w:jc w:val="center"/>
        <w:tblLook w:val="04A0" w:firstRow="1" w:lastRow="0" w:firstColumn="1" w:lastColumn="0" w:noHBand="0" w:noVBand="1"/>
      </w:tblPr>
      <w:tblGrid>
        <w:gridCol w:w="3752"/>
        <w:gridCol w:w="3247"/>
        <w:gridCol w:w="2370"/>
        <w:gridCol w:w="1431"/>
      </w:tblGrid>
      <w:tr w:rsidR="006F7356" w:rsidRPr="00796959" w14:paraId="3C084BFF" w14:textId="77777777" w:rsidTr="004333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4"/>
            <w:tcBorders>
              <w:bottom w:val="single" w:sz="12" w:space="0" w:color="auto"/>
            </w:tcBorders>
          </w:tcPr>
          <w:p w14:paraId="4932C6FA" w14:textId="77777777" w:rsidR="006F7356" w:rsidRPr="00796959" w:rsidRDefault="006F7356" w:rsidP="00796959">
            <w:pPr>
              <w:spacing w:line="360" w:lineRule="auto"/>
              <w:rPr>
                <w:rFonts w:ascii="Book Antiqua" w:eastAsia="Times New Roman" w:hAnsi="Book Antiqua" w:cs="Arial"/>
                <w:b w:val="0"/>
                <w:bCs w:val="0"/>
                <w:color w:val="000000"/>
                <w:sz w:val="24"/>
                <w:szCs w:val="24"/>
              </w:rPr>
            </w:pPr>
            <w:r w:rsidRPr="00796959">
              <w:rPr>
                <w:rFonts w:ascii="Book Antiqua" w:eastAsia="Times New Roman" w:hAnsi="Book Antiqua" w:cs="Arial"/>
                <w:color w:val="000000"/>
                <w:sz w:val="24"/>
                <w:szCs w:val="24"/>
              </w:rPr>
              <w:lastRenderedPageBreak/>
              <w:t xml:space="preserve">Table 4. </w:t>
            </w:r>
            <w:r w:rsidRPr="00796959">
              <w:rPr>
                <w:rFonts w:ascii="Book Antiqua" w:eastAsia="Times New Roman" w:hAnsi="Book Antiqua" w:cs="Arial"/>
                <w:b w:val="0"/>
                <w:color w:val="000000"/>
                <w:sz w:val="24"/>
                <w:szCs w:val="24"/>
              </w:rPr>
              <w:t>A generalized multivariate linear model to evaluate post-LVAD OHT mortality. Positive estimates reflect positive association with increased mortality.</w:t>
            </w:r>
          </w:p>
        </w:tc>
      </w:tr>
      <w:tr w:rsidR="006F7356" w:rsidRPr="00796959" w14:paraId="55FA98CF" w14:textId="77777777" w:rsidTr="004333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2558540C" w14:textId="77777777" w:rsidR="006F7356" w:rsidRPr="00796959" w:rsidRDefault="006F7356" w:rsidP="00796959">
            <w:pPr>
              <w:spacing w:line="360" w:lineRule="auto"/>
              <w:rPr>
                <w:rFonts w:ascii="Book Antiqua" w:eastAsia="Times New Roman" w:hAnsi="Book Antiqua" w:cs="Arial"/>
                <w:b w:val="0"/>
                <w:bCs w:val="0"/>
                <w:color w:val="000000"/>
                <w:sz w:val="24"/>
                <w:szCs w:val="24"/>
              </w:rPr>
            </w:pPr>
          </w:p>
        </w:tc>
        <w:tc>
          <w:tcPr>
            <w:tcW w:w="0" w:type="auto"/>
            <w:tcBorders>
              <w:top w:val="single" w:sz="12" w:space="0" w:color="auto"/>
              <w:bottom w:val="single" w:sz="8" w:space="0" w:color="auto"/>
            </w:tcBorders>
            <w:shd w:val="clear" w:color="auto" w:fill="auto"/>
            <w:vAlign w:val="center"/>
            <w:hideMark/>
          </w:tcPr>
          <w:p w14:paraId="489D251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Regression coefficient</w:t>
            </w:r>
          </w:p>
        </w:tc>
        <w:tc>
          <w:tcPr>
            <w:tcW w:w="0" w:type="auto"/>
            <w:tcBorders>
              <w:top w:val="single" w:sz="12" w:space="0" w:color="auto"/>
              <w:bottom w:val="single" w:sz="8" w:space="0" w:color="auto"/>
            </w:tcBorders>
            <w:shd w:val="clear" w:color="auto" w:fill="auto"/>
            <w:vAlign w:val="center"/>
          </w:tcPr>
          <w:p w14:paraId="4FA540F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Standard Error</w:t>
            </w:r>
          </w:p>
        </w:tc>
        <w:tc>
          <w:tcPr>
            <w:tcW w:w="0" w:type="auto"/>
            <w:tcBorders>
              <w:top w:val="single" w:sz="12" w:space="0" w:color="auto"/>
              <w:bottom w:val="single" w:sz="8" w:space="0" w:color="auto"/>
            </w:tcBorders>
            <w:shd w:val="clear" w:color="auto" w:fill="auto"/>
            <w:vAlign w:val="center"/>
            <w:hideMark/>
          </w:tcPr>
          <w:p w14:paraId="11BB355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p-value</w:t>
            </w:r>
          </w:p>
        </w:tc>
      </w:tr>
      <w:tr w:rsidR="006F7356" w:rsidRPr="00796959" w14:paraId="148B4C40"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09C5123F"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Age</w:t>
            </w:r>
          </w:p>
        </w:tc>
        <w:tc>
          <w:tcPr>
            <w:tcW w:w="0" w:type="auto"/>
            <w:tcBorders>
              <w:top w:val="single" w:sz="8" w:space="0" w:color="auto"/>
            </w:tcBorders>
            <w:vAlign w:val="center"/>
            <w:hideMark/>
          </w:tcPr>
          <w:p w14:paraId="6859B49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0.003</w:t>
            </w:r>
          </w:p>
        </w:tc>
        <w:tc>
          <w:tcPr>
            <w:tcW w:w="0" w:type="auto"/>
            <w:tcBorders>
              <w:top w:val="single" w:sz="8" w:space="0" w:color="auto"/>
            </w:tcBorders>
            <w:vAlign w:val="center"/>
          </w:tcPr>
          <w:p w14:paraId="54718CB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0.002</w:t>
            </w:r>
          </w:p>
        </w:tc>
        <w:tc>
          <w:tcPr>
            <w:tcW w:w="0" w:type="auto"/>
            <w:tcBorders>
              <w:top w:val="single" w:sz="8" w:space="0" w:color="auto"/>
            </w:tcBorders>
            <w:vAlign w:val="center"/>
            <w:hideMark/>
          </w:tcPr>
          <w:p w14:paraId="233071D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0.158</w:t>
            </w:r>
          </w:p>
        </w:tc>
      </w:tr>
      <w:tr w:rsidR="006F7356" w:rsidRPr="00796959" w14:paraId="0103662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F8E740"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Female sex</w:t>
            </w:r>
          </w:p>
        </w:tc>
        <w:tc>
          <w:tcPr>
            <w:tcW w:w="0" w:type="auto"/>
            <w:vAlign w:val="center"/>
            <w:hideMark/>
          </w:tcPr>
          <w:p w14:paraId="6DCC5E5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0.071</w:t>
            </w:r>
          </w:p>
        </w:tc>
        <w:tc>
          <w:tcPr>
            <w:tcW w:w="0" w:type="auto"/>
            <w:vAlign w:val="center"/>
          </w:tcPr>
          <w:p w14:paraId="544BEC2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0.075</w:t>
            </w:r>
          </w:p>
        </w:tc>
        <w:tc>
          <w:tcPr>
            <w:tcW w:w="0" w:type="auto"/>
            <w:vAlign w:val="center"/>
            <w:hideMark/>
          </w:tcPr>
          <w:p w14:paraId="7FAF3EA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0.342</w:t>
            </w:r>
          </w:p>
        </w:tc>
      </w:tr>
      <w:tr w:rsidR="006F7356" w:rsidRPr="00796959" w14:paraId="74C37DB9"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71FBB1"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Caucasian race</w:t>
            </w:r>
          </w:p>
        </w:tc>
        <w:tc>
          <w:tcPr>
            <w:tcW w:w="0" w:type="auto"/>
            <w:vAlign w:val="center"/>
            <w:hideMark/>
          </w:tcPr>
          <w:p w14:paraId="01D1B13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-0.010</w:t>
            </w:r>
          </w:p>
        </w:tc>
        <w:tc>
          <w:tcPr>
            <w:tcW w:w="0" w:type="auto"/>
            <w:vAlign w:val="center"/>
          </w:tcPr>
          <w:p w14:paraId="64891A7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0.027</w:t>
            </w:r>
          </w:p>
        </w:tc>
        <w:tc>
          <w:tcPr>
            <w:tcW w:w="0" w:type="auto"/>
            <w:vAlign w:val="center"/>
            <w:hideMark/>
          </w:tcPr>
          <w:p w14:paraId="7AC8647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0.695</w:t>
            </w:r>
          </w:p>
        </w:tc>
      </w:tr>
      <w:tr w:rsidR="006F7356" w:rsidRPr="00796959" w14:paraId="4D992ACA"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BB2782"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Median household income</w:t>
            </w:r>
          </w:p>
        </w:tc>
        <w:tc>
          <w:tcPr>
            <w:tcW w:w="0" w:type="auto"/>
            <w:vAlign w:val="center"/>
            <w:hideMark/>
          </w:tcPr>
          <w:p w14:paraId="48E75F19"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0.013</w:t>
            </w:r>
          </w:p>
        </w:tc>
        <w:tc>
          <w:tcPr>
            <w:tcW w:w="0" w:type="auto"/>
            <w:vAlign w:val="center"/>
          </w:tcPr>
          <w:p w14:paraId="6F3816C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0.027</w:t>
            </w:r>
          </w:p>
        </w:tc>
        <w:tc>
          <w:tcPr>
            <w:tcW w:w="0" w:type="auto"/>
            <w:vAlign w:val="center"/>
            <w:hideMark/>
          </w:tcPr>
          <w:p w14:paraId="55CDA754"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0.638</w:t>
            </w:r>
          </w:p>
        </w:tc>
      </w:tr>
      <w:tr w:rsidR="006F7356" w:rsidRPr="00796959" w14:paraId="1954F30E"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0B6918"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Number of comorbidities</w:t>
            </w:r>
          </w:p>
        </w:tc>
        <w:tc>
          <w:tcPr>
            <w:tcW w:w="0" w:type="auto"/>
            <w:vAlign w:val="center"/>
            <w:hideMark/>
          </w:tcPr>
          <w:p w14:paraId="38CB6BC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0.006</w:t>
            </w:r>
          </w:p>
        </w:tc>
        <w:tc>
          <w:tcPr>
            <w:tcW w:w="0" w:type="auto"/>
            <w:vAlign w:val="center"/>
          </w:tcPr>
          <w:p w14:paraId="6EF3662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0.010</w:t>
            </w:r>
          </w:p>
        </w:tc>
        <w:tc>
          <w:tcPr>
            <w:tcW w:w="0" w:type="auto"/>
            <w:vAlign w:val="center"/>
            <w:hideMark/>
          </w:tcPr>
          <w:p w14:paraId="0AA28F0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0.518</w:t>
            </w:r>
          </w:p>
        </w:tc>
      </w:tr>
      <w:tr w:rsidR="006F7356" w:rsidRPr="00796959" w14:paraId="126D303A"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FD23D2"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 xml:space="preserve">Years 1998-2005 </w:t>
            </w:r>
          </w:p>
        </w:tc>
        <w:tc>
          <w:tcPr>
            <w:tcW w:w="0" w:type="auto"/>
            <w:vAlign w:val="center"/>
            <w:hideMark/>
          </w:tcPr>
          <w:p w14:paraId="0C5410E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0.096</w:t>
            </w:r>
          </w:p>
        </w:tc>
        <w:tc>
          <w:tcPr>
            <w:tcW w:w="0" w:type="auto"/>
            <w:vAlign w:val="center"/>
          </w:tcPr>
          <w:p w14:paraId="1019FB4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0.060</w:t>
            </w:r>
          </w:p>
        </w:tc>
        <w:tc>
          <w:tcPr>
            <w:tcW w:w="0" w:type="auto"/>
            <w:vAlign w:val="center"/>
            <w:hideMark/>
          </w:tcPr>
          <w:p w14:paraId="4FC9F94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0.113</w:t>
            </w:r>
          </w:p>
        </w:tc>
      </w:tr>
      <w:tr w:rsidR="006F7356" w:rsidRPr="00796959" w14:paraId="76507E82"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vAlign w:val="center"/>
            <w:hideMark/>
          </w:tcPr>
          <w:p w14:paraId="01DFD839"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Early OHT</w:t>
            </w:r>
          </w:p>
        </w:tc>
        <w:tc>
          <w:tcPr>
            <w:tcW w:w="0" w:type="auto"/>
            <w:tcBorders>
              <w:bottom w:val="single" w:sz="8" w:space="0" w:color="auto"/>
            </w:tcBorders>
            <w:vAlign w:val="center"/>
            <w:hideMark/>
          </w:tcPr>
          <w:p w14:paraId="0376AA33"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0.200</w:t>
            </w:r>
          </w:p>
        </w:tc>
        <w:tc>
          <w:tcPr>
            <w:tcW w:w="0" w:type="auto"/>
            <w:tcBorders>
              <w:bottom w:val="single" w:sz="8" w:space="0" w:color="auto"/>
            </w:tcBorders>
            <w:vAlign w:val="center"/>
          </w:tcPr>
          <w:p w14:paraId="7A6C0F7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0.067</w:t>
            </w:r>
          </w:p>
        </w:tc>
        <w:tc>
          <w:tcPr>
            <w:tcW w:w="0" w:type="auto"/>
            <w:tcBorders>
              <w:bottom w:val="single" w:sz="8" w:space="0" w:color="auto"/>
            </w:tcBorders>
            <w:vAlign w:val="center"/>
            <w:hideMark/>
          </w:tcPr>
          <w:p w14:paraId="1E99334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0.004*</w:t>
            </w:r>
          </w:p>
        </w:tc>
      </w:tr>
    </w:tbl>
    <w:p w14:paraId="09123405" w14:textId="77777777" w:rsidR="006F7356" w:rsidRPr="00796959" w:rsidRDefault="006F7356" w:rsidP="00796959">
      <w:pPr>
        <w:ind w:left="90"/>
        <w:rPr>
          <w:rFonts w:ascii="Book Antiqua" w:hAnsi="Book Antiqua" w:cs="Arial"/>
          <w:sz w:val="24"/>
          <w:szCs w:val="24"/>
        </w:rPr>
      </w:pPr>
      <w:r w:rsidRPr="00796959">
        <w:rPr>
          <w:rFonts w:ascii="Book Antiqua" w:hAnsi="Book Antiqua" w:cs="Arial"/>
          <w:sz w:val="24"/>
          <w:szCs w:val="24"/>
        </w:rPr>
        <w:t>*p-value &lt; 0.05</w:t>
      </w:r>
    </w:p>
    <w:p w14:paraId="1A6261C9" w14:textId="77777777" w:rsidR="006F7356" w:rsidRPr="00796959" w:rsidRDefault="006F7356" w:rsidP="00796959">
      <w:pPr>
        <w:rPr>
          <w:rFonts w:ascii="Book Antiqua" w:hAnsi="Book Antiqua" w:cs="Arial"/>
          <w:sz w:val="24"/>
          <w:szCs w:val="24"/>
        </w:rPr>
      </w:pPr>
    </w:p>
    <w:p w14:paraId="4B4E17D0" w14:textId="77777777" w:rsidR="006F7356" w:rsidRPr="00796959" w:rsidRDefault="006F7356" w:rsidP="00796959">
      <w:pPr>
        <w:rPr>
          <w:rFonts w:ascii="Book Antiqua" w:hAnsi="Book Antiqua"/>
          <w:b/>
          <w:sz w:val="24"/>
          <w:szCs w:val="24"/>
          <w:u w:val="single"/>
        </w:rPr>
      </w:pPr>
    </w:p>
    <w:p w14:paraId="0DF45E75" w14:textId="77777777" w:rsidR="006F7356" w:rsidRPr="00796959" w:rsidRDefault="006F7356" w:rsidP="00796959">
      <w:pPr>
        <w:rPr>
          <w:rFonts w:ascii="Book Antiqua" w:hAnsi="Book Antiqua"/>
          <w:b/>
          <w:sz w:val="24"/>
          <w:szCs w:val="24"/>
          <w:u w:val="single"/>
        </w:rPr>
      </w:pPr>
    </w:p>
    <w:p w14:paraId="72D86473" w14:textId="77777777" w:rsidR="006F7356" w:rsidRPr="00796959" w:rsidRDefault="006F7356" w:rsidP="00796959">
      <w:pPr>
        <w:rPr>
          <w:rFonts w:ascii="Book Antiqua" w:hAnsi="Book Antiqua"/>
          <w:b/>
          <w:sz w:val="24"/>
          <w:szCs w:val="24"/>
          <w:u w:val="single"/>
        </w:rPr>
      </w:pPr>
    </w:p>
    <w:p w14:paraId="72928796" w14:textId="77777777" w:rsidR="006F7356" w:rsidRPr="00796959" w:rsidRDefault="006F7356" w:rsidP="00796959">
      <w:pPr>
        <w:rPr>
          <w:rFonts w:ascii="Book Antiqua" w:hAnsi="Book Antiqua"/>
          <w:b/>
          <w:sz w:val="24"/>
          <w:szCs w:val="24"/>
          <w:u w:val="single"/>
        </w:rPr>
      </w:pPr>
    </w:p>
    <w:p w14:paraId="7A687069" w14:textId="77777777" w:rsidR="006F7356" w:rsidRPr="00796959" w:rsidRDefault="006F7356" w:rsidP="00796959">
      <w:pPr>
        <w:rPr>
          <w:rFonts w:ascii="Book Antiqua" w:hAnsi="Book Antiqua"/>
          <w:b/>
          <w:sz w:val="24"/>
          <w:szCs w:val="24"/>
          <w:u w:val="single"/>
        </w:rPr>
      </w:pPr>
    </w:p>
    <w:p w14:paraId="13AD7424" w14:textId="77777777" w:rsidR="006F7356" w:rsidRPr="00796959" w:rsidRDefault="006F7356" w:rsidP="00796959">
      <w:pPr>
        <w:rPr>
          <w:rFonts w:ascii="Book Antiqua" w:hAnsi="Book Antiqua"/>
          <w:b/>
          <w:sz w:val="24"/>
          <w:szCs w:val="24"/>
          <w:u w:val="single"/>
        </w:rPr>
      </w:pPr>
    </w:p>
    <w:p w14:paraId="004D56A2" w14:textId="77777777" w:rsidR="006F7356" w:rsidRPr="00796959" w:rsidRDefault="006F7356" w:rsidP="00796959">
      <w:pPr>
        <w:rPr>
          <w:rFonts w:ascii="Book Antiqua" w:hAnsi="Book Antiqua"/>
          <w:b/>
          <w:sz w:val="24"/>
          <w:szCs w:val="24"/>
          <w:u w:val="single"/>
        </w:rPr>
      </w:pPr>
    </w:p>
    <w:p w14:paraId="32013841" w14:textId="77777777" w:rsidR="006F7356" w:rsidRPr="00796959" w:rsidRDefault="006F7356" w:rsidP="00796959">
      <w:pPr>
        <w:rPr>
          <w:rFonts w:ascii="Book Antiqua" w:hAnsi="Book Antiqua"/>
          <w:b/>
          <w:sz w:val="24"/>
          <w:szCs w:val="24"/>
          <w:u w:val="single"/>
        </w:rPr>
      </w:pPr>
    </w:p>
    <w:p w14:paraId="73D7E051" w14:textId="77777777" w:rsidR="006F7356" w:rsidRPr="00796959" w:rsidRDefault="006F7356" w:rsidP="00796959">
      <w:pPr>
        <w:rPr>
          <w:rFonts w:ascii="Book Antiqua" w:hAnsi="Book Antiqua"/>
          <w:b/>
          <w:sz w:val="24"/>
          <w:szCs w:val="24"/>
          <w:u w:val="single"/>
        </w:rPr>
      </w:pPr>
    </w:p>
    <w:p w14:paraId="3BC56F53" w14:textId="77777777" w:rsidR="006F7356" w:rsidRPr="00796959" w:rsidRDefault="006F7356" w:rsidP="00796959">
      <w:pPr>
        <w:rPr>
          <w:rFonts w:ascii="Book Antiqua" w:hAnsi="Book Antiqua"/>
          <w:b/>
          <w:sz w:val="24"/>
          <w:szCs w:val="24"/>
          <w:u w:val="single"/>
        </w:rPr>
      </w:pPr>
    </w:p>
    <w:p w14:paraId="204C8C36" w14:textId="77777777" w:rsidR="006F7356" w:rsidRPr="00796959" w:rsidRDefault="006F7356" w:rsidP="00796959">
      <w:pPr>
        <w:rPr>
          <w:rFonts w:ascii="Book Antiqua" w:hAnsi="Book Antiqua"/>
          <w:b/>
          <w:sz w:val="24"/>
          <w:szCs w:val="24"/>
          <w:u w:val="single"/>
        </w:rPr>
      </w:pPr>
    </w:p>
    <w:p w14:paraId="33ABAAEA" w14:textId="77777777" w:rsidR="006F7356" w:rsidRPr="00796959" w:rsidRDefault="006F7356" w:rsidP="00796959">
      <w:pPr>
        <w:rPr>
          <w:rFonts w:ascii="Book Antiqua" w:hAnsi="Book Antiqua"/>
          <w:b/>
          <w:sz w:val="24"/>
          <w:szCs w:val="24"/>
          <w:u w:val="single"/>
        </w:rPr>
      </w:pPr>
    </w:p>
    <w:p w14:paraId="5BC8AECB" w14:textId="77777777" w:rsidR="006F7356" w:rsidRPr="00796959" w:rsidRDefault="006F7356" w:rsidP="00796959">
      <w:pPr>
        <w:rPr>
          <w:rFonts w:ascii="Book Antiqua" w:hAnsi="Book Antiqua"/>
          <w:b/>
          <w:sz w:val="24"/>
          <w:szCs w:val="24"/>
          <w:u w:val="single"/>
        </w:rPr>
      </w:pPr>
    </w:p>
    <w:p w14:paraId="3CE68F24" w14:textId="77777777" w:rsidR="006F7356" w:rsidRPr="00796959" w:rsidRDefault="006F7356" w:rsidP="00796959">
      <w:pPr>
        <w:rPr>
          <w:rFonts w:ascii="Book Antiqua" w:hAnsi="Book Antiqua"/>
          <w:b/>
          <w:sz w:val="24"/>
          <w:szCs w:val="24"/>
          <w:u w:val="single"/>
        </w:rPr>
      </w:pPr>
    </w:p>
    <w:p w14:paraId="740E3968" w14:textId="77777777" w:rsidR="006F7356" w:rsidRPr="00796959" w:rsidRDefault="006F7356" w:rsidP="00796959">
      <w:pPr>
        <w:rPr>
          <w:rFonts w:ascii="Book Antiqua" w:hAnsi="Book Antiqua"/>
          <w:b/>
          <w:sz w:val="24"/>
          <w:szCs w:val="24"/>
          <w:u w:val="single"/>
        </w:rPr>
      </w:pPr>
    </w:p>
    <w:p w14:paraId="60BD491C" w14:textId="77777777" w:rsidR="006F7356" w:rsidRPr="00796959" w:rsidRDefault="006F7356" w:rsidP="00796959">
      <w:pPr>
        <w:rPr>
          <w:rFonts w:ascii="Book Antiqua" w:hAnsi="Book Antiqua"/>
          <w:b/>
          <w:sz w:val="24"/>
          <w:szCs w:val="24"/>
          <w:u w:val="single"/>
        </w:rPr>
      </w:pPr>
    </w:p>
    <w:p w14:paraId="58AA9A9A" w14:textId="77777777" w:rsidR="006F7356" w:rsidRPr="00796959" w:rsidRDefault="006F7356" w:rsidP="00796959">
      <w:pPr>
        <w:rPr>
          <w:rFonts w:ascii="Book Antiqua" w:hAnsi="Book Antiqua"/>
          <w:b/>
          <w:sz w:val="24"/>
          <w:szCs w:val="24"/>
          <w:u w:val="single"/>
        </w:rPr>
      </w:pPr>
    </w:p>
    <w:p w14:paraId="23F9E136" w14:textId="77777777" w:rsidR="006F7356" w:rsidRPr="00796959" w:rsidRDefault="006F7356" w:rsidP="00796959">
      <w:pPr>
        <w:rPr>
          <w:rFonts w:ascii="Book Antiqua" w:hAnsi="Book Antiqua"/>
          <w:b/>
          <w:sz w:val="24"/>
          <w:szCs w:val="24"/>
          <w:u w:val="single"/>
        </w:rPr>
      </w:pPr>
    </w:p>
    <w:p w14:paraId="4441913C" w14:textId="77777777" w:rsidR="006F7356" w:rsidRPr="00796959" w:rsidRDefault="006F7356" w:rsidP="00796959">
      <w:pPr>
        <w:rPr>
          <w:rFonts w:ascii="Book Antiqua" w:hAnsi="Book Antiqua"/>
          <w:b/>
          <w:sz w:val="24"/>
          <w:szCs w:val="24"/>
          <w:u w:val="single"/>
        </w:rPr>
      </w:pPr>
    </w:p>
    <w:p w14:paraId="226D829D" w14:textId="77777777" w:rsidR="006F7356" w:rsidRPr="00796959" w:rsidRDefault="006F7356" w:rsidP="00796959">
      <w:pPr>
        <w:rPr>
          <w:rFonts w:ascii="Book Antiqua" w:hAnsi="Book Antiqua"/>
          <w:b/>
          <w:sz w:val="24"/>
          <w:szCs w:val="24"/>
          <w:u w:val="single"/>
        </w:rPr>
      </w:pPr>
    </w:p>
    <w:p w14:paraId="5E389661" w14:textId="77777777" w:rsidR="006F7356" w:rsidRPr="00796959" w:rsidRDefault="006F7356" w:rsidP="00796959">
      <w:pPr>
        <w:rPr>
          <w:rFonts w:ascii="Book Antiqua" w:hAnsi="Book Antiqua"/>
          <w:b/>
          <w:sz w:val="24"/>
          <w:szCs w:val="24"/>
          <w:u w:val="single"/>
        </w:rPr>
      </w:pPr>
    </w:p>
    <w:p w14:paraId="3BEDDCCF" w14:textId="77777777" w:rsidR="006F7356" w:rsidRPr="00796959" w:rsidRDefault="006F7356" w:rsidP="00796959">
      <w:pPr>
        <w:rPr>
          <w:rFonts w:ascii="Book Antiqua" w:hAnsi="Book Antiqua"/>
          <w:b/>
          <w:sz w:val="24"/>
          <w:szCs w:val="24"/>
          <w:u w:val="single"/>
        </w:rPr>
      </w:pPr>
    </w:p>
    <w:p w14:paraId="2F3CB54F" w14:textId="4D847DC6" w:rsidR="006F7356" w:rsidRPr="00796959" w:rsidRDefault="006F7356" w:rsidP="00796959">
      <w:pPr>
        <w:rPr>
          <w:rFonts w:ascii="Book Antiqua" w:hAnsi="Book Antiqua"/>
          <w:b/>
          <w:sz w:val="24"/>
          <w:szCs w:val="24"/>
          <w:u w:val="single"/>
        </w:rPr>
      </w:pPr>
    </w:p>
    <w:p w14:paraId="6EDA00D3" w14:textId="3C5E8E12" w:rsidR="006F7356" w:rsidRPr="00796959" w:rsidRDefault="006F7356" w:rsidP="00796959">
      <w:pPr>
        <w:rPr>
          <w:rFonts w:ascii="Book Antiqua" w:hAnsi="Book Antiqua"/>
          <w:b/>
          <w:sz w:val="24"/>
          <w:szCs w:val="24"/>
          <w:u w:val="single"/>
        </w:rPr>
      </w:pPr>
    </w:p>
    <w:p w14:paraId="127D2647" w14:textId="66322E2F" w:rsidR="006F7356" w:rsidRPr="00796959" w:rsidRDefault="006F7356" w:rsidP="00796959">
      <w:pPr>
        <w:rPr>
          <w:rFonts w:ascii="Book Antiqua" w:hAnsi="Book Antiqua"/>
          <w:b/>
          <w:sz w:val="24"/>
          <w:szCs w:val="24"/>
          <w:u w:val="single"/>
        </w:rPr>
      </w:pPr>
    </w:p>
    <w:p w14:paraId="2E22AA5A" w14:textId="77777777" w:rsidR="006F7356" w:rsidRPr="00796959" w:rsidRDefault="006F7356" w:rsidP="00796959">
      <w:pPr>
        <w:rPr>
          <w:rFonts w:ascii="Book Antiqua" w:hAnsi="Book Antiqua"/>
          <w:b/>
          <w:sz w:val="24"/>
          <w:szCs w:val="24"/>
          <w:u w:val="single"/>
        </w:rPr>
      </w:pPr>
    </w:p>
    <w:p w14:paraId="470475CF" w14:textId="77777777" w:rsidR="006F7356" w:rsidRPr="00796959" w:rsidRDefault="006F7356" w:rsidP="00796959">
      <w:pPr>
        <w:pStyle w:val="Heading1"/>
        <w:spacing w:line="360" w:lineRule="auto"/>
        <w:jc w:val="center"/>
        <w:rPr>
          <w:rFonts w:ascii="Book Antiqua" w:hAnsi="Book Antiqua" w:cs="Times New Roman"/>
          <w:color w:val="000000" w:themeColor="text1"/>
          <w:sz w:val="24"/>
          <w:szCs w:val="24"/>
        </w:rPr>
      </w:pPr>
      <w:r w:rsidRPr="00796959">
        <w:rPr>
          <w:rFonts w:ascii="Book Antiqua" w:hAnsi="Book Antiqua" w:cs="Times New Roman"/>
          <w:color w:val="000000" w:themeColor="text1"/>
          <w:sz w:val="24"/>
          <w:szCs w:val="24"/>
        </w:rPr>
        <w:t>SUPPLEMENTARY TABLES</w:t>
      </w:r>
    </w:p>
    <w:p w14:paraId="11286570" w14:textId="77777777" w:rsidR="006F7356" w:rsidRPr="00796959" w:rsidRDefault="006F7356" w:rsidP="00796959">
      <w:pPr>
        <w:rPr>
          <w:rFonts w:ascii="Book Antiqua" w:hAnsi="Book Antiqua"/>
          <w:b/>
          <w:sz w:val="24"/>
          <w:szCs w:val="24"/>
        </w:rPr>
      </w:pPr>
    </w:p>
    <w:p w14:paraId="55C827FE" w14:textId="77777777" w:rsidR="006F7356" w:rsidRPr="00796959" w:rsidRDefault="006F7356" w:rsidP="00796959">
      <w:pPr>
        <w:rPr>
          <w:rFonts w:ascii="Book Antiqua" w:hAnsi="Book Antiqua"/>
          <w:b/>
          <w:sz w:val="24"/>
          <w:szCs w:val="24"/>
        </w:rPr>
      </w:pPr>
      <w:r w:rsidRPr="00796959">
        <w:rPr>
          <w:rFonts w:ascii="Book Antiqua" w:hAnsi="Book Antiqua"/>
          <w:b/>
          <w:sz w:val="24"/>
          <w:szCs w:val="24"/>
        </w:rPr>
        <w:br w:type="page"/>
      </w:r>
    </w:p>
    <w:tbl>
      <w:tblPr>
        <w:tblStyle w:val="PlainTable4"/>
        <w:tblW w:w="0" w:type="auto"/>
        <w:jc w:val="center"/>
        <w:tblLook w:val="04A0" w:firstRow="1" w:lastRow="0" w:firstColumn="1" w:lastColumn="0" w:noHBand="0" w:noVBand="1"/>
      </w:tblPr>
      <w:tblGrid>
        <w:gridCol w:w="3974"/>
        <w:gridCol w:w="3696"/>
      </w:tblGrid>
      <w:tr w:rsidR="006F7356" w:rsidRPr="00796959" w14:paraId="44B37A65" w14:textId="77777777" w:rsidTr="004333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gridSpan w:val="2"/>
            <w:tcBorders>
              <w:bottom w:val="single" w:sz="12" w:space="0" w:color="auto"/>
            </w:tcBorders>
            <w:vAlign w:val="center"/>
          </w:tcPr>
          <w:p w14:paraId="7AB31EDA" w14:textId="77777777" w:rsidR="006F7356" w:rsidRPr="00796959" w:rsidRDefault="006F7356" w:rsidP="00796959">
            <w:pPr>
              <w:spacing w:line="360" w:lineRule="auto"/>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lastRenderedPageBreak/>
              <w:t xml:space="preserve">Supplementary Table 1. </w:t>
            </w:r>
            <w:r w:rsidRPr="00796959">
              <w:rPr>
                <w:rFonts w:ascii="Book Antiqua" w:eastAsia="Times New Roman" w:hAnsi="Book Antiqua" w:cs="Arial"/>
                <w:b w:val="0"/>
                <w:color w:val="000000"/>
                <w:sz w:val="24"/>
                <w:szCs w:val="24"/>
              </w:rPr>
              <w:t>ICD9 codes of diagnosis and procedures</w:t>
            </w:r>
            <w:r w:rsidRPr="00796959">
              <w:rPr>
                <w:rFonts w:ascii="Book Antiqua" w:eastAsia="Times New Roman" w:hAnsi="Book Antiqua" w:cs="Arial"/>
                <w:color w:val="000000"/>
                <w:sz w:val="24"/>
                <w:szCs w:val="24"/>
              </w:rPr>
              <w:t xml:space="preserve"> </w:t>
            </w:r>
          </w:p>
        </w:tc>
      </w:tr>
      <w:tr w:rsidR="006F7356" w:rsidRPr="00796959" w14:paraId="21D49458" w14:textId="77777777" w:rsidTr="004333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tcPr>
          <w:p w14:paraId="346B4F6E" w14:textId="77777777" w:rsidR="006F7356" w:rsidRPr="00796959" w:rsidRDefault="006F7356" w:rsidP="00796959">
            <w:pPr>
              <w:spacing w:line="360" w:lineRule="auto"/>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Diagnosis/Procedure</w:t>
            </w:r>
          </w:p>
        </w:tc>
        <w:tc>
          <w:tcPr>
            <w:tcW w:w="0" w:type="auto"/>
            <w:tcBorders>
              <w:top w:val="single" w:sz="12" w:space="0" w:color="auto"/>
              <w:bottom w:val="single" w:sz="8" w:space="0" w:color="auto"/>
            </w:tcBorders>
            <w:shd w:val="clear" w:color="auto" w:fill="auto"/>
            <w:vAlign w:val="center"/>
          </w:tcPr>
          <w:p w14:paraId="13D30787" w14:textId="77777777" w:rsidR="006F7356" w:rsidRPr="00796959" w:rsidRDefault="006F7356" w:rsidP="00796959">
            <w:pPr>
              <w:spacing w:line="360" w:lineRule="auto"/>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ICD9 Code(s)</w:t>
            </w:r>
          </w:p>
        </w:tc>
      </w:tr>
      <w:tr w:rsidR="006F7356" w:rsidRPr="00796959" w14:paraId="7F9AABDC"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hideMark/>
          </w:tcPr>
          <w:p w14:paraId="734BC6B0"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Left ventricular assist device</w:t>
            </w:r>
          </w:p>
        </w:tc>
        <w:tc>
          <w:tcPr>
            <w:tcW w:w="0" w:type="auto"/>
            <w:tcBorders>
              <w:top w:val="single" w:sz="8" w:space="0" w:color="auto"/>
            </w:tcBorders>
            <w:hideMark/>
          </w:tcPr>
          <w:p w14:paraId="3D123C28" w14:textId="77777777" w:rsidR="006F7356" w:rsidRPr="00796959" w:rsidRDefault="006F7356" w:rsidP="00796959">
            <w:pPr>
              <w:spacing w:line="360" w:lineRule="auto"/>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3766</w:t>
            </w:r>
          </w:p>
        </w:tc>
      </w:tr>
      <w:tr w:rsidR="006F7356" w:rsidRPr="00796959" w14:paraId="5CBEBD8C"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C01540"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Orthotopic heart transplant</w:t>
            </w:r>
          </w:p>
        </w:tc>
        <w:tc>
          <w:tcPr>
            <w:tcW w:w="0" w:type="auto"/>
            <w:hideMark/>
          </w:tcPr>
          <w:p w14:paraId="42FC1BAE" w14:textId="77777777" w:rsidR="006F7356" w:rsidRPr="00796959" w:rsidRDefault="006F7356" w:rsidP="00796959">
            <w:pPr>
              <w:spacing w:line="360" w:lineRule="auto"/>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3751, 375</w:t>
            </w:r>
          </w:p>
        </w:tc>
      </w:tr>
      <w:tr w:rsidR="006F7356" w:rsidRPr="00796959" w14:paraId="057E53EA"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7A8DCF"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Swan-Ganz catheterization</w:t>
            </w:r>
          </w:p>
        </w:tc>
        <w:tc>
          <w:tcPr>
            <w:tcW w:w="0" w:type="auto"/>
            <w:hideMark/>
          </w:tcPr>
          <w:p w14:paraId="249F11E5" w14:textId="77777777" w:rsidR="006F7356" w:rsidRPr="00796959" w:rsidRDefault="006F7356" w:rsidP="00796959">
            <w:pPr>
              <w:spacing w:line="360" w:lineRule="auto"/>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8964</w:t>
            </w:r>
          </w:p>
        </w:tc>
      </w:tr>
      <w:tr w:rsidR="006F7356" w:rsidRPr="00796959" w14:paraId="5F9DF89A"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65E3B1"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Diabetes</w:t>
            </w:r>
          </w:p>
        </w:tc>
        <w:tc>
          <w:tcPr>
            <w:tcW w:w="0" w:type="auto"/>
            <w:hideMark/>
          </w:tcPr>
          <w:p w14:paraId="11DCD32C" w14:textId="77777777" w:rsidR="006F7356" w:rsidRPr="00796959" w:rsidRDefault="006F7356" w:rsidP="00796959">
            <w:pPr>
              <w:spacing w:line="360" w:lineRule="auto"/>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25000-25099</w:t>
            </w:r>
          </w:p>
        </w:tc>
      </w:tr>
      <w:tr w:rsidR="006F7356" w:rsidRPr="00796959" w14:paraId="0762D889"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571FEF"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Disorders of lipoid metabolism</w:t>
            </w:r>
          </w:p>
        </w:tc>
        <w:tc>
          <w:tcPr>
            <w:tcW w:w="0" w:type="auto"/>
            <w:hideMark/>
          </w:tcPr>
          <w:p w14:paraId="0B70F48F" w14:textId="77777777" w:rsidR="006F7356" w:rsidRPr="00796959" w:rsidRDefault="006F7356" w:rsidP="00796959">
            <w:pPr>
              <w:spacing w:line="360" w:lineRule="auto"/>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2720-2729</w:t>
            </w:r>
          </w:p>
        </w:tc>
      </w:tr>
      <w:tr w:rsidR="006F7356" w:rsidRPr="00796959" w14:paraId="4333226F"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19B74A"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Hypertension</w:t>
            </w:r>
          </w:p>
        </w:tc>
        <w:tc>
          <w:tcPr>
            <w:tcW w:w="0" w:type="auto"/>
            <w:hideMark/>
          </w:tcPr>
          <w:p w14:paraId="53998293" w14:textId="77777777" w:rsidR="006F7356" w:rsidRPr="00796959" w:rsidRDefault="006F7356" w:rsidP="00796959">
            <w:pPr>
              <w:spacing w:line="360" w:lineRule="auto"/>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4010-4019</w:t>
            </w:r>
          </w:p>
        </w:tc>
      </w:tr>
      <w:tr w:rsidR="006F7356" w:rsidRPr="00796959" w14:paraId="2C2D4747"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BCDEC8"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History of or current use of tobacco</w:t>
            </w:r>
          </w:p>
        </w:tc>
        <w:tc>
          <w:tcPr>
            <w:tcW w:w="0" w:type="auto"/>
            <w:hideMark/>
          </w:tcPr>
          <w:p w14:paraId="37BB6C0F" w14:textId="77777777" w:rsidR="006F7356" w:rsidRPr="00796959" w:rsidRDefault="006F7356" w:rsidP="00796959">
            <w:pPr>
              <w:spacing w:line="360" w:lineRule="auto"/>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V1582, 3051</w:t>
            </w:r>
          </w:p>
        </w:tc>
      </w:tr>
      <w:tr w:rsidR="006F7356" w:rsidRPr="00796959" w14:paraId="78F12020"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1441BD"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BMI ≥ 30 kg/m</w:t>
            </w:r>
            <w:r w:rsidRPr="00796959">
              <w:rPr>
                <w:rFonts w:ascii="Book Antiqua" w:eastAsia="Times New Roman" w:hAnsi="Book Antiqua" w:cs="Arial"/>
                <w:b w:val="0"/>
                <w:color w:val="000000"/>
                <w:sz w:val="24"/>
                <w:szCs w:val="24"/>
                <w:vertAlign w:val="superscript"/>
              </w:rPr>
              <w:t>2</w:t>
            </w:r>
          </w:p>
        </w:tc>
        <w:tc>
          <w:tcPr>
            <w:tcW w:w="0" w:type="auto"/>
            <w:hideMark/>
          </w:tcPr>
          <w:p w14:paraId="042ACC6D" w14:textId="77777777" w:rsidR="006F7356" w:rsidRPr="00796959" w:rsidRDefault="006F7356" w:rsidP="00796959">
            <w:pPr>
              <w:spacing w:line="360" w:lineRule="auto"/>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27800, 27801</w:t>
            </w:r>
          </w:p>
        </w:tc>
      </w:tr>
      <w:tr w:rsidR="006F7356" w:rsidRPr="00796959" w14:paraId="30D61F97"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6A641C"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Reoperation</w:t>
            </w:r>
          </w:p>
        </w:tc>
        <w:tc>
          <w:tcPr>
            <w:tcW w:w="0" w:type="auto"/>
            <w:hideMark/>
          </w:tcPr>
          <w:p w14:paraId="6D8F6301" w14:textId="77777777" w:rsidR="006F7356" w:rsidRPr="00796959" w:rsidRDefault="006F7356" w:rsidP="00796959">
            <w:pPr>
              <w:spacing w:line="360" w:lineRule="auto"/>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3403, 3764, 3479, 341, 3749</w:t>
            </w:r>
          </w:p>
        </w:tc>
      </w:tr>
      <w:tr w:rsidR="006F7356" w:rsidRPr="00796959" w14:paraId="719160AF"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86B202"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Sepsis</w:t>
            </w:r>
          </w:p>
        </w:tc>
        <w:tc>
          <w:tcPr>
            <w:tcW w:w="0" w:type="auto"/>
            <w:hideMark/>
          </w:tcPr>
          <w:p w14:paraId="4767BB83" w14:textId="77777777" w:rsidR="006F7356" w:rsidRPr="00796959" w:rsidRDefault="006F7356" w:rsidP="00796959">
            <w:pPr>
              <w:spacing w:line="360" w:lineRule="auto"/>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99591, 99592</w:t>
            </w:r>
          </w:p>
        </w:tc>
      </w:tr>
      <w:tr w:rsidR="006F7356" w:rsidRPr="00796959" w14:paraId="5D138576"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372071"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Acute respiratory failure</w:t>
            </w:r>
          </w:p>
        </w:tc>
        <w:tc>
          <w:tcPr>
            <w:tcW w:w="0" w:type="auto"/>
            <w:hideMark/>
          </w:tcPr>
          <w:p w14:paraId="6AE48D74" w14:textId="77777777" w:rsidR="006F7356" w:rsidRPr="00796959" w:rsidRDefault="006F7356" w:rsidP="00796959">
            <w:pPr>
              <w:spacing w:line="360" w:lineRule="auto"/>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51881</w:t>
            </w:r>
          </w:p>
        </w:tc>
      </w:tr>
      <w:tr w:rsidR="006F7356" w:rsidRPr="00796959" w14:paraId="4DAEF300"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F3F67A"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Postoperative cardiac complication</w:t>
            </w:r>
          </w:p>
        </w:tc>
        <w:tc>
          <w:tcPr>
            <w:tcW w:w="0" w:type="auto"/>
            <w:hideMark/>
          </w:tcPr>
          <w:p w14:paraId="3A4394C4" w14:textId="77777777" w:rsidR="006F7356" w:rsidRPr="00796959" w:rsidRDefault="006F7356" w:rsidP="00796959">
            <w:pPr>
              <w:spacing w:line="360" w:lineRule="auto"/>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9971, 4294</w:t>
            </w:r>
          </w:p>
        </w:tc>
      </w:tr>
      <w:tr w:rsidR="006F7356" w:rsidRPr="00796959" w14:paraId="6A67C9A4"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AD31FF"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Acute renal failure</w:t>
            </w:r>
          </w:p>
        </w:tc>
        <w:tc>
          <w:tcPr>
            <w:tcW w:w="0" w:type="auto"/>
            <w:hideMark/>
          </w:tcPr>
          <w:p w14:paraId="4E63EC29" w14:textId="77777777" w:rsidR="006F7356" w:rsidRPr="00796959" w:rsidRDefault="006F7356" w:rsidP="00796959">
            <w:pPr>
              <w:spacing w:line="360" w:lineRule="auto"/>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5845-5849</w:t>
            </w:r>
          </w:p>
        </w:tc>
      </w:tr>
      <w:tr w:rsidR="006F7356" w:rsidRPr="00796959" w14:paraId="3D5D199F"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AF963C"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Postoperative bleeding</w:t>
            </w:r>
          </w:p>
        </w:tc>
        <w:tc>
          <w:tcPr>
            <w:tcW w:w="0" w:type="auto"/>
            <w:hideMark/>
          </w:tcPr>
          <w:p w14:paraId="2D2346BA" w14:textId="77777777" w:rsidR="006F7356" w:rsidRPr="00796959" w:rsidRDefault="006F7356" w:rsidP="00796959">
            <w:pPr>
              <w:spacing w:line="360" w:lineRule="auto"/>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4513, 4523, 9904, 9905, 9907, 9909</w:t>
            </w:r>
          </w:p>
        </w:tc>
      </w:tr>
      <w:tr w:rsidR="006F7356" w:rsidRPr="00796959" w14:paraId="587A6357"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ACD09D"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Stroke</w:t>
            </w:r>
          </w:p>
        </w:tc>
        <w:tc>
          <w:tcPr>
            <w:tcW w:w="0" w:type="auto"/>
            <w:hideMark/>
          </w:tcPr>
          <w:p w14:paraId="7BCBE76E" w14:textId="77777777" w:rsidR="006F7356" w:rsidRPr="00796959" w:rsidRDefault="006F7356" w:rsidP="00796959">
            <w:pPr>
              <w:spacing w:line="360" w:lineRule="auto"/>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43491</w:t>
            </w:r>
          </w:p>
        </w:tc>
      </w:tr>
      <w:tr w:rsidR="006F7356" w:rsidRPr="00796959" w14:paraId="08941515" w14:textId="77777777" w:rsidTr="004333EC">
        <w:trPr>
          <w:cnfStyle w:val="000000100000" w:firstRow="0" w:lastRow="0" w:firstColumn="0" w:lastColumn="0" w:oddVBand="0" w:evenVBand="0" w:oddHBand="1" w:evenHBand="0" w:firstRowFirstColumn="0" w:firstRowLastColumn="0" w:lastRowFirstColumn="0" w:lastRowLastColumn="0"/>
          <w:trHeight w:val="21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41EE86"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Acute liver failure</w:t>
            </w:r>
          </w:p>
        </w:tc>
        <w:tc>
          <w:tcPr>
            <w:tcW w:w="0" w:type="auto"/>
            <w:hideMark/>
          </w:tcPr>
          <w:p w14:paraId="7E68766C" w14:textId="77777777" w:rsidR="006F7356" w:rsidRPr="00796959" w:rsidRDefault="006F7356" w:rsidP="00796959">
            <w:pPr>
              <w:spacing w:line="360" w:lineRule="auto"/>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570</w:t>
            </w:r>
          </w:p>
        </w:tc>
      </w:tr>
      <w:tr w:rsidR="006F7356" w:rsidRPr="00796959" w14:paraId="3D8F5D5C" w14:textId="77777777" w:rsidTr="004333EC">
        <w:trPr>
          <w:trHeight w:val="21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auto"/>
            </w:tcBorders>
            <w:hideMark/>
          </w:tcPr>
          <w:p w14:paraId="33F9863E"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Device failure</w:t>
            </w:r>
          </w:p>
        </w:tc>
        <w:tc>
          <w:tcPr>
            <w:tcW w:w="0" w:type="auto"/>
            <w:tcBorders>
              <w:bottom w:val="single" w:sz="8" w:space="0" w:color="auto"/>
            </w:tcBorders>
            <w:hideMark/>
          </w:tcPr>
          <w:p w14:paraId="069FDA89" w14:textId="77777777" w:rsidR="006F7356" w:rsidRPr="00796959" w:rsidRDefault="006F7356" w:rsidP="00796959">
            <w:pPr>
              <w:spacing w:line="360" w:lineRule="auto"/>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99609</w:t>
            </w:r>
          </w:p>
        </w:tc>
      </w:tr>
    </w:tbl>
    <w:p w14:paraId="3FFD76FA" w14:textId="77777777" w:rsidR="006F7356" w:rsidRPr="00796959" w:rsidRDefault="006F7356" w:rsidP="00796959">
      <w:pPr>
        <w:rPr>
          <w:rFonts w:ascii="Book Antiqua" w:hAnsi="Book Antiqua" w:cs="Times New Roman"/>
          <w:sz w:val="24"/>
          <w:szCs w:val="24"/>
        </w:rPr>
      </w:pPr>
    </w:p>
    <w:p w14:paraId="79CA2584" w14:textId="77777777" w:rsidR="006F7356" w:rsidRPr="00796959" w:rsidRDefault="006F7356" w:rsidP="00796959">
      <w:pPr>
        <w:rPr>
          <w:rFonts w:ascii="Book Antiqua" w:hAnsi="Book Antiqua" w:cs="Times New Roman"/>
          <w:sz w:val="24"/>
          <w:szCs w:val="24"/>
        </w:rPr>
      </w:pPr>
    </w:p>
    <w:p w14:paraId="5B0E2AD8" w14:textId="77777777" w:rsidR="006F7356" w:rsidRPr="00796959" w:rsidRDefault="006F7356" w:rsidP="00796959">
      <w:pPr>
        <w:rPr>
          <w:rFonts w:ascii="Book Antiqua" w:hAnsi="Book Antiqua" w:cs="Times New Roman"/>
          <w:sz w:val="24"/>
          <w:szCs w:val="24"/>
        </w:rPr>
      </w:pPr>
    </w:p>
    <w:p w14:paraId="498E7DE7" w14:textId="77777777" w:rsidR="006F7356" w:rsidRPr="00796959" w:rsidRDefault="006F7356" w:rsidP="00796959">
      <w:pPr>
        <w:rPr>
          <w:rFonts w:ascii="Book Antiqua" w:hAnsi="Book Antiqua" w:cs="Times New Roman"/>
          <w:sz w:val="24"/>
          <w:szCs w:val="24"/>
        </w:rPr>
      </w:pPr>
    </w:p>
    <w:p w14:paraId="7A80F429" w14:textId="77777777" w:rsidR="006F7356" w:rsidRPr="00796959" w:rsidRDefault="006F7356" w:rsidP="00796959">
      <w:pPr>
        <w:rPr>
          <w:rFonts w:ascii="Book Antiqua" w:hAnsi="Book Antiqua" w:cs="Times New Roman"/>
          <w:sz w:val="24"/>
          <w:szCs w:val="24"/>
        </w:rPr>
      </w:pPr>
    </w:p>
    <w:p w14:paraId="4023C2A7" w14:textId="77777777" w:rsidR="006F7356" w:rsidRPr="00796959" w:rsidRDefault="006F7356" w:rsidP="00796959">
      <w:pPr>
        <w:rPr>
          <w:rFonts w:ascii="Book Antiqua" w:hAnsi="Book Antiqua" w:cs="Times New Roman"/>
          <w:sz w:val="24"/>
          <w:szCs w:val="24"/>
        </w:rPr>
      </w:pPr>
    </w:p>
    <w:p w14:paraId="36EF60F4" w14:textId="77777777" w:rsidR="006F7356" w:rsidRPr="00796959" w:rsidRDefault="006F7356" w:rsidP="00796959">
      <w:pPr>
        <w:rPr>
          <w:rFonts w:ascii="Book Antiqua" w:hAnsi="Book Antiqua" w:cs="Times New Roman"/>
          <w:sz w:val="24"/>
          <w:szCs w:val="24"/>
        </w:rPr>
      </w:pPr>
    </w:p>
    <w:p w14:paraId="186733C7" w14:textId="77777777" w:rsidR="006F7356" w:rsidRPr="00796959" w:rsidRDefault="006F7356" w:rsidP="00796959">
      <w:pPr>
        <w:rPr>
          <w:rFonts w:ascii="Book Antiqua" w:hAnsi="Book Antiqua" w:cs="Times New Roman"/>
          <w:sz w:val="24"/>
          <w:szCs w:val="24"/>
        </w:rPr>
      </w:pPr>
    </w:p>
    <w:p w14:paraId="4A3A298A" w14:textId="77777777" w:rsidR="006F7356" w:rsidRPr="00796959" w:rsidRDefault="006F7356" w:rsidP="00796959">
      <w:pPr>
        <w:rPr>
          <w:rFonts w:ascii="Book Antiqua" w:hAnsi="Book Antiqua" w:cs="Times New Roman"/>
          <w:sz w:val="24"/>
          <w:szCs w:val="24"/>
        </w:rPr>
      </w:pPr>
    </w:p>
    <w:p w14:paraId="34588194" w14:textId="77777777" w:rsidR="006F7356" w:rsidRPr="00796959" w:rsidRDefault="006F7356" w:rsidP="00796959">
      <w:pPr>
        <w:rPr>
          <w:rFonts w:ascii="Book Antiqua" w:hAnsi="Book Antiqua" w:cs="Times New Roman"/>
          <w:sz w:val="24"/>
          <w:szCs w:val="24"/>
        </w:rPr>
      </w:pPr>
    </w:p>
    <w:p w14:paraId="426FDA90" w14:textId="77777777" w:rsidR="006F7356" w:rsidRPr="00796959" w:rsidRDefault="006F7356" w:rsidP="00796959">
      <w:pPr>
        <w:rPr>
          <w:rFonts w:ascii="Book Antiqua" w:hAnsi="Book Antiqua" w:cs="Times New Roman"/>
          <w:sz w:val="24"/>
          <w:szCs w:val="24"/>
        </w:rPr>
      </w:pPr>
    </w:p>
    <w:p w14:paraId="5820B14F" w14:textId="77777777" w:rsidR="006F7356" w:rsidRPr="00796959" w:rsidRDefault="006F7356" w:rsidP="00796959">
      <w:pPr>
        <w:rPr>
          <w:rFonts w:ascii="Book Antiqua" w:hAnsi="Book Antiqua" w:cs="Times New Roman"/>
          <w:sz w:val="24"/>
          <w:szCs w:val="24"/>
        </w:rPr>
      </w:pPr>
    </w:p>
    <w:p w14:paraId="793F0C39" w14:textId="77777777" w:rsidR="006F7356" w:rsidRPr="00796959" w:rsidRDefault="006F7356" w:rsidP="00796959">
      <w:pPr>
        <w:rPr>
          <w:rFonts w:ascii="Book Antiqua" w:hAnsi="Book Antiqua" w:cs="Times New Roman"/>
          <w:sz w:val="24"/>
          <w:szCs w:val="24"/>
        </w:rPr>
      </w:pPr>
    </w:p>
    <w:p w14:paraId="02C4CF76" w14:textId="77777777" w:rsidR="006F7356" w:rsidRPr="00796959" w:rsidRDefault="006F7356" w:rsidP="00796959">
      <w:pPr>
        <w:rPr>
          <w:rFonts w:ascii="Book Antiqua" w:hAnsi="Book Antiqua" w:cs="Times New Roman"/>
          <w:sz w:val="24"/>
          <w:szCs w:val="24"/>
        </w:rPr>
      </w:pPr>
    </w:p>
    <w:p w14:paraId="535792F2" w14:textId="77777777" w:rsidR="006F7356" w:rsidRPr="00796959" w:rsidRDefault="006F7356" w:rsidP="00796959">
      <w:pPr>
        <w:rPr>
          <w:rFonts w:ascii="Book Antiqua" w:hAnsi="Book Antiqua" w:cs="Times New Roman"/>
          <w:sz w:val="24"/>
          <w:szCs w:val="24"/>
        </w:rPr>
      </w:pPr>
    </w:p>
    <w:p w14:paraId="61AD26C8" w14:textId="77777777" w:rsidR="006F7356" w:rsidRPr="00796959" w:rsidRDefault="006F7356" w:rsidP="00796959">
      <w:pPr>
        <w:rPr>
          <w:rFonts w:ascii="Book Antiqua" w:hAnsi="Book Antiqua" w:cs="Times New Roman"/>
          <w:sz w:val="24"/>
          <w:szCs w:val="24"/>
        </w:rPr>
      </w:pPr>
    </w:p>
    <w:p w14:paraId="4AB5A178" w14:textId="77777777" w:rsidR="006F7356" w:rsidRPr="00796959" w:rsidRDefault="006F7356" w:rsidP="00796959">
      <w:pPr>
        <w:rPr>
          <w:rFonts w:ascii="Book Antiqua" w:hAnsi="Book Antiqua" w:cs="Times New Roman"/>
          <w:sz w:val="24"/>
          <w:szCs w:val="24"/>
        </w:rPr>
      </w:pPr>
    </w:p>
    <w:p w14:paraId="4F8EEC08" w14:textId="3F701227" w:rsidR="006F7356" w:rsidRPr="00796959" w:rsidRDefault="006F7356" w:rsidP="00796959">
      <w:pPr>
        <w:rPr>
          <w:rFonts w:ascii="Book Antiqua" w:hAnsi="Book Antiqua" w:cs="Times New Roman"/>
          <w:sz w:val="24"/>
          <w:szCs w:val="24"/>
        </w:rPr>
      </w:pPr>
      <w:r w:rsidRPr="00796959">
        <w:rPr>
          <w:rFonts w:ascii="Book Antiqua" w:hAnsi="Book Antiqua" w:cs="Times New Roman"/>
          <w:sz w:val="24"/>
          <w:szCs w:val="24"/>
        </w:rPr>
        <w:br w:type="page"/>
      </w:r>
    </w:p>
    <w:p w14:paraId="18A9A8B8" w14:textId="77777777" w:rsidR="006F7356" w:rsidRPr="00796959" w:rsidRDefault="006F7356" w:rsidP="00796959">
      <w:pPr>
        <w:rPr>
          <w:rFonts w:ascii="Book Antiqua" w:hAnsi="Book Antiqua" w:cs="Times New Roman"/>
          <w:sz w:val="24"/>
          <w:szCs w:val="24"/>
        </w:rPr>
      </w:pPr>
    </w:p>
    <w:tbl>
      <w:tblPr>
        <w:tblStyle w:val="PlainTable41"/>
        <w:tblW w:w="0" w:type="auto"/>
        <w:tblLook w:val="04A0" w:firstRow="1" w:lastRow="0" w:firstColumn="1" w:lastColumn="0" w:noHBand="0" w:noVBand="1"/>
      </w:tblPr>
      <w:tblGrid>
        <w:gridCol w:w="5037"/>
        <w:gridCol w:w="2117"/>
        <w:gridCol w:w="2313"/>
        <w:gridCol w:w="1333"/>
      </w:tblGrid>
      <w:tr w:rsidR="00C97F7E" w:rsidRPr="00796959" w14:paraId="2BE0DD43" w14:textId="77777777" w:rsidTr="004333EC">
        <w:trPr>
          <w:cnfStyle w:val="100000000000" w:firstRow="1" w:lastRow="0" w:firstColumn="0" w:lastColumn="0" w:oddVBand="0" w:evenVBand="0" w:oddHBand="0" w:evenHBand="0" w:firstRowFirstColumn="0" w:firstRowLastColumn="0" w:lastRowFirstColumn="0" w:lastRowLastColumn="0"/>
          <w:trHeight w:hRule="exact" w:val="504"/>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86A2A2D" w14:textId="77777777" w:rsidR="00C97F7E" w:rsidRPr="00796959" w:rsidRDefault="00C97F7E" w:rsidP="00796959">
            <w:pPr>
              <w:spacing w:line="360" w:lineRule="auto"/>
              <w:rPr>
                <w:rFonts w:ascii="Book Antiqua" w:eastAsia="Times New Roman" w:hAnsi="Book Antiqua" w:cs="Arial"/>
                <w:bCs w:val="0"/>
                <w:color w:val="000000"/>
                <w:sz w:val="24"/>
                <w:szCs w:val="24"/>
              </w:rPr>
            </w:pPr>
            <w:r w:rsidRPr="00796959">
              <w:rPr>
                <w:rFonts w:ascii="Book Antiqua" w:eastAsia="Times New Roman" w:hAnsi="Book Antiqua" w:cs="Arial"/>
                <w:bCs w:val="0"/>
                <w:color w:val="000000"/>
                <w:sz w:val="24"/>
                <w:szCs w:val="24"/>
              </w:rPr>
              <w:t>Supplementary Table 2</w:t>
            </w:r>
            <w:r w:rsidRPr="00796959">
              <w:rPr>
                <w:rFonts w:ascii="Book Antiqua" w:eastAsia="Times New Roman" w:hAnsi="Book Antiqua" w:cs="Arial"/>
                <w:color w:val="000000"/>
                <w:sz w:val="24"/>
                <w:szCs w:val="24"/>
              </w:rPr>
              <w:t xml:space="preserve">. </w:t>
            </w:r>
            <w:r w:rsidRPr="00796959">
              <w:rPr>
                <w:rFonts w:ascii="Book Antiqua" w:eastAsia="Times New Roman" w:hAnsi="Book Antiqua" w:cs="Arial"/>
                <w:b w:val="0"/>
                <w:color w:val="000000"/>
                <w:sz w:val="24"/>
                <w:szCs w:val="24"/>
              </w:rPr>
              <w:t>Baseline demographics between LVADs from our sample dataset and all adult (≥ 18 years old) LVADs in the National Inpatient Sample (NIS)</w:t>
            </w:r>
            <w:r w:rsidRPr="00796959">
              <w:rPr>
                <w:rFonts w:ascii="Book Antiqua" w:eastAsia="Times New Roman" w:hAnsi="Book Antiqua" w:cs="Arial"/>
                <w:color w:val="000000"/>
                <w:sz w:val="24"/>
                <w:szCs w:val="24"/>
              </w:rPr>
              <w:t xml:space="preserve"> </w:t>
            </w:r>
          </w:p>
        </w:tc>
      </w:tr>
      <w:tr w:rsidR="00C97F7E" w:rsidRPr="00796959" w14:paraId="0E4EBE8A" w14:textId="77777777" w:rsidTr="004333EC">
        <w:trPr>
          <w:cnfStyle w:val="000000100000" w:firstRow="0" w:lastRow="0" w:firstColumn="0" w:lastColumn="0" w:oddVBand="0" w:evenVBand="0" w:oddHBand="1" w:evenHBand="0" w:firstRowFirstColumn="0" w:firstRowLastColumn="0" w:lastRowFirstColumn="0" w:lastRowLastColumn="0"/>
          <w:trHeight w:hRule="exact" w:val="504"/>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8" w:space="0" w:color="auto"/>
            </w:tcBorders>
            <w:shd w:val="clear" w:color="auto" w:fill="auto"/>
            <w:vAlign w:val="center"/>
            <w:hideMark/>
          </w:tcPr>
          <w:p w14:paraId="6C950FCE" w14:textId="77777777" w:rsidR="00C97F7E" w:rsidRPr="00796959" w:rsidRDefault="00C97F7E" w:rsidP="00796959">
            <w:pPr>
              <w:spacing w:line="360" w:lineRule="auto"/>
              <w:jc w:val="center"/>
              <w:rPr>
                <w:rFonts w:ascii="Book Antiqua" w:eastAsia="Times New Roman" w:hAnsi="Book Antiqua" w:cs="Arial"/>
                <w:b w:val="0"/>
                <w:bCs w:val="0"/>
                <w:color w:val="000000"/>
                <w:sz w:val="24"/>
                <w:szCs w:val="24"/>
              </w:rPr>
            </w:pPr>
          </w:p>
        </w:tc>
        <w:tc>
          <w:tcPr>
            <w:tcW w:w="0" w:type="auto"/>
            <w:tcBorders>
              <w:top w:val="single" w:sz="12" w:space="0" w:color="auto"/>
              <w:bottom w:val="single" w:sz="8" w:space="0" w:color="auto"/>
            </w:tcBorders>
            <w:shd w:val="clear" w:color="auto" w:fill="auto"/>
            <w:vAlign w:val="center"/>
            <w:hideMark/>
          </w:tcPr>
          <w:p w14:paraId="2D8C4214"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Sample LVADs</w:t>
            </w:r>
            <w:r w:rsidRPr="00796959">
              <w:rPr>
                <w:rFonts w:ascii="Book Antiqua" w:eastAsia="Times New Roman" w:hAnsi="Book Antiqua" w:cs="Arial"/>
                <w:b/>
                <w:bCs/>
                <w:color w:val="000000"/>
                <w:sz w:val="24"/>
                <w:szCs w:val="24"/>
              </w:rPr>
              <w:br/>
              <w:t>(n = 2200)</w:t>
            </w:r>
          </w:p>
        </w:tc>
        <w:tc>
          <w:tcPr>
            <w:tcW w:w="0" w:type="auto"/>
            <w:tcBorders>
              <w:top w:val="single" w:sz="12" w:space="0" w:color="auto"/>
              <w:bottom w:val="single" w:sz="8" w:space="0" w:color="auto"/>
            </w:tcBorders>
            <w:shd w:val="clear" w:color="auto" w:fill="auto"/>
            <w:vAlign w:val="center"/>
            <w:hideMark/>
          </w:tcPr>
          <w:p w14:paraId="78CFD6FF"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Total NIS LVADs</w:t>
            </w:r>
            <w:r w:rsidRPr="00796959">
              <w:rPr>
                <w:rFonts w:ascii="Book Antiqua" w:eastAsia="Times New Roman" w:hAnsi="Book Antiqua" w:cs="Arial"/>
                <w:b/>
                <w:bCs/>
                <w:color w:val="000000"/>
                <w:sz w:val="24"/>
                <w:szCs w:val="24"/>
              </w:rPr>
              <w:br/>
              <w:t>(n = 3219)</w:t>
            </w:r>
          </w:p>
        </w:tc>
        <w:tc>
          <w:tcPr>
            <w:tcW w:w="0" w:type="auto"/>
            <w:tcBorders>
              <w:top w:val="single" w:sz="12" w:space="0" w:color="auto"/>
            </w:tcBorders>
            <w:shd w:val="clear" w:color="auto" w:fill="auto"/>
            <w:vAlign w:val="center"/>
          </w:tcPr>
          <w:p w14:paraId="5877FDC1"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p-value</w:t>
            </w:r>
          </w:p>
        </w:tc>
      </w:tr>
      <w:tr w:rsidR="00C97F7E" w:rsidRPr="00796959" w14:paraId="03E3E354"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vAlign w:val="center"/>
            <w:hideMark/>
          </w:tcPr>
          <w:p w14:paraId="7DF07D69" w14:textId="77777777" w:rsidR="00C97F7E" w:rsidRPr="00796959" w:rsidRDefault="00C97F7E"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Mortality, n (%)</w:t>
            </w:r>
          </w:p>
        </w:tc>
        <w:tc>
          <w:tcPr>
            <w:tcW w:w="0" w:type="auto"/>
            <w:tcBorders>
              <w:top w:val="single" w:sz="8" w:space="0" w:color="auto"/>
            </w:tcBorders>
            <w:vAlign w:val="center"/>
            <w:hideMark/>
          </w:tcPr>
          <w:p w14:paraId="0E0817B7"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590 (26.5)</w:t>
            </w:r>
          </w:p>
        </w:tc>
        <w:tc>
          <w:tcPr>
            <w:tcW w:w="0" w:type="auto"/>
            <w:tcBorders>
              <w:top w:val="single" w:sz="8" w:space="0" w:color="auto"/>
            </w:tcBorders>
            <w:vAlign w:val="center"/>
            <w:hideMark/>
          </w:tcPr>
          <w:p w14:paraId="6782709D"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b/>
                <w:color w:val="000000"/>
                <w:sz w:val="24"/>
                <w:szCs w:val="24"/>
              </w:rPr>
            </w:pPr>
            <w:r w:rsidRPr="00796959">
              <w:rPr>
                <w:rFonts w:ascii="Book Antiqua" w:eastAsia="Times New Roman" w:hAnsi="Book Antiqua" w:cs="Arial"/>
                <w:color w:val="000000"/>
                <w:sz w:val="24"/>
                <w:szCs w:val="24"/>
              </w:rPr>
              <w:t>564</w:t>
            </w:r>
            <w:r w:rsidRPr="00796959">
              <w:rPr>
                <w:rFonts w:ascii="Book Antiqua" w:eastAsia="Times New Roman" w:hAnsi="Book Antiqua" w:cs="Arial"/>
                <w:b/>
                <w:color w:val="000000"/>
                <w:sz w:val="24"/>
                <w:szCs w:val="24"/>
              </w:rPr>
              <w:t xml:space="preserve"> </w:t>
            </w:r>
            <w:r w:rsidRPr="00796959">
              <w:rPr>
                <w:rFonts w:ascii="Book Antiqua" w:eastAsia="Times New Roman" w:hAnsi="Book Antiqua" w:cs="Arial"/>
                <w:color w:val="000000"/>
                <w:sz w:val="24"/>
                <w:szCs w:val="24"/>
              </w:rPr>
              <w:t>(27.0)</w:t>
            </w:r>
          </w:p>
        </w:tc>
        <w:tc>
          <w:tcPr>
            <w:tcW w:w="0" w:type="auto"/>
            <w:tcBorders>
              <w:top w:val="single" w:sz="8" w:space="0" w:color="auto"/>
            </w:tcBorders>
          </w:tcPr>
          <w:p w14:paraId="12272C87"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0.968</w:t>
            </w:r>
          </w:p>
        </w:tc>
      </w:tr>
      <w:tr w:rsidR="00C97F7E" w:rsidRPr="00796959" w14:paraId="5CA2A71D"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94CE67" w14:textId="77777777" w:rsidR="00C97F7E" w:rsidRPr="00796959" w:rsidRDefault="00C97F7E"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Same admission OHT, n (%)</w:t>
            </w:r>
          </w:p>
        </w:tc>
        <w:tc>
          <w:tcPr>
            <w:tcW w:w="0" w:type="auto"/>
            <w:vAlign w:val="center"/>
            <w:hideMark/>
          </w:tcPr>
          <w:p w14:paraId="5FBF2ACB"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164 (7.5)</w:t>
            </w:r>
          </w:p>
        </w:tc>
        <w:tc>
          <w:tcPr>
            <w:tcW w:w="0" w:type="auto"/>
            <w:vAlign w:val="center"/>
            <w:hideMark/>
          </w:tcPr>
          <w:p w14:paraId="43D9A4BB"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color w:val="000000"/>
                <w:sz w:val="24"/>
                <w:szCs w:val="24"/>
              </w:rPr>
            </w:pPr>
            <w:r w:rsidRPr="00796959">
              <w:rPr>
                <w:rFonts w:ascii="Book Antiqua" w:eastAsia="Times New Roman" w:hAnsi="Book Antiqua" w:cs="Arial"/>
                <w:color w:val="000000"/>
                <w:sz w:val="24"/>
                <w:szCs w:val="24"/>
              </w:rPr>
              <w:t>267 (8.3)</w:t>
            </w:r>
          </w:p>
        </w:tc>
        <w:tc>
          <w:tcPr>
            <w:tcW w:w="0" w:type="auto"/>
          </w:tcPr>
          <w:p w14:paraId="0F9184DC"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0.241</w:t>
            </w:r>
          </w:p>
        </w:tc>
      </w:tr>
      <w:tr w:rsidR="00C97F7E" w:rsidRPr="00796959" w14:paraId="6B7159CC"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F1F067" w14:textId="77777777" w:rsidR="00C97F7E" w:rsidRPr="00796959" w:rsidRDefault="00C97F7E"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Length of stay, mean ± SD</w:t>
            </w:r>
          </w:p>
        </w:tc>
        <w:tc>
          <w:tcPr>
            <w:tcW w:w="0" w:type="auto"/>
            <w:vAlign w:val="center"/>
          </w:tcPr>
          <w:p w14:paraId="6AA09CB2"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40.5 ± 38.9</w:t>
            </w:r>
          </w:p>
        </w:tc>
        <w:tc>
          <w:tcPr>
            <w:tcW w:w="0" w:type="auto"/>
            <w:vAlign w:val="center"/>
          </w:tcPr>
          <w:p w14:paraId="2EA84D7B"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b/>
                <w:color w:val="000000"/>
                <w:sz w:val="24"/>
                <w:szCs w:val="24"/>
              </w:rPr>
            </w:pPr>
            <w:r w:rsidRPr="00796959">
              <w:rPr>
                <w:rFonts w:ascii="Book Antiqua" w:eastAsia="Times New Roman" w:hAnsi="Book Antiqua" w:cs="Arial"/>
                <w:color w:val="000000"/>
                <w:sz w:val="24"/>
                <w:szCs w:val="24"/>
              </w:rPr>
              <w:t>41.2 ± 40.2</w:t>
            </w:r>
          </w:p>
        </w:tc>
        <w:tc>
          <w:tcPr>
            <w:tcW w:w="0" w:type="auto"/>
          </w:tcPr>
          <w:p w14:paraId="09B121FB"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0.548</w:t>
            </w:r>
          </w:p>
        </w:tc>
      </w:tr>
      <w:tr w:rsidR="00C97F7E" w:rsidRPr="00796959" w14:paraId="7B23B758"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8EC91D" w14:textId="77777777" w:rsidR="00C97F7E" w:rsidRPr="00796959" w:rsidRDefault="00C97F7E"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Age, mean ± SD</w:t>
            </w:r>
          </w:p>
        </w:tc>
        <w:tc>
          <w:tcPr>
            <w:tcW w:w="0" w:type="auto"/>
            <w:vAlign w:val="center"/>
            <w:hideMark/>
          </w:tcPr>
          <w:p w14:paraId="5EC64DDA"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53.4 ± 13.7</w:t>
            </w:r>
          </w:p>
        </w:tc>
        <w:tc>
          <w:tcPr>
            <w:tcW w:w="0" w:type="auto"/>
            <w:vAlign w:val="center"/>
            <w:hideMark/>
          </w:tcPr>
          <w:p w14:paraId="78A588D2"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54.5 ± 13.3</w:t>
            </w:r>
          </w:p>
        </w:tc>
        <w:tc>
          <w:tcPr>
            <w:tcW w:w="0" w:type="auto"/>
          </w:tcPr>
          <w:p w14:paraId="017EDE53"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0.412</w:t>
            </w:r>
          </w:p>
        </w:tc>
      </w:tr>
      <w:tr w:rsidR="00C97F7E" w:rsidRPr="00796959" w14:paraId="4C172E5A"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243D96B8" w14:textId="77777777" w:rsidR="00C97F7E" w:rsidRPr="00796959" w:rsidRDefault="00C97F7E"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Sex, n (%)</w:t>
            </w:r>
          </w:p>
        </w:tc>
        <w:tc>
          <w:tcPr>
            <w:tcW w:w="0" w:type="auto"/>
          </w:tcPr>
          <w:p w14:paraId="69CBD780"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0.691</w:t>
            </w:r>
          </w:p>
        </w:tc>
      </w:tr>
      <w:tr w:rsidR="00C97F7E" w:rsidRPr="00796959" w14:paraId="7B95FBF1"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5A1F45"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Male</w:t>
            </w:r>
          </w:p>
        </w:tc>
        <w:tc>
          <w:tcPr>
            <w:tcW w:w="0" w:type="auto"/>
            <w:vAlign w:val="center"/>
            <w:hideMark/>
          </w:tcPr>
          <w:p w14:paraId="0C6E551D"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1659 (75.4)</w:t>
            </w:r>
          </w:p>
        </w:tc>
        <w:tc>
          <w:tcPr>
            <w:tcW w:w="0" w:type="auto"/>
            <w:vAlign w:val="center"/>
            <w:hideMark/>
          </w:tcPr>
          <w:p w14:paraId="7FC3F21A"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2434 (75.9)</w:t>
            </w:r>
          </w:p>
        </w:tc>
        <w:tc>
          <w:tcPr>
            <w:tcW w:w="0" w:type="auto"/>
          </w:tcPr>
          <w:p w14:paraId="1B2BD4F8"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C97F7E" w:rsidRPr="00796959" w14:paraId="4F35A0A4"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EF4230"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Female</w:t>
            </w:r>
          </w:p>
        </w:tc>
        <w:tc>
          <w:tcPr>
            <w:tcW w:w="0" w:type="auto"/>
            <w:vAlign w:val="center"/>
            <w:hideMark/>
          </w:tcPr>
          <w:p w14:paraId="4CCB0C2B"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541 (24.6)</w:t>
            </w:r>
          </w:p>
        </w:tc>
        <w:tc>
          <w:tcPr>
            <w:tcW w:w="0" w:type="auto"/>
            <w:vAlign w:val="center"/>
            <w:hideMark/>
          </w:tcPr>
          <w:p w14:paraId="249EBA92"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772 (24.1)</w:t>
            </w:r>
          </w:p>
        </w:tc>
        <w:tc>
          <w:tcPr>
            <w:tcW w:w="0" w:type="auto"/>
          </w:tcPr>
          <w:p w14:paraId="78682A8F"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C97F7E" w:rsidRPr="00796959" w14:paraId="2D484A64"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5760949C" w14:textId="77777777" w:rsidR="00C97F7E" w:rsidRPr="00796959" w:rsidRDefault="00C97F7E"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Race, n (%)</w:t>
            </w:r>
          </w:p>
        </w:tc>
        <w:tc>
          <w:tcPr>
            <w:tcW w:w="0" w:type="auto"/>
          </w:tcPr>
          <w:p w14:paraId="2F320721"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&lt;0.001</w:t>
            </w:r>
          </w:p>
        </w:tc>
      </w:tr>
      <w:tr w:rsidR="00C97F7E" w:rsidRPr="00796959" w14:paraId="4EE0A4CD"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5AAA28"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White</w:t>
            </w:r>
          </w:p>
        </w:tc>
        <w:tc>
          <w:tcPr>
            <w:tcW w:w="0" w:type="auto"/>
            <w:vAlign w:val="center"/>
            <w:hideMark/>
          </w:tcPr>
          <w:p w14:paraId="363E937A"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1274 (57.9)</w:t>
            </w:r>
          </w:p>
        </w:tc>
        <w:tc>
          <w:tcPr>
            <w:tcW w:w="0" w:type="auto"/>
            <w:vAlign w:val="center"/>
            <w:hideMark/>
          </w:tcPr>
          <w:p w14:paraId="19AC8C16"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1742 (54.3)</w:t>
            </w:r>
          </w:p>
        </w:tc>
        <w:tc>
          <w:tcPr>
            <w:tcW w:w="0" w:type="auto"/>
          </w:tcPr>
          <w:p w14:paraId="0B86D687"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C97F7E" w:rsidRPr="00796959" w14:paraId="484E6CC5"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1F2950"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Black</w:t>
            </w:r>
          </w:p>
        </w:tc>
        <w:tc>
          <w:tcPr>
            <w:tcW w:w="0" w:type="auto"/>
            <w:vAlign w:val="center"/>
            <w:hideMark/>
          </w:tcPr>
          <w:p w14:paraId="15809790"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352 (16.0)</w:t>
            </w:r>
          </w:p>
        </w:tc>
        <w:tc>
          <w:tcPr>
            <w:tcW w:w="0" w:type="auto"/>
            <w:vAlign w:val="center"/>
            <w:hideMark/>
          </w:tcPr>
          <w:p w14:paraId="01433D51"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444 (13.9)</w:t>
            </w:r>
          </w:p>
        </w:tc>
        <w:tc>
          <w:tcPr>
            <w:tcW w:w="0" w:type="auto"/>
          </w:tcPr>
          <w:p w14:paraId="0B940347"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C97F7E" w:rsidRPr="00796959" w14:paraId="6EA677CB"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AFACD5"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Hispanic</w:t>
            </w:r>
          </w:p>
        </w:tc>
        <w:tc>
          <w:tcPr>
            <w:tcW w:w="0" w:type="auto"/>
            <w:vAlign w:val="center"/>
            <w:hideMark/>
          </w:tcPr>
          <w:p w14:paraId="0586085A"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142 (6.5)</w:t>
            </w:r>
          </w:p>
        </w:tc>
        <w:tc>
          <w:tcPr>
            <w:tcW w:w="0" w:type="auto"/>
            <w:vAlign w:val="center"/>
            <w:hideMark/>
          </w:tcPr>
          <w:p w14:paraId="01FB152E"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169 (5.3)</w:t>
            </w:r>
          </w:p>
        </w:tc>
        <w:tc>
          <w:tcPr>
            <w:tcW w:w="0" w:type="auto"/>
          </w:tcPr>
          <w:p w14:paraId="186826D5"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C97F7E" w:rsidRPr="00796959" w14:paraId="612FA6BE"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4EA35B"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Asian/Pacific Islander</w:t>
            </w:r>
          </w:p>
        </w:tc>
        <w:tc>
          <w:tcPr>
            <w:tcW w:w="0" w:type="auto"/>
            <w:vAlign w:val="center"/>
            <w:hideMark/>
          </w:tcPr>
          <w:p w14:paraId="7ADD903A"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51 (2.3)</w:t>
            </w:r>
          </w:p>
        </w:tc>
        <w:tc>
          <w:tcPr>
            <w:tcW w:w="0" w:type="auto"/>
            <w:vAlign w:val="center"/>
            <w:hideMark/>
          </w:tcPr>
          <w:p w14:paraId="20F30DCA"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57 (1.8)</w:t>
            </w:r>
          </w:p>
        </w:tc>
        <w:tc>
          <w:tcPr>
            <w:tcW w:w="0" w:type="auto"/>
          </w:tcPr>
          <w:p w14:paraId="2764CD95"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C97F7E" w:rsidRPr="00796959" w14:paraId="4D049388"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1CAA26"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Native American</w:t>
            </w:r>
          </w:p>
        </w:tc>
        <w:tc>
          <w:tcPr>
            <w:tcW w:w="0" w:type="auto"/>
            <w:vAlign w:val="center"/>
            <w:hideMark/>
          </w:tcPr>
          <w:p w14:paraId="72B87FEB"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(0.2)</w:t>
            </w:r>
          </w:p>
        </w:tc>
        <w:tc>
          <w:tcPr>
            <w:tcW w:w="0" w:type="auto"/>
            <w:vAlign w:val="center"/>
            <w:hideMark/>
          </w:tcPr>
          <w:p w14:paraId="2B104DFD"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11 (0.3)</w:t>
            </w:r>
          </w:p>
        </w:tc>
        <w:tc>
          <w:tcPr>
            <w:tcW w:w="0" w:type="auto"/>
          </w:tcPr>
          <w:p w14:paraId="2B8CA0E1"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C97F7E" w:rsidRPr="00796959" w14:paraId="7B863D89"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9CA04C"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Other or unknown</w:t>
            </w:r>
          </w:p>
        </w:tc>
        <w:tc>
          <w:tcPr>
            <w:tcW w:w="0" w:type="auto"/>
            <w:vAlign w:val="center"/>
            <w:hideMark/>
          </w:tcPr>
          <w:p w14:paraId="6ABE5FEB"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376 (17.1)</w:t>
            </w:r>
          </w:p>
        </w:tc>
        <w:tc>
          <w:tcPr>
            <w:tcW w:w="0" w:type="auto"/>
            <w:vAlign w:val="center"/>
            <w:hideMark/>
          </w:tcPr>
          <w:p w14:paraId="2472B22F"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783 (24.4)</w:t>
            </w:r>
          </w:p>
        </w:tc>
        <w:tc>
          <w:tcPr>
            <w:tcW w:w="0" w:type="auto"/>
          </w:tcPr>
          <w:p w14:paraId="5F2A798F"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C97F7E" w:rsidRPr="00796959" w14:paraId="52C35D93"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67F3A1C2" w14:textId="77777777" w:rsidR="00C97F7E" w:rsidRPr="00796959" w:rsidRDefault="00C97F7E"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Median household income, n (%)</w:t>
            </w:r>
          </w:p>
        </w:tc>
        <w:tc>
          <w:tcPr>
            <w:tcW w:w="0" w:type="auto"/>
          </w:tcPr>
          <w:p w14:paraId="08918C63"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0.571</w:t>
            </w:r>
          </w:p>
        </w:tc>
      </w:tr>
      <w:tr w:rsidR="00C97F7E" w:rsidRPr="00796959" w14:paraId="6C9C6970"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E99F4E"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$1-24,999</w:t>
            </w:r>
          </w:p>
        </w:tc>
        <w:tc>
          <w:tcPr>
            <w:tcW w:w="0" w:type="auto"/>
            <w:vAlign w:val="center"/>
            <w:hideMark/>
          </w:tcPr>
          <w:p w14:paraId="3C913114"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475 (21.6)</w:t>
            </w:r>
          </w:p>
        </w:tc>
        <w:tc>
          <w:tcPr>
            <w:tcW w:w="0" w:type="auto"/>
            <w:vAlign w:val="center"/>
            <w:hideMark/>
          </w:tcPr>
          <w:p w14:paraId="29149985"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637 (19.9)</w:t>
            </w:r>
          </w:p>
        </w:tc>
        <w:tc>
          <w:tcPr>
            <w:tcW w:w="0" w:type="auto"/>
          </w:tcPr>
          <w:p w14:paraId="16524136"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C97F7E" w:rsidRPr="00796959" w14:paraId="36206748"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85F010"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$25,000-34,999</w:t>
            </w:r>
          </w:p>
        </w:tc>
        <w:tc>
          <w:tcPr>
            <w:tcW w:w="0" w:type="auto"/>
            <w:vAlign w:val="center"/>
            <w:hideMark/>
          </w:tcPr>
          <w:p w14:paraId="785771BF"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491 (22.3)</w:t>
            </w:r>
          </w:p>
        </w:tc>
        <w:tc>
          <w:tcPr>
            <w:tcW w:w="0" w:type="auto"/>
            <w:vAlign w:val="center"/>
            <w:hideMark/>
          </w:tcPr>
          <w:p w14:paraId="4DB3A7B8"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738 (23.1)</w:t>
            </w:r>
          </w:p>
        </w:tc>
        <w:tc>
          <w:tcPr>
            <w:tcW w:w="0" w:type="auto"/>
          </w:tcPr>
          <w:p w14:paraId="00361716"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C97F7E" w:rsidRPr="00796959" w14:paraId="06DAAE09"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270928"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$35,000-44,999</w:t>
            </w:r>
          </w:p>
        </w:tc>
        <w:tc>
          <w:tcPr>
            <w:tcW w:w="0" w:type="auto"/>
            <w:vAlign w:val="center"/>
            <w:hideMark/>
          </w:tcPr>
          <w:p w14:paraId="3896F6C8"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552 (25.1)</w:t>
            </w:r>
          </w:p>
        </w:tc>
        <w:tc>
          <w:tcPr>
            <w:tcW w:w="0" w:type="auto"/>
            <w:vAlign w:val="center"/>
            <w:hideMark/>
          </w:tcPr>
          <w:p w14:paraId="128639CA"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832 (25.8)</w:t>
            </w:r>
          </w:p>
        </w:tc>
        <w:tc>
          <w:tcPr>
            <w:tcW w:w="0" w:type="auto"/>
          </w:tcPr>
          <w:p w14:paraId="4263B9C6"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C97F7E" w:rsidRPr="00796959" w14:paraId="3A011B4A"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533F3A"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$45,000 or more</w:t>
            </w:r>
          </w:p>
        </w:tc>
        <w:tc>
          <w:tcPr>
            <w:tcW w:w="0" w:type="auto"/>
            <w:vAlign w:val="center"/>
            <w:hideMark/>
          </w:tcPr>
          <w:p w14:paraId="2AAD5123"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631 (28.7)</w:t>
            </w:r>
          </w:p>
        </w:tc>
        <w:tc>
          <w:tcPr>
            <w:tcW w:w="0" w:type="auto"/>
            <w:vAlign w:val="center"/>
            <w:hideMark/>
          </w:tcPr>
          <w:p w14:paraId="560E86FA"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932 (29.1)</w:t>
            </w:r>
          </w:p>
        </w:tc>
        <w:tc>
          <w:tcPr>
            <w:tcW w:w="0" w:type="auto"/>
          </w:tcPr>
          <w:p w14:paraId="065D07CE"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p>
        </w:tc>
      </w:tr>
      <w:tr w:rsidR="00C97F7E" w:rsidRPr="00796959" w14:paraId="7B81D50E"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80BB3A"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Unknown</w:t>
            </w:r>
          </w:p>
        </w:tc>
        <w:tc>
          <w:tcPr>
            <w:tcW w:w="0" w:type="auto"/>
            <w:vAlign w:val="center"/>
            <w:hideMark/>
          </w:tcPr>
          <w:p w14:paraId="009B75A5"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51 (2.3)</w:t>
            </w:r>
          </w:p>
        </w:tc>
        <w:tc>
          <w:tcPr>
            <w:tcW w:w="0" w:type="auto"/>
            <w:vAlign w:val="center"/>
            <w:hideMark/>
          </w:tcPr>
          <w:p w14:paraId="66FCD8B0"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67 (2.1)</w:t>
            </w:r>
          </w:p>
        </w:tc>
        <w:tc>
          <w:tcPr>
            <w:tcW w:w="0" w:type="auto"/>
          </w:tcPr>
          <w:p w14:paraId="0D11B60D"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p>
        </w:tc>
      </w:tr>
      <w:tr w:rsidR="00C97F7E" w:rsidRPr="00796959" w14:paraId="211C4617"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gridSpan w:val="3"/>
            <w:vAlign w:val="center"/>
            <w:hideMark/>
          </w:tcPr>
          <w:p w14:paraId="3ED76D1A" w14:textId="77777777" w:rsidR="00C97F7E" w:rsidRPr="00796959" w:rsidRDefault="00C97F7E"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Comorbidities</w:t>
            </w:r>
          </w:p>
        </w:tc>
        <w:tc>
          <w:tcPr>
            <w:tcW w:w="0" w:type="auto"/>
          </w:tcPr>
          <w:p w14:paraId="69815164" w14:textId="77777777" w:rsidR="00C97F7E" w:rsidRPr="00796959" w:rsidRDefault="00C97F7E" w:rsidP="00796959">
            <w:pPr>
              <w:spacing w:line="360" w:lineRule="auto"/>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b/>
                <w:color w:val="000000"/>
                <w:sz w:val="24"/>
                <w:szCs w:val="24"/>
              </w:rPr>
            </w:pPr>
          </w:p>
        </w:tc>
      </w:tr>
      <w:tr w:rsidR="00C97F7E" w:rsidRPr="00796959" w14:paraId="5FAAC91C"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B9B540"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Diabetes</w:t>
            </w:r>
          </w:p>
        </w:tc>
        <w:tc>
          <w:tcPr>
            <w:tcW w:w="0" w:type="auto"/>
            <w:vAlign w:val="center"/>
            <w:hideMark/>
          </w:tcPr>
          <w:p w14:paraId="736B2A5E"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392 (17.8)</w:t>
            </w:r>
          </w:p>
        </w:tc>
        <w:tc>
          <w:tcPr>
            <w:tcW w:w="0" w:type="auto"/>
            <w:vAlign w:val="center"/>
          </w:tcPr>
          <w:p w14:paraId="71455B58"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535 (16.6)</w:t>
            </w:r>
          </w:p>
        </w:tc>
        <w:tc>
          <w:tcPr>
            <w:tcW w:w="0" w:type="auto"/>
          </w:tcPr>
          <w:p w14:paraId="0CCE4146"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0.266</w:t>
            </w:r>
          </w:p>
        </w:tc>
      </w:tr>
      <w:tr w:rsidR="00C97F7E" w:rsidRPr="00796959" w14:paraId="1FD23AC7"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F2173B"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Hyperlipidemia</w:t>
            </w:r>
          </w:p>
        </w:tc>
        <w:tc>
          <w:tcPr>
            <w:tcW w:w="0" w:type="auto"/>
            <w:vAlign w:val="center"/>
            <w:hideMark/>
          </w:tcPr>
          <w:p w14:paraId="23720708"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310 (14.1)</w:t>
            </w:r>
          </w:p>
        </w:tc>
        <w:tc>
          <w:tcPr>
            <w:tcW w:w="0" w:type="auto"/>
            <w:vAlign w:val="center"/>
          </w:tcPr>
          <w:p w14:paraId="68847427"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420 (13.0)</w:t>
            </w:r>
          </w:p>
        </w:tc>
        <w:tc>
          <w:tcPr>
            <w:tcW w:w="0" w:type="auto"/>
          </w:tcPr>
          <w:p w14:paraId="3C68E97D"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0.287</w:t>
            </w:r>
          </w:p>
        </w:tc>
      </w:tr>
      <w:tr w:rsidR="00C97F7E" w:rsidRPr="00796959" w14:paraId="080EB69A" w14:textId="77777777" w:rsidTr="004333EC">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F259A04"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Hypertension</w:t>
            </w:r>
          </w:p>
        </w:tc>
        <w:tc>
          <w:tcPr>
            <w:tcW w:w="0" w:type="auto"/>
            <w:vAlign w:val="center"/>
            <w:hideMark/>
          </w:tcPr>
          <w:p w14:paraId="40926E5C"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301 (13.7)</w:t>
            </w:r>
          </w:p>
        </w:tc>
        <w:tc>
          <w:tcPr>
            <w:tcW w:w="0" w:type="auto"/>
            <w:vAlign w:val="center"/>
          </w:tcPr>
          <w:p w14:paraId="4CA09045"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418 (13.0)</w:t>
            </w:r>
          </w:p>
        </w:tc>
        <w:tc>
          <w:tcPr>
            <w:tcW w:w="0" w:type="auto"/>
          </w:tcPr>
          <w:p w14:paraId="46CB8088"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0.483</w:t>
            </w:r>
          </w:p>
        </w:tc>
      </w:tr>
      <w:tr w:rsidR="00C97F7E" w:rsidRPr="00796959" w14:paraId="5F8F5E34" w14:textId="77777777" w:rsidTr="004333EC">
        <w:trPr>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7FF994"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History of smoking</w:t>
            </w:r>
          </w:p>
        </w:tc>
        <w:tc>
          <w:tcPr>
            <w:tcW w:w="0" w:type="auto"/>
            <w:vAlign w:val="center"/>
            <w:hideMark/>
          </w:tcPr>
          <w:p w14:paraId="43966F1E"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144 (6.5)</w:t>
            </w:r>
          </w:p>
        </w:tc>
        <w:tc>
          <w:tcPr>
            <w:tcW w:w="0" w:type="auto"/>
            <w:vAlign w:val="center"/>
          </w:tcPr>
          <w:p w14:paraId="7D31AF41"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201 (6.2)</w:t>
            </w:r>
          </w:p>
        </w:tc>
        <w:tc>
          <w:tcPr>
            <w:tcW w:w="0" w:type="auto"/>
          </w:tcPr>
          <w:p w14:paraId="761D5D40"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0.697</w:t>
            </w:r>
          </w:p>
        </w:tc>
      </w:tr>
      <w:tr w:rsidR="00C97F7E" w:rsidRPr="00796959" w14:paraId="2D6A7093" w14:textId="77777777" w:rsidTr="00F9579F">
        <w:trPr>
          <w:cnfStyle w:val="000000100000" w:firstRow="0" w:lastRow="0" w:firstColumn="0" w:lastColumn="0" w:oddVBand="0" w:evenVBand="0" w:oddHBand="1" w:evenHBand="0" w:firstRowFirstColumn="0" w:firstRowLastColumn="0" w:lastRowFirstColumn="0" w:lastRowLastColumn="0"/>
          <w:trHeight w:hRule="exact" w:val="25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1DD7C5" w14:textId="77777777" w:rsidR="00C97F7E" w:rsidRPr="00796959" w:rsidRDefault="00C97F7E"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BMI ≥ 30 kg/m</w:t>
            </w:r>
            <w:r w:rsidRPr="00796959">
              <w:rPr>
                <w:rFonts w:ascii="Book Antiqua" w:eastAsia="Times New Roman" w:hAnsi="Book Antiqua" w:cs="Arial"/>
                <w:b w:val="0"/>
                <w:color w:val="000000"/>
                <w:sz w:val="24"/>
                <w:szCs w:val="24"/>
                <w:vertAlign w:val="superscript"/>
              </w:rPr>
              <w:t>2</w:t>
            </w:r>
          </w:p>
        </w:tc>
        <w:tc>
          <w:tcPr>
            <w:tcW w:w="0" w:type="auto"/>
            <w:vAlign w:val="center"/>
            <w:hideMark/>
          </w:tcPr>
          <w:p w14:paraId="05EB631B"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96 (4.4)</w:t>
            </w:r>
          </w:p>
        </w:tc>
        <w:tc>
          <w:tcPr>
            <w:tcW w:w="0" w:type="auto"/>
            <w:vAlign w:val="center"/>
          </w:tcPr>
          <w:p w14:paraId="3245C1AD"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130 (4.0)</w:t>
            </w:r>
          </w:p>
        </w:tc>
        <w:tc>
          <w:tcPr>
            <w:tcW w:w="0" w:type="auto"/>
          </w:tcPr>
          <w:p w14:paraId="3923CC89" w14:textId="77777777" w:rsidR="00C97F7E" w:rsidRPr="00796959" w:rsidRDefault="00C97F7E"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0.604</w:t>
            </w:r>
          </w:p>
        </w:tc>
      </w:tr>
      <w:tr w:rsidR="00C97F7E" w:rsidRPr="00796959" w14:paraId="63BD1472" w14:textId="77777777" w:rsidTr="00F9579F">
        <w:trPr>
          <w:trHeight w:hRule="exac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14:paraId="676D71D8" w14:textId="77777777" w:rsidR="00C97F7E" w:rsidRPr="00796959" w:rsidRDefault="00C97F7E"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Number of comorbid diagnosis, mean ± SD</w:t>
            </w:r>
          </w:p>
        </w:tc>
        <w:tc>
          <w:tcPr>
            <w:tcW w:w="0" w:type="auto"/>
            <w:tcBorders>
              <w:bottom w:val="single" w:sz="4" w:space="0" w:color="auto"/>
            </w:tcBorders>
            <w:vAlign w:val="center"/>
            <w:hideMark/>
          </w:tcPr>
          <w:p w14:paraId="6CB55F61"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12.7 ± 2.9</w:t>
            </w:r>
          </w:p>
        </w:tc>
        <w:tc>
          <w:tcPr>
            <w:tcW w:w="0" w:type="auto"/>
            <w:tcBorders>
              <w:bottom w:val="single" w:sz="4" w:space="0" w:color="auto"/>
            </w:tcBorders>
            <w:vAlign w:val="center"/>
          </w:tcPr>
          <w:p w14:paraId="05190C5F"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12.4 ± 3.0</w:t>
            </w:r>
          </w:p>
        </w:tc>
        <w:tc>
          <w:tcPr>
            <w:tcW w:w="0" w:type="auto"/>
            <w:tcBorders>
              <w:bottom w:val="single" w:sz="4" w:space="0" w:color="auto"/>
            </w:tcBorders>
          </w:tcPr>
          <w:p w14:paraId="2CFC3D01" w14:textId="77777777" w:rsidR="00C97F7E" w:rsidRPr="00796959" w:rsidRDefault="00C97F7E"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0.945</w:t>
            </w:r>
          </w:p>
        </w:tc>
      </w:tr>
    </w:tbl>
    <w:p w14:paraId="4556638A" w14:textId="77777777" w:rsidR="00C97F7E" w:rsidRPr="00796959" w:rsidRDefault="00C97F7E" w:rsidP="00796959">
      <w:pPr>
        <w:pStyle w:val="NoSpacing"/>
        <w:spacing w:line="360" w:lineRule="auto"/>
        <w:ind w:left="90"/>
        <w:jc w:val="both"/>
        <w:rPr>
          <w:rFonts w:ascii="Book Antiqua" w:hAnsi="Book Antiqua"/>
          <w:sz w:val="24"/>
          <w:szCs w:val="24"/>
        </w:rPr>
      </w:pPr>
      <w:r w:rsidRPr="00796959">
        <w:rPr>
          <w:rFonts w:ascii="Book Antiqua" w:hAnsi="Book Antiqua"/>
          <w:sz w:val="24"/>
          <w:szCs w:val="24"/>
        </w:rPr>
        <w:t>SD, Standard Deviation; BMI, Body Mass Index; LVAD, Left Ventricular Assist Device; OHT, Orthotopic Heart Transplant</w:t>
      </w:r>
    </w:p>
    <w:p w14:paraId="1E357EF9" w14:textId="77777777" w:rsidR="00C97F7E" w:rsidRPr="00796959" w:rsidRDefault="00C97F7E" w:rsidP="00796959">
      <w:pPr>
        <w:rPr>
          <w:rFonts w:ascii="Book Antiqua" w:hAnsi="Book Antiqua"/>
          <w:sz w:val="24"/>
          <w:szCs w:val="24"/>
        </w:rPr>
      </w:pPr>
    </w:p>
    <w:p w14:paraId="0AC20969" w14:textId="77777777" w:rsidR="006F7356" w:rsidRPr="00796959" w:rsidRDefault="006F7356" w:rsidP="00796959">
      <w:pPr>
        <w:rPr>
          <w:rFonts w:ascii="Book Antiqua" w:hAnsi="Book Antiqua"/>
          <w:sz w:val="24"/>
          <w:szCs w:val="24"/>
        </w:rPr>
      </w:pPr>
    </w:p>
    <w:p w14:paraId="50EFA93B" w14:textId="77777777" w:rsidR="006F7356" w:rsidRPr="00796959" w:rsidRDefault="006F7356" w:rsidP="00796959">
      <w:pPr>
        <w:rPr>
          <w:rFonts w:ascii="Book Antiqua" w:hAnsi="Book Antiqua"/>
          <w:sz w:val="24"/>
          <w:szCs w:val="24"/>
        </w:rPr>
      </w:pPr>
    </w:p>
    <w:p w14:paraId="153C1D18" w14:textId="3F97B79B" w:rsidR="006F7356" w:rsidRPr="00796959" w:rsidRDefault="006F7356" w:rsidP="00796959">
      <w:pPr>
        <w:rPr>
          <w:rFonts w:ascii="Book Antiqua" w:hAnsi="Book Antiqua"/>
          <w:sz w:val="24"/>
          <w:szCs w:val="24"/>
        </w:rPr>
      </w:pPr>
    </w:p>
    <w:p w14:paraId="3A6B9D76" w14:textId="77777777" w:rsidR="006F7356" w:rsidRPr="00796959" w:rsidRDefault="006F7356" w:rsidP="00796959">
      <w:pPr>
        <w:rPr>
          <w:rFonts w:ascii="Book Antiqua" w:hAnsi="Book Antiqua"/>
          <w:sz w:val="24"/>
          <w:szCs w:val="24"/>
        </w:rPr>
      </w:pPr>
    </w:p>
    <w:p w14:paraId="3E34E155" w14:textId="77777777" w:rsidR="006F7356" w:rsidRPr="00796959" w:rsidRDefault="006F7356" w:rsidP="00796959">
      <w:pPr>
        <w:rPr>
          <w:rFonts w:ascii="Book Antiqua" w:hAnsi="Book Antiqua"/>
          <w:sz w:val="24"/>
          <w:szCs w:val="24"/>
        </w:rPr>
      </w:pPr>
    </w:p>
    <w:p w14:paraId="703CA26B" w14:textId="77777777" w:rsidR="008D1929" w:rsidRPr="00796959" w:rsidRDefault="008D1929" w:rsidP="00796959">
      <w:pPr>
        <w:rPr>
          <w:rFonts w:ascii="Book Antiqua" w:hAnsi="Book Antiqua"/>
          <w:sz w:val="24"/>
          <w:szCs w:val="24"/>
        </w:rPr>
      </w:pPr>
    </w:p>
    <w:p w14:paraId="612FD6EF" w14:textId="77777777" w:rsidR="008D1929" w:rsidRPr="00796959" w:rsidRDefault="008D1929" w:rsidP="00796959">
      <w:pPr>
        <w:rPr>
          <w:rFonts w:ascii="Book Antiqua" w:hAnsi="Book Antiqua"/>
          <w:sz w:val="24"/>
          <w:szCs w:val="24"/>
        </w:rPr>
      </w:pPr>
    </w:p>
    <w:p w14:paraId="0355769B" w14:textId="77777777" w:rsidR="008D1929" w:rsidRPr="00796959" w:rsidRDefault="008D1929" w:rsidP="00796959">
      <w:pPr>
        <w:rPr>
          <w:rFonts w:ascii="Book Antiqua" w:hAnsi="Book Antiqua"/>
          <w:sz w:val="24"/>
          <w:szCs w:val="24"/>
        </w:rPr>
      </w:pPr>
    </w:p>
    <w:p w14:paraId="00B3BB61" w14:textId="77777777" w:rsidR="008D1929" w:rsidRPr="00796959" w:rsidRDefault="008D1929" w:rsidP="00796959">
      <w:pPr>
        <w:rPr>
          <w:rFonts w:ascii="Book Antiqua" w:hAnsi="Book Antiqua"/>
          <w:sz w:val="24"/>
          <w:szCs w:val="24"/>
        </w:rPr>
      </w:pPr>
    </w:p>
    <w:p w14:paraId="0DB55BE3" w14:textId="77777777" w:rsidR="006F7356" w:rsidRPr="00796959" w:rsidRDefault="006F7356" w:rsidP="00796959">
      <w:pPr>
        <w:rPr>
          <w:rFonts w:ascii="Book Antiqua" w:hAnsi="Book Antiqua"/>
          <w:sz w:val="24"/>
          <w:szCs w:val="24"/>
        </w:rPr>
      </w:pPr>
    </w:p>
    <w:p w14:paraId="4C45C44C" w14:textId="749B6678" w:rsidR="006F7356" w:rsidRPr="00796959" w:rsidRDefault="006F7356" w:rsidP="00796959">
      <w:pPr>
        <w:rPr>
          <w:rFonts w:ascii="Book Antiqua" w:hAnsi="Book Antiqua"/>
          <w:b/>
          <w:sz w:val="24"/>
          <w:szCs w:val="24"/>
        </w:rPr>
      </w:pPr>
    </w:p>
    <w:p w14:paraId="08B70634" w14:textId="77777777" w:rsidR="00200FDE" w:rsidRPr="00796959" w:rsidRDefault="00200FDE" w:rsidP="00796959">
      <w:pPr>
        <w:rPr>
          <w:rFonts w:ascii="Book Antiqua" w:hAnsi="Book Antiqua"/>
          <w:b/>
          <w:sz w:val="24"/>
          <w:szCs w:val="24"/>
        </w:rPr>
      </w:pPr>
    </w:p>
    <w:tbl>
      <w:tblPr>
        <w:tblStyle w:val="PlainTable4"/>
        <w:tblW w:w="5000" w:type="pct"/>
        <w:jc w:val="center"/>
        <w:tblLook w:val="04A0" w:firstRow="1" w:lastRow="0" w:firstColumn="1" w:lastColumn="0" w:noHBand="0" w:noVBand="1"/>
      </w:tblPr>
      <w:tblGrid>
        <w:gridCol w:w="5648"/>
        <w:gridCol w:w="1728"/>
        <w:gridCol w:w="1698"/>
        <w:gridCol w:w="1726"/>
      </w:tblGrid>
      <w:tr w:rsidR="006F7356" w:rsidRPr="00796959" w14:paraId="2C0D9F1B" w14:textId="77777777" w:rsidTr="004333EC">
        <w:trPr>
          <w:cnfStyle w:val="100000000000" w:firstRow="1" w:lastRow="0" w:firstColumn="0" w:lastColumn="0" w:oddVBand="0" w:evenVBand="0" w:oddHBand="0"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bottom w:val="single" w:sz="12" w:space="0" w:color="auto"/>
            </w:tcBorders>
          </w:tcPr>
          <w:p w14:paraId="2B886EC1" w14:textId="77777777" w:rsidR="006F7356" w:rsidRPr="00796959" w:rsidRDefault="006F7356" w:rsidP="00796959">
            <w:pPr>
              <w:spacing w:line="360" w:lineRule="auto"/>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 xml:space="preserve">Supplementary Table 3. </w:t>
            </w:r>
            <w:r w:rsidRPr="00796959">
              <w:rPr>
                <w:rFonts w:ascii="Book Antiqua" w:eastAsia="Times New Roman" w:hAnsi="Book Antiqua" w:cs="Arial"/>
                <w:b w:val="0"/>
                <w:color w:val="000000"/>
                <w:sz w:val="24"/>
                <w:szCs w:val="24"/>
              </w:rPr>
              <w:t>Baseline demographics of all LVAD patients, LVAD patients who underwent OHT, and LVAD patients who did not undergo OHT</w:t>
            </w:r>
          </w:p>
        </w:tc>
      </w:tr>
      <w:tr w:rsidR="006F7356" w:rsidRPr="00796959" w14:paraId="0E2786EB" w14:textId="77777777" w:rsidTr="004333EC">
        <w:trPr>
          <w:cnfStyle w:val="000000100000" w:firstRow="0" w:lastRow="0" w:firstColumn="0" w:lastColumn="0" w:oddVBand="0" w:evenVBand="0" w:oddHBand="1" w:evenHBand="0" w:firstRowFirstColumn="0" w:firstRowLastColumn="0" w:lastRowFirstColumn="0" w:lastRowLastColumn="0"/>
          <w:trHeight w:hRule="exact" w:val="504"/>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12" w:space="0" w:color="auto"/>
              <w:bottom w:val="single" w:sz="8" w:space="0" w:color="auto"/>
            </w:tcBorders>
            <w:shd w:val="clear" w:color="auto" w:fill="auto"/>
            <w:vAlign w:val="center"/>
          </w:tcPr>
          <w:p w14:paraId="219DA31B" w14:textId="77777777" w:rsidR="006F7356" w:rsidRPr="00796959" w:rsidRDefault="006F7356" w:rsidP="00796959">
            <w:pPr>
              <w:spacing w:line="360" w:lineRule="auto"/>
              <w:rPr>
                <w:rFonts w:ascii="Book Antiqua" w:eastAsia="Times New Roman" w:hAnsi="Book Antiqua" w:cs="Arial"/>
                <w:color w:val="000000"/>
                <w:sz w:val="24"/>
                <w:szCs w:val="24"/>
              </w:rPr>
            </w:pPr>
          </w:p>
        </w:tc>
        <w:tc>
          <w:tcPr>
            <w:tcW w:w="800" w:type="pct"/>
            <w:tcBorders>
              <w:top w:val="single" w:sz="12" w:space="0" w:color="auto"/>
              <w:bottom w:val="single" w:sz="8" w:space="0" w:color="auto"/>
            </w:tcBorders>
            <w:shd w:val="clear" w:color="auto" w:fill="auto"/>
            <w:vAlign w:val="center"/>
          </w:tcPr>
          <w:p w14:paraId="3787038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All LVADs</w:t>
            </w:r>
            <w:r w:rsidRPr="00796959">
              <w:rPr>
                <w:rFonts w:ascii="Book Antiqua" w:eastAsia="Times New Roman" w:hAnsi="Book Antiqua" w:cs="Arial"/>
                <w:b/>
                <w:bCs/>
                <w:color w:val="000000"/>
                <w:sz w:val="24"/>
                <w:szCs w:val="24"/>
              </w:rPr>
              <w:br/>
              <w:t>(n = 2200)</w:t>
            </w:r>
          </w:p>
        </w:tc>
        <w:tc>
          <w:tcPr>
            <w:tcW w:w="786" w:type="pct"/>
            <w:tcBorders>
              <w:top w:val="single" w:sz="12" w:space="0" w:color="auto"/>
              <w:bottom w:val="single" w:sz="8" w:space="0" w:color="auto"/>
            </w:tcBorders>
            <w:shd w:val="clear" w:color="auto" w:fill="auto"/>
            <w:vAlign w:val="center"/>
          </w:tcPr>
          <w:p w14:paraId="519FE94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OHT-</w:t>
            </w:r>
            <w:r w:rsidRPr="00796959">
              <w:rPr>
                <w:rFonts w:ascii="Book Antiqua" w:eastAsia="Times New Roman" w:hAnsi="Book Antiqua" w:cs="Arial"/>
                <w:b/>
                <w:bCs/>
                <w:color w:val="000000"/>
                <w:sz w:val="24"/>
                <w:szCs w:val="24"/>
              </w:rPr>
              <w:br/>
              <w:t>(n = 2036)</w:t>
            </w:r>
          </w:p>
        </w:tc>
        <w:tc>
          <w:tcPr>
            <w:tcW w:w="799" w:type="pct"/>
            <w:tcBorders>
              <w:top w:val="single" w:sz="12" w:space="0" w:color="auto"/>
              <w:bottom w:val="single" w:sz="8" w:space="0" w:color="auto"/>
            </w:tcBorders>
            <w:shd w:val="clear" w:color="auto" w:fill="auto"/>
            <w:vAlign w:val="center"/>
          </w:tcPr>
          <w:p w14:paraId="7EC607D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bCs/>
                <w:color w:val="000000"/>
                <w:sz w:val="24"/>
                <w:szCs w:val="24"/>
              </w:rPr>
            </w:pPr>
            <w:r w:rsidRPr="00796959">
              <w:rPr>
                <w:rFonts w:ascii="Book Antiqua" w:eastAsia="Times New Roman" w:hAnsi="Book Antiqua" w:cs="Arial"/>
                <w:b/>
                <w:bCs/>
                <w:color w:val="000000"/>
                <w:sz w:val="24"/>
                <w:szCs w:val="24"/>
              </w:rPr>
              <w:t xml:space="preserve">OHT+ </w:t>
            </w:r>
            <w:r w:rsidRPr="00796959">
              <w:rPr>
                <w:rFonts w:ascii="Book Antiqua" w:eastAsia="Times New Roman" w:hAnsi="Book Antiqua" w:cs="Arial"/>
                <w:b/>
                <w:bCs/>
                <w:color w:val="000000"/>
                <w:sz w:val="24"/>
                <w:szCs w:val="24"/>
              </w:rPr>
              <w:br/>
              <w:t>(n = 164)</w:t>
            </w:r>
          </w:p>
        </w:tc>
      </w:tr>
      <w:tr w:rsidR="006F7356" w:rsidRPr="00796959" w14:paraId="0EF5F9EC"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top w:val="single" w:sz="8" w:space="0" w:color="auto"/>
            </w:tcBorders>
            <w:vAlign w:val="center"/>
            <w:hideMark/>
          </w:tcPr>
          <w:p w14:paraId="1D6FA7AF"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Mortality, n (%)</w:t>
            </w:r>
          </w:p>
        </w:tc>
        <w:tc>
          <w:tcPr>
            <w:tcW w:w="800" w:type="pct"/>
            <w:tcBorders>
              <w:top w:val="single" w:sz="8" w:space="0" w:color="auto"/>
            </w:tcBorders>
            <w:vAlign w:val="center"/>
            <w:hideMark/>
          </w:tcPr>
          <w:p w14:paraId="5F80B4E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 xml:space="preserve">590 (26.5) </w:t>
            </w:r>
          </w:p>
        </w:tc>
        <w:tc>
          <w:tcPr>
            <w:tcW w:w="786" w:type="pct"/>
            <w:tcBorders>
              <w:top w:val="single" w:sz="8" w:space="0" w:color="auto"/>
            </w:tcBorders>
            <w:vAlign w:val="center"/>
            <w:hideMark/>
          </w:tcPr>
          <w:p w14:paraId="67A8AA9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b/>
                <w:color w:val="000000"/>
                <w:sz w:val="24"/>
                <w:szCs w:val="24"/>
              </w:rPr>
            </w:pPr>
            <w:r w:rsidRPr="00796959">
              <w:rPr>
                <w:rFonts w:ascii="Book Antiqua" w:eastAsia="Times New Roman" w:hAnsi="Book Antiqua" w:cs="Arial"/>
                <w:color w:val="000000"/>
                <w:sz w:val="24"/>
                <w:szCs w:val="24"/>
              </w:rPr>
              <w:t>564 (27.3)</w:t>
            </w:r>
          </w:p>
        </w:tc>
        <w:tc>
          <w:tcPr>
            <w:tcW w:w="799" w:type="pct"/>
            <w:tcBorders>
              <w:top w:val="single" w:sz="8" w:space="0" w:color="auto"/>
            </w:tcBorders>
            <w:vAlign w:val="center"/>
            <w:hideMark/>
          </w:tcPr>
          <w:p w14:paraId="4CA5C7FC"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26 (15.9)</w:t>
            </w:r>
          </w:p>
        </w:tc>
      </w:tr>
      <w:tr w:rsidR="006F7356" w:rsidRPr="00796959" w14:paraId="116FF4D8"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D819161"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Length of stay, mean ± SD</w:t>
            </w:r>
          </w:p>
        </w:tc>
        <w:tc>
          <w:tcPr>
            <w:tcW w:w="800" w:type="pct"/>
            <w:vAlign w:val="center"/>
            <w:hideMark/>
          </w:tcPr>
          <w:p w14:paraId="3EB2E40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40.5 ± 38.9</w:t>
            </w:r>
          </w:p>
        </w:tc>
        <w:tc>
          <w:tcPr>
            <w:tcW w:w="786" w:type="pct"/>
            <w:vAlign w:val="center"/>
            <w:hideMark/>
          </w:tcPr>
          <w:p w14:paraId="6FE26CF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b/>
                <w:color w:val="000000"/>
                <w:sz w:val="24"/>
                <w:szCs w:val="24"/>
              </w:rPr>
            </w:pPr>
            <w:r w:rsidRPr="00796959">
              <w:rPr>
                <w:rFonts w:ascii="Book Antiqua" w:eastAsia="Times New Roman" w:hAnsi="Book Antiqua" w:cs="Arial"/>
                <w:color w:val="000000"/>
                <w:sz w:val="24"/>
                <w:szCs w:val="24"/>
              </w:rPr>
              <w:t>37.1 ± 34.6</w:t>
            </w:r>
          </w:p>
        </w:tc>
        <w:tc>
          <w:tcPr>
            <w:tcW w:w="799" w:type="pct"/>
            <w:vAlign w:val="center"/>
            <w:hideMark/>
          </w:tcPr>
          <w:p w14:paraId="5C7BB8D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82.8 ± 59.3</w:t>
            </w:r>
          </w:p>
        </w:tc>
      </w:tr>
      <w:tr w:rsidR="006F7356" w:rsidRPr="00796959" w14:paraId="483332C9"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F10ADEE"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Age, mean ± SD</w:t>
            </w:r>
          </w:p>
        </w:tc>
        <w:tc>
          <w:tcPr>
            <w:tcW w:w="800" w:type="pct"/>
            <w:vAlign w:val="center"/>
            <w:hideMark/>
          </w:tcPr>
          <w:p w14:paraId="0DED446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53.4 ± 13.7</w:t>
            </w:r>
          </w:p>
        </w:tc>
        <w:tc>
          <w:tcPr>
            <w:tcW w:w="786" w:type="pct"/>
            <w:vAlign w:val="center"/>
            <w:hideMark/>
          </w:tcPr>
          <w:p w14:paraId="6266CF9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55.4 ± 13.2</w:t>
            </w:r>
          </w:p>
        </w:tc>
        <w:tc>
          <w:tcPr>
            <w:tcW w:w="799" w:type="pct"/>
            <w:vAlign w:val="center"/>
            <w:hideMark/>
          </w:tcPr>
          <w:p w14:paraId="1D3653A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48.2 ± 13.5</w:t>
            </w:r>
          </w:p>
        </w:tc>
      </w:tr>
      <w:tr w:rsidR="006F7356" w:rsidRPr="00796959" w14:paraId="25571C5A"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6F30270D"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Sex, n (%)</w:t>
            </w:r>
          </w:p>
        </w:tc>
      </w:tr>
      <w:tr w:rsidR="006F7356" w:rsidRPr="00796959" w14:paraId="09F0E71F"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19E781A3"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Male</w:t>
            </w:r>
          </w:p>
        </w:tc>
        <w:tc>
          <w:tcPr>
            <w:tcW w:w="800" w:type="pct"/>
            <w:vAlign w:val="center"/>
            <w:hideMark/>
          </w:tcPr>
          <w:p w14:paraId="616514F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1659 (75.4)</w:t>
            </w:r>
          </w:p>
        </w:tc>
        <w:tc>
          <w:tcPr>
            <w:tcW w:w="786" w:type="pct"/>
            <w:vAlign w:val="center"/>
            <w:hideMark/>
          </w:tcPr>
          <w:p w14:paraId="7DE338C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1525 (74.9)</w:t>
            </w:r>
          </w:p>
        </w:tc>
        <w:tc>
          <w:tcPr>
            <w:tcW w:w="799" w:type="pct"/>
            <w:vAlign w:val="center"/>
            <w:hideMark/>
          </w:tcPr>
          <w:p w14:paraId="11050DD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134 (81.7)</w:t>
            </w:r>
          </w:p>
        </w:tc>
      </w:tr>
      <w:tr w:rsidR="006F7356" w:rsidRPr="00796959" w14:paraId="0D463DC2"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9DF46F5"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Female</w:t>
            </w:r>
          </w:p>
        </w:tc>
        <w:tc>
          <w:tcPr>
            <w:tcW w:w="800" w:type="pct"/>
            <w:vAlign w:val="center"/>
            <w:hideMark/>
          </w:tcPr>
          <w:p w14:paraId="05B215C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541 (24.6)</w:t>
            </w:r>
          </w:p>
        </w:tc>
        <w:tc>
          <w:tcPr>
            <w:tcW w:w="786" w:type="pct"/>
            <w:vAlign w:val="center"/>
            <w:hideMark/>
          </w:tcPr>
          <w:p w14:paraId="1BFA0EA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511 (25.1)</w:t>
            </w:r>
          </w:p>
        </w:tc>
        <w:tc>
          <w:tcPr>
            <w:tcW w:w="799" w:type="pct"/>
            <w:vAlign w:val="center"/>
            <w:hideMark/>
          </w:tcPr>
          <w:p w14:paraId="63108EE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30 (18.3)</w:t>
            </w:r>
          </w:p>
        </w:tc>
      </w:tr>
      <w:tr w:rsidR="006F7356" w:rsidRPr="00796959" w14:paraId="79F853B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5ABC0428"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Race, n (%)</w:t>
            </w:r>
          </w:p>
        </w:tc>
      </w:tr>
      <w:tr w:rsidR="006F7356" w:rsidRPr="00796959" w14:paraId="5F0DC986"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6B05D82"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White</w:t>
            </w:r>
          </w:p>
        </w:tc>
        <w:tc>
          <w:tcPr>
            <w:tcW w:w="800" w:type="pct"/>
            <w:vAlign w:val="center"/>
            <w:hideMark/>
          </w:tcPr>
          <w:p w14:paraId="77002FB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1274 (57.9)</w:t>
            </w:r>
          </w:p>
        </w:tc>
        <w:tc>
          <w:tcPr>
            <w:tcW w:w="786" w:type="pct"/>
            <w:vAlign w:val="center"/>
            <w:hideMark/>
          </w:tcPr>
          <w:p w14:paraId="5D34A553"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1185 (58.2)</w:t>
            </w:r>
          </w:p>
        </w:tc>
        <w:tc>
          <w:tcPr>
            <w:tcW w:w="799" w:type="pct"/>
            <w:vAlign w:val="center"/>
            <w:hideMark/>
          </w:tcPr>
          <w:p w14:paraId="47B75391"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89 (54.3)</w:t>
            </w:r>
          </w:p>
        </w:tc>
      </w:tr>
      <w:tr w:rsidR="006F7356" w:rsidRPr="00796959" w14:paraId="4D325DB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EF91071"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Black</w:t>
            </w:r>
          </w:p>
        </w:tc>
        <w:tc>
          <w:tcPr>
            <w:tcW w:w="800" w:type="pct"/>
            <w:vAlign w:val="center"/>
            <w:hideMark/>
          </w:tcPr>
          <w:p w14:paraId="23F8951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352 (16.0)</w:t>
            </w:r>
          </w:p>
        </w:tc>
        <w:tc>
          <w:tcPr>
            <w:tcW w:w="786" w:type="pct"/>
            <w:vAlign w:val="center"/>
            <w:hideMark/>
          </w:tcPr>
          <w:p w14:paraId="127B9B1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330 (16.2)</w:t>
            </w:r>
          </w:p>
        </w:tc>
        <w:tc>
          <w:tcPr>
            <w:tcW w:w="799" w:type="pct"/>
            <w:vAlign w:val="center"/>
            <w:hideMark/>
          </w:tcPr>
          <w:p w14:paraId="2AF9D37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22 (13.4)</w:t>
            </w:r>
          </w:p>
        </w:tc>
      </w:tr>
      <w:tr w:rsidR="006F7356" w:rsidRPr="00796959" w14:paraId="37258420"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041F506"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Hispanic</w:t>
            </w:r>
          </w:p>
        </w:tc>
        <w:tc>
          <w:tcPr>
            <w:tcW w:w="800" w:type="pct"/>
            <w:vAlign w:val="center"/>
            <w:hideMark/>
          </w:tcPr>
          <w:p w14:paraId="1D619BD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142 (6.5)</w:t>
            </w:r>
          </w:p>
        </w:tc>
        <w:tc>
          <w:tcPr>
            <w:tcW w:w="786" w:type="pct"/>
            <w:vAlign w:val="center"/>
            <w:hideMark/>
          </w:tcPr>
          <w:p w14:paraId="44A4EEA2"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125 (6.1)</w:t>
            </w:r>
          </w:p>
        </w:tc>
        <w:tc>
          <w:tcPr>
            <w:tcW w:w="799" w:type="pct"/>
            <w:vAlign w:val="center"/>
            <w:hideMark/>
          </w:tcPr>
          <w:p w14:paraId="0663A109"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17 (10.4)</w:t>
            </w:r>
          </w:p>
        </w:tc>
      </w:tr>
      <w:tr w:rsidR="006F7356" w:rsidRPr="00796959" w14:paraId="652124D8"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354A9FC2"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Asian/Pacific Islander</w:t>
            </w:r>
          </w:p>
        </w:tc>
        <w:tc>
          <w:tcPr>
            <w:tcW w:w="800" w:type="pct"/>
            <w:vAlign w:val="center"/>
            <w:hideMark/>
          </w:tcPr>
          <w:p w14:paraId="0ADFB10B"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51 (2.3)</w:t>
            </w:r>
          </w:p>
        </w:tc>
        <w:tc>
          <w:tcPr>
            <w:tcW w:w="786" w:type="pct"/>
            <w:vAlign w:val="center"/>
            <w:hideMark/>
          </w:tcPr>
          <w:p w14:paraId="4297A52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44 (2.2)</w:t>
            </w:r>
          </w:p>
        </w:tc>
        <w:tc>
          <w:tcPr>
            <w:tcW w:w="799" w:type="pct"/>
            <w:vAlign w:val="center"/>
            <w:hideMark/>
          </w:tcPr>
          <w:p w14:paraId="4EA683F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 (4.3)</w:t>
            </w:r>
          </w:p>
        </w:tc>
      </w:tr>
      <w:tr w:rsidR="006F7356" w:rsidRPr="00796959" w14:paraId="732603B7"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38F6050"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Native American</w:t>
            </w:r>
          </w:p>
        </w:tc>
        <w:tc>
          <w:tcPr>
            <w:tcW w:w="800" w:type="pct"/>
            <w:vAlign w:val="center"/>
            <w:hideMark/>
          </w:tcPr>
          <w:p w14:paraId="6E6EC1D7"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(0.2)</w:t>
            </w:r>
          </w:p>
        </w:tc>
        <w:tc>
          <w:tcPr>
            <w:tcW w:w="786" w:type="pct"/>
            <w:vAlign w:val="center"/>
            <w:hideMark/>
          </w:tcPr>
          <w:p w14:paraId="2A0F3AB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(0.2)</w:t>
            </w:r>
          </w:p>
        </w:tc>
        <w:tc>
          <w:tcPr>
            <w:tcW w:w="799" w:type="pct"/>
            <w:vAlign w:val="center"/>
            <w:hideMark/>
          </w:tcPr>
          <w:p w14:paraId="254C1749"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r>
      <w:tr w:rsidR="006F7356" w:rsidRPr="00796959" w14:paraId="43951263"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1469662A"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Other or unknown</w:t>
            </w:r>
          </w:p>
        </w:tc>
        <w:tc>
          <w:tcPr>
            <w:tcW w:w="800" w:type="pct"/>
            <w:vAlign w:val="center"/>
            <w:hideMark/>
          </w:tcPr>
          <w:p w14:paraId="2A81154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376 (17.1)</w:t>
            </w:r>
          </w:p>
        </w:tc>
        <w:tc>
          <w:tcPr>
            <w:tcW w:w="786" w:type="pct"/>
            <w:vAlign w:val="center"/>
            <w:hideMark/>
          </w:tcPr>
          <w:p w14:paraId="351A0B3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347 (17.0)</w:t>
            </w:r>
          </w:p>
        </w:tc>
        <w:tc>
          <w:tcPr>
            <w:tcW w:w="799" w:type="pct"/>
            <w:vAlign w:val="center"/>
            <w:hideMark/>
          </w:tcPr>
          <w:p w14:paraId="432D800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29 (17.7)</w:t>
            </w:r>
          </w:p>
        </w:tc>
      </w:tr>
      <w:tr w:rsidR="006F7356" w:rsidRPr="00796959" w14:paraId="1D809A63"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48EF403F"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Median household income, n (%)</w:t>
            </w:r>
          </w:p>
        </w:tc>
      </w:tr>
      <w:tr w:rsidR="006F7356" w:rsidRPr="00796959" w14:paraId="33259AA6"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9AF9836"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$1-24,999</w:t>
            </w:r>
          </w:p>
        </w:tc>
        <w:tc>
          <w:tcPr>
            <w:tcW w:w="800" w:type="pct"/>
            <w:vAlign w:val="center"/>
            <w:hideMark/>
          </w:tcPr>
          <w:p w14:paraId="106F3E1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475 (21.6)</w:t>
            </w:r>
          </w:p>
        </w:tc>
        <w:tc>
          <w:tcPr>
            <w:tcW w:w="786" w:type="pct"/>
            <w:vAlign w:val="center"/>
            <w:hideMark/>
          </w:tcPr>
          <w:p w14:paraId="16ACBB9D"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447 (22.0)</w:t>
            </w:r>
          </w:p>
        </w:tc>
        <w:tc>
          <w:tcPr>
            <w:tcW w:w="799" w:type="pct"/>
            <w:vAlign w:val="center"/>
            <w:hideMark/>
          </w:tcPr>
          <w:p w14:paraId="7BA63AAB"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28 (17.1)</w:t>
            </w:r>
          </w:p>
        </w:tc>
      </w:tr>
      <w:tr w:rsidR="006F7356" w:rsidRPr="00796959" w14:paraId="560740C7"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4AA94C4"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$25,000-34,999</w:t>
            </w:r>
          </w:p>
        </w:tc>
        <w:tc>
          <w:tcPr>
            <w:tcW w:w="800" w:type="pct"/>
            <w:vAlign w:val="center"/>
            <w:hideMark/>
          </w:tcPr>
          <w:p w14:paraId="5F1A017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491 (22.3)</w:t>
            </w:r>
          </w:p>
        </w:tc>
        <w:tc>
          <w:tcPr>
            <w:tcW w:w="786" w:type="pct"/>
            <w:vAlign w:val="center"/>
            <w:hideMark/>
          </w:tcPr>
          <w:p w14:paraId="03B6F90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454 (22.3)</w:t>
            </w:r>
          </w:p>
        </w:tc>
        <w:tc>
          <w:tcPr>
            <w:tcW w:w="799" w:type="pct"/>
            <w:vAlign w:val="center"/>
            <w:hideMark/>
          </w:tcPr>
          <w:p w14:paraId="1D7CC11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37 (22.6)</w:t>
            </w:r>
          </w:p>
        </w:tc>
      </w:tr>
      <w:tr w:rsidR="006F7356" w:rsidRPr="00796959" w14:paraId="0469702E"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F4CF472"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$35,000-44,999</w:t>
            </w:r>
          </w:p>
        </w:tc>
        <w:tc>
          <w:tcPr>
            <w:tcW w:w="800" w:type="pct"/>
            <w:vAlign w:val="center"/>
            <w:hideMark/>
          </w:tcPr>
          <w:p w14:paraId="764AB7A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552 (25.1)</w:t>
            </w:r>
          </w:p>
        </w:tc>
        <w:tc>
          <w:tcPr>
            <w:tcW w:w="786" w:type="pct"/>
            <w:vAlign w:val="center"/>
            <w:hideMark/>
          </w:tcPr>
          <w:p w14:paraId="2B74F78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509 (25.0)</w:t>
            </w:r>
          </w:p>
        </w:tc>
        <w:tc>
          <w:tcPr>
            <w:tcW w:w="799" w:type="pct"/>
            <w:vAlign w:val="center"/>
            <w:hideMark/>
          </w:tcPr>
          <w:p w14:paraId="41480EB8"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43 (26.2)</w:t>
            </w:r>
          </w:p>
        </w:tc>
      </w:tr>
      <w:tr w:rsidR="006F7356" w:rsidRPr="00796959" w14:paraId="5649E720"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C014530"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$45,000 or more</w:t>
            </w:r>
          </w:p>
        </w:tc>
        <w:tc>
          <w:tcPr>
            <w:tcW w:w="800" w:type="pct"/>
            <w:vAlign w:val="center"/>
            <w:hideMark/>
          </w:tcPr>
          <w:p w14:paraId="37C8304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631 (28.7)</w:t>
            </w:r>
          </w:p>
        </w:tc>
        <w:tc>
          <w:tcPr>
            <w:tcW w:w="786" w:type="pct"/>
            <w:vAlign w:val="center"/>
            <w:hideMark/>
          </w:tcPr>
          <w:p w14:paraId="15F11EF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579 (28.4)</w:t>
            </w:r>
          </w:p>
        </w:tc>
        <w:tc>
          <w:tcPr>
            <w:tcW w:w="799" w:type="pct"/>
            <w:vAlign w:val="center"/>
            <w:hideMark/>
          </w:tcPr>
          <w:p w14:paraId="5E3C9C6D"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52 (31.7)</w:t>
            </w:r>
          </w:p>
        </w:tc>
      </w:tr>
      <w:tr w:rsidR="006F7356" w:rsidRPr="00796959" w14:paraId="1F998AFD"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C34952F"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Unknown</w:t>
            </w:r>
          </w:p>
        </w:tc>
        <w:tc>
          <w:tcPr>
            <w:tcW w:w="800" w:type="pct"/>
            <w:vAlign w:val="center"/>
            <w:hideMark/>
          </w:tcPr>
          <w:p w14:paraId="384C0EC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51 (2.3)</w:t>
            </w:r>
          </w:p>
        </w:tc>
        <w:tc>
          <w:tcPr>
            <w:tcW w:w="786" w:type="pct"/>
            <w:vAlign w:val="center"/>
            <w:hideMark/>
          </w:tcPr>
          <w:p w14:paraId="58DEE47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47 (2.3)</w:t>
            </w:r>
          </w:p>
        </w:tc>
        <w:tc>
          <w:tcPr>
            <w:tcW w:w="799" w:type="pct"/>
            <w:vAlign w:val="center"/>
            <w:hideMark/>
          </w:tcPr>
          <w:p w14:paraId="79F0A29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4 (2.4)</w:t>
            </w:r>
          </w:p>
        </w:tc>
      </w:tr>
      <w:tr w:rsidR="006F7356" w:rsidRPr="00796959" w14:paraId="24E7D4D7"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6075DE8E"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Comorbidities</w:t>
            </w:r>
          </w:p>
        </w:tc>
      </w:tr>
      <w:tr w:rsidR="006F7356" w:rsidRPr="00796959" w14:paraId="16FD491E"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6CDCFB1E"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Diabetes</w:t>
            </w:r>
          </w:p>
        </w:tc>
        <w:tc>
          <w:tcPr>
            <w:tcW w:w="800" w:type="pct"/>
            <w:vAlign w:val="center"/>
            <w:hideMark/>
          </w:tcPr>
          <w:p w14:paraId="749AA4E2"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392 (17.8)</w:t>
            </w:r>
          </w:p>
        </w:tc>
        <w:tc>
          <w:tcPr>
            <w:tcW w:w="786" w:type="pct"/>
            <w:vAlign w:val="center"/>
            <w:hideMark/>
          </w:tcPr>
          <w:p w14:paraId="6BB45D06"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373 (18.3)</w:t>
            </w:r>
          </w:p>
        </w:tc>
        <w:tc>
          <w:tcPr>
            <w:tcW w:w="799" w:type="pct"/>
            <w:vAlign w:val="center"/>
            <w:hideMark/>
          </w:tcPr>
          <w:p w14:paraId="016190D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19 (11.6)</w:t>
            </w:r>
          </w:p>
        </w:tc>
      </w:tr>
      <w:tr w:rsidR="006F7356" w:rsidRPr="00796959" w14:paraId="3C5CEF55"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DEAB74E"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Hyperlipidemia</w:t>
            </w:r>
          </w:p>
        </w:tc>
        <w:tc>
          <w:tcPr>
            <w:tcW w:w="800" w:type="pct"/>
            <w:vAlign w:val="center"/>
            <w:hideMark/>
          </w:tcPr>
          <w:p w14:paraId="0086DB2F"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310 (14.1)</w:t>
            </w:r>
          </w:p>
        </w:tc>
        <w:tc>
          <w:tcPr>
            <w:tcW w:w="786" w:type="pct"/>
            <w:vAlign w:val="center"/>
            <w:hideMark/>
          </w:tcPr>
          <w:p w14:paraId="50933982"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297 (14.6)</w:t>
            </w:r>
          </w:p>
        </w:tc>
        <w:tc>
          <w:tcPr>
            <w:tcW w:w="799" w:type="pct"/>
            <w:vAlign w:val="center"/>
            <w:hideMark/>
          </w:tcPr>
          <w:p w14:paraId="3B11FE7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13 (7.9)</w:t>
            </w:r>
          </w:p>
        </w:tc>
      </w:tr>
      <w:tr w:rsidR="006F7356" w:rsidRPr="00796959" w14:paraId="00E3FA2F"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4565543"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Hypertension</w:t>
            </w:r>
          </w:p>
        </w:tc>
        <w:tc>
          <w:tcPr>
            <w:tcW w:w="800" w:type="pct"/>
            <w:vAlign w:val="center"/>
            <w:hideMark/>
          </w:tcPr>
          <w:p w14:paraId="0F11CCD3"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301 (13.7)</w:t>
            </w:r>
          </w:p>
        </w:tc>
        <w:tc>
          <w:tcPr>
            <w:tcW w:w="786" w:type="pct"/>
            <w:vAlign w:val="center"/>
            <w:hideMark/>
          </w:tcPr>
          <w:p w14:paraId="38EB7A3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291 (14.3)</w:t>
            </w:r>
          </w:p>
        </w:tc>
        <w:tc>
          <w:tcPr>
            <w:tcW w:w="799" w:type="pct"/>
            <w:vAlign w:val="center"/>
            <w:hideMark/>
          </w:tcPr>
          <w:p w14:paraId="3CBB84D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10 (6.1)</w:t>
            </w:r>
          </w:p>
        </w:tc>
      </w:tr>
      <w:tr w:rsidR="006F7356" w:rsidRPr="00796959" w14:paraId="22AD6F02"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5019AE4"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History of smoking</w:t>
            </w:r>
          </w:p>
        </w:tc>
        <w:tc>
          <w:tcPr>
            <w:tcW w:w="800" w:type="pct"/>
            <w:vAlign w:val="center"/>
            <w:hideMark/>
          </w:tcPr>
          <w:p w14:paraId="699FF10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144 (6.5)</w:t>
            </w:r>
          </w:p>
        </w:tc>
        <w:tc>
          <w:tcPr>
            <w:tcW w:w="786" w:type="pct"/>
            <w:vAlign w:val="center"/>
            <w:hideMark/>
          </w:tcPr>
          <w:p w14:paraId="37EF44F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137 (6.7)</w:t>
            </w:r>
          </w:p>
        </w:tc>
        <w:tc>
          <w:tcPr>
            <w:tcW w:w="799" w:type="pct"/>
            <w:vAlign w:val="center"/>
            <w:hideMark/>
          </w:tcPr>
          <w:p w14:paraId="71353E8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7 (4.3)</w:t>
            </w:r>
          </w:p>
        </w:tc>
      </w:tr>
      <w:tr w:rsidR="006F7356" w:rsidRPr="00796959" w14:paraId="6D3096D4"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28853CD"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BMI ≥ 30 kg/m</w:t>
            </w:r>
            <w:r w:rsidRPr="00796959">
              <w:rPr>
                <w:rFonts w:ascii="Book Antiqua" w:eastAsia="Times New Roman" w:hAnsi="Book Antiqua" w:cs="Arial"/>
                <w:b w:val="0"/>
                <w:color w:val="000000"/>
                <w:sz w:val="24"/>
                <w:szCs w:val="24"/>
                <w:vertAlign w:val="superscript"/>
              </w:rPr>
              <w:t>2</w:t>
            </w:r>
          </w:p>
        </w:tc>
        <w:tc>
          <w:tcPr>
            <w:tcW w:w="800" w:type="pct"/>
            <w:vAlign w:val="center"/>
            <w:hideMark/>
          </w:tcPr>
          <w:p w14:paraId="7303C286"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96 (4.4)</w:t>
            </w:r>
          </w:p>
        </w:tc>
        <w:tc>
          <w:tcPr>
            <w:tcW w:w="786" w:type="pct"/>
            <w:vAlign w:val="center"/>
            <w:hideMark/>
          </w:tcPr>
          <w:p w14:paraId="724A93F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96 (4.7)</w:t>
            </w:r>
          </w:p>
        </w:tc>
        <w:tc>
          <w:tcPr>
            <w:tcW w:w="799" w:type="pct"/>
            <w:vAlign w:val="center"/>
            <w:hideMark/>
          </w:tcPr>
          <w:p w14:paraId="321BBD0E"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r>
      <w:tr w:rsidR="006F7356" w:rsidRPr="00796959" w14:paraId="07A9A014"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C172D8F"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Number of comorbid diagnosis, mean ± SD</w:t>
            </w:r>
          </w:p>
        </w:tc>
        <w:tc>
          <w:tcPr>
            <w:tcW w:w="800" w:type="pct"/>
            <w:vAlign w:val="center"/>
            <w:hideMark/>
          </w:tcPr>
          <w:p w14:paraId="203BD28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12.7 ± 2.9</w:t>
            </w:r>
          </w:p>
        </w:tc>
        <w:tc>
          <w:tcPr>
            <w:tcW w:w="786" w:type="pct"/>
            <w:vAlign w:val="center"/>
            <w:hideMark/>
          </w:tcPr>
          <w:p w14:paraId="3208E142"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12.8 ± 2.9</w:t>
            </w:r>
          </w:p>
        </w:tc>
        <w:tc>
          <w:tcPr>
            <w:tcW w:w="799" w:type="pct"/>
            <w:vAlign w:val="center"/>
            <w:hideMark/>
          </w:tcPr>
          <w:p w14:paraId="19B674C0"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12.3 ± 3.1</w:t>
            </w:r>
          </w:p>
        </w:tc>
      </w:tr>
      <w:tr w:rsidR="006F7356" w:rsidRPr="00796959" w14:paraId="61CE8942"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116EC6D5"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Location of hospital, n (%)</w:t>
            </w:r>
          </w:p>
        </w:tc>
      </w:tr>
      <w:tr w:rsidR="006F7356" w:rsidRPr="00796959" w14:paraId="5DB2A43D"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4B748570"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Rural</w:t>
            </w:r>
          </w:p>
        </w:tc>
        <w:tc>
          <w:tcPr>
            <w:tcW w:w="800" w:type="pct"/>
            <w:vAlign w:val="center"/>
            <w:hideMark/>
          </w:tcPr>
          <w:p w14:paraId="502FF912"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17 (0.8)</w:t>
            </w:r>
          </w:p>
        </w:tc>
        <w:tc>
          <w:tcPr>
            <w:tcW w:w="786" w:type="pct"/>
            <w:vAlign w:val="center"/>
            <w:hideMark/>
          </w:tcPr>
          <w:p w14:paraId="5B730A25"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17 (0.8)</w:t>
            </w:r>
          </w:p>
        </w:tc>
        <w:tc>
          <w:tcPr>
            <w:tcW w:w="799" w:type="pct"/>
            <w:vAlign w:val="center"/>
            <w:hideMark/>
          </w:tcPr>
          <w:p w14:paraId="675908C7"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r>
      <w:tr w:rsidR="006F7356" w:rsidRPr="00796959" w14:paraId="5F76415D"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953B238"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Urban</w:t>
            </w:r>
          </w:p>
        </w:tc>
        <w:tc>
          <w:tcPr>
            <w:tcW w:w="800" w:type="pct"/>
            <w:vAlign w:val="center"/>
            <w:hideMark/>
          </w:tcPr>
          <w:p w14:paraId="0AE8E41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2181 (99.1)</w:t>
            </w:r>
          </w:p>
        </w:tc>
        <w:tc>
          <w:tcPr>
            <w:tcW w:w="786" w:type="pct"/>
            <w:vAlign w:val="center"/>
            <w:hideMark/>
          </w:tcPr>
          <w:p w14:paraId="23820BDC"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2017 (99.1)</w:t>
            </w:r>
          </w:p>
        </w:tc>
        <w:tc>
          <w:tcPr>
            <w:tcW w:w="799" w:type="pct"/>
            <w:vAlign w:val="center"/>
            <w:hideMark/>
          </w:tcPr>
          <w:p w14:paraId="4F0DCCCA"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164 (100.0)</w:t>
            </w:r>
          </w:p>
        </w:tc>
      </w:tr>
      <w:tr w:rsidR="006F7356" w:rsidRPr="00796959" w14:paraId="7BCE1319"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6B680C6"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Unknown</w:t>
            </w:r>
          </w:p>
        </w:tc>
        <w:tc>
          <w:tcPr>
            <w:tcW w:w="800" w:type="pct"/>
            <w:vAlign w:val="center"/>
            <w:hideMark/>
          </w:tcPr>
          <w:p w14:paraId="32770CA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(0.1)</w:t>
            </w:r>
          </w:p>
        </w:tc>
        <w:tc>
          <w:tcPr>
            <w:tcW w:w="786" w:type="pct"/>
            <w:vAlign w:val="center"/>
            <w:hideMark/>
          </w:tcPr>
          <w:p w14:paraId="1C2D9C58"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(0.1)</w:t>
            </w:r>
          </w:p>
        </w:tc>
        <w:tc>
          <w:tcPr>
            <w:tcW w:w="799" w:type="pct"/>
            <w:vAlign w:val="center"/>
            <w:hideMark/>
          </w:tcPr>
          <w:p w14:paraId="1CD3937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r>
      <w:tr w:rsidR="006F7356" w:rsidRPr="00796959" w14:paraId="736F03D9"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2BBFAD7B"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Size of hospital, n (%)</w:t>
            </w:r>
          </w:p>
        </w:tc>
      </w:tr>
      <w:tr w:rsidR="006F7356" w:rsidRPr="00796959" w14:paraId="2F598784"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04F39692"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Small</w:t>
            </w:r>
          </w:p>
        </w:tc>
        <w:tc>
          <w:tcPr>
            <w:tcW w:w="800" w:type="pct"/>
            <w:vAlign w:val="center"/>
            <w:hideMark/>
          </w:tcPr>
          <w:p w14:paraId="0FE40089"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38 (1.7)</w:t>
            </w:r>
          </w:p>
        </w:tc>
        <w:tc>
          <w:tcPr>
            <w:tcW w:w="786" w:type="pct"/>
            <w:vAlign w:val="center"/>
            <w:hideMark/>
          </w:tcPr>
          <w:p w14:paraId="38F542AA"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32 (1.6)</w:t>
            </w:r>
          </w:p>
        </w:tc>
        <w:tc>
          <w:tcPr>
            <w:tcW w:w="799" w:type="pct"/>
            <w:vAlign w:val="center"/>
            <w:hideMark/>
          </w:tcPr>
          <w:p w14:paraId="340B44C2"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6 (3.7)</w:t>
            </w:r>
          </w:p>
        </w:tc>
      </w:tr>
      <w:tr w:rsidR="006F7356" w:rsidRPr="00796959" w14:paraId="70E659F5"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18B09FE8"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Medium</w:t>
            </w:r>
          </w:p>
        </w:tc>
        <w:tc>
          <w:tcPr>
            <w:tcW w:w="800" w:type="pct"/>
            <w:vAlign w:val="center"/>
            <w:hideMark/>
          </w:tcPr>
          <w:p w14:paraId="4AF34FA9"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229 (10.4)</w:t>
            </w:r>
          </w:p>
        </w:tc>
        <w:tc>
          <w:tcPr>
            <w:tcW w:w="786" w:type="pct"/>
            <w:vAlign w:val="center"/>
            <w:hideMark/>
          </w:tcPr>
          <w:p w14:paraId="7343F210"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211 (10.4)</w:t>
            </w:r>
          </w:p>
        </w:tc>
        <w:tc>
          <w:tcPr>
            <w:tcW w:w="799" w:type="pct"/>
            <w:vAlign w:val="center"/>
            <w:hideMark/>
          </w:tcPr>
          <w:p w14:paraId="10AA50B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18 (11.0)</w:t>
            </w:r>
          </w:p>
        </w:tc>
      </w:tr>
      <w:tr w:rsidR="006F7356" w:rsidRPr="00796959" w14:paraId="49E53A2C"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0160D08"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Large</w:t>
            </w:r>
          </w:p>
        </w:tc>
        <w:tc>
          <w:tcPr>
            <w:tcW w:w="800" w:type="pct"/>
            <w:vAlign w:val="center"/>
            <w:hideMark/>
          </w:tcPr>
          <w:p w14:paraId="78FEBDA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1931 (87.8)</w:t>
            </w:r>
          </w:p>
        </w:tc>
        <w:tc>
          <w:tcPr>
            <w:tcW w:w="786" w:type="pct"/>
            <w:vAlign w:val="center"/>
            <w:hideMark/>
          </w:tcPr>
          <w:p w14:paraId="5FBE9006"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1791 (88.0)</w:t>
            </w:r>
          </w:p>
        </w:tc>
        <w:tc>
          <w:tcPr>
            <w:tcW w:w="799" w:type="pct"/>
            <w:vAlign w:val="center"/>
            <w:hideMark/>
          </w:tcPr>
          <w:p w14:paraId="2CA826C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140 (85.4)</w:t>
            </w:r>
          </w:p>
        </w:tc>
      </w:tr>
      <w:tr w:rsidR="006F7356" w:rsidRPr="00796959" w14:paraId="0C7DD7B1"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79F5908F"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Unknown</w:t>
            </w:r>
          </w:p>
        </w:tc>
        <w:tc>
          <w:tcPr>
            <w:tcW w:w="800" w:type="pct"/>
            <w:vAlign w:val="center"/>
            <w:hideMark/>
          </w:tcPr>
          <w:p w14:paraId="5CB7B156"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(0.1)</w:t>
            </w:r>
          </w:p>
        </w:tc>
        <w:tc>
          <w:tcPr>
            <w:tcW w:w="786" w:type="pct"/>
            <w:vAlign w:val="center"/>
            <w:hideMark/>
          </w:tcPr>
          <w:p w14:paraId="0E1B25F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(0.1)</w:t>
            </w:r>
          </w:p>
        </w:tc>
        <w:tc>
          <w:tcPr>
            <w:tcW w:w="799" w:type="pct"/>
            <w:vAlign w:val="center"/>
            <w:hideMark/>
          </w:tcPr>
          <w:p w14:paraId="428BE931"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r>
      <w:tr w:rsidR="006F7356" w:rsidRPr="00796959" w14:paraId="6C4EF21B"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5000" w:type="pct"/>
            <w:gridSpan w:val="4"/>
            <w:vAlign w:val="center"/>
            <w:hideMark/>
          </w:tcPr>
          <w:p w14:paraId="52C86170" w14:textId="77777777" w:rsidR="006F7356" w:rsidRPr="00796959" w:rsidRDefault="006F7356" w:rsidP="00796959">
            <w:pPr>
              <w:spacing w:line="360" w:lineRule="auto"/>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Teaching status of hospital, n (%)</w:t>
            </w:r>
          </w:p>
        </w:tc>
      </w:tr>
      <w:tr w:rsidR="006F7356" w:rsidRPr="00796959" w14:paraId="6CF37A2F"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2BAAEFA5"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Nonteaching</w:t>
            </w:r>
          </w:p>
        </w:tc>
        <w:tc>
          <w:tcPr>
            <w:tcW w:w="800" w:type="pct"/>
            <w:vAlign w:val="center"/>
            <w:hideMark/>
          </w:tcPr>
          <w:p w14:paraId="57B84DE7"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165 (7.5)</w:t>
            </w:r>
          </w:p>
        </w:tc>
        <w:tc>
          <w:tcPr>
            <w:tcW w:w="786" w:type="pct"/>
            <w:vAlign w:val="center"/>
            <w:hideMark/>
          </w:tcPr>
          <w:p w14:paraId="54918343"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160 (7.9)</w:t>
            </w:r>
          </w:p>
        </w:tc>
        <w:tc>
          <w:tcPr>
            <w:tcW w:w="799" w:type="pct"/>
            <w:vAlign w:val="center"/>
            <w:hideMark/>
          </w:tcPr>
          <w:p w14:paraId="6D659434"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5 (3.0)</w:t>
            </w:r>
          </w:p>
        </w:tc>
      </w:tr>
      <w:tr w:rsidR="006F7356" w:rsidRPr="00796959" w14:paraId="0E167388" w14:textId="77777777" w:rsidTr="004333EC">
        <w:trPr>
          <w:cnfStyle w:val="000000100000" w:firstRow="0" w:lastRow="0" w:firstColumn="0" w:lastColumn="0" w:oddVBand="0" w:evenVBand="0" w:oddHBand="1" w:evenHBand="0" w:firstRowFirstColumn="0" w:firstRowLastColumn="0" w:lastRowFirstColumn="0" w:lastRowLastColumn="0"/>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vAlign w:val="center"/>
            <w:hideMark/>
          </w:tcPr>
          <w:p w14:paraId="53A36179"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Teaching</w:t>
            </w:r>
          </w:p>
        </w:tc>
        <w:tc>
          <w:tcPr>
            <w:tcW w:w="800" w:type="pct"/>
            <w:vAlign w:val="center"/>
            <w:hideMark/>
          </w:tcPr>
          <w:p w14:paraId="3DDF374C"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2033 (92.4)</w:t>
            </w:r>
          </w:p>
        </w:tc>
        <w:tc>
          <w:tcPr>
            <w:tcW w:w="786" w:type="pct"/>
            <w:vAlign w:val="center"/>
            <w:hideMark/>
          </w:tcPr>
          <w:p w14:paraId="37593E5E"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1874 (92.0)</w:t>
            </w:r>
          </w:p>
        </w:tc>
        <w:tc>
          <w:tcPr>
            <w:tcW w:w="799" w:type="pct"/>
            <w:vAlign w:val="center"/>
            <w:hideMark/>
          </w:tcPr>
          <w:p w14:paraId="75BA7B3B" w14:textId="77777777" w:rsidR="006F7356" w:rsidRPr="00796959" w:rsidRDefault="006F7356" w:rsidP="00796959">
            <w:pPr>
              <w:spacing w:line="360" w:lineRule="auto"/>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159 (97.0)</w:t>
            </w:r>
          </w:p>
        </w:tc>
      </w:tr>
      <w:tr w:rsidR="006F7356" w:rsidRPr="00796959" w14:paraId="3B03A8C4" w14:textId="77777777" w:rsidTr="004333EC">
        <w:trPr>
          <w:trHeight w:hRule="exact" w:val="259"/>
          <w:jc w:val="center"/>
        </w:trPr>
        <w:tc>
          <w:tcPr>
            <w:cnfStyle w:val="001000000000" w:firstRow="0" w:lastRow="0" w:firstColumn="1" w:lastColumn="0" w:oddVBand="0" w:evenVBand="0" w:oddHBand="0" w:evenHBand="0" w:firstRowFirstColumn="0" w:firstRowLastColumn="0" w:lastRowFirstColumn="0" w:lastRowLastColumn="0"/>
            <w:tcW w:w="2615" w:type="pct"/>
            <w:tcBorders>
              <w:bottom w:val="single" w:sz="8" w:space="0" w:color="auto"/>
            </w:tcBorders>
            <w:vAlign w:val="center"/>
            <w:hideMark/>
          </w:tcPr>
          <w:p w14:paraId="0E5AEDDE" w14:textId="77777777" w:rsidR="006F7356" w:rsidRPr="00796959" w:rsidRDefault="006F7356" w:rsidP="00796959">
            <w:pPr>
              <w:spacing w:line="360" w:lineRule="auto"/>
              <w:ind w:firstLineChars="100" w:firstLine="240"/>
              <w:rPr>
                <w:rFonts w:ascii="Book Antiqua" w:eastAsia="Times New Roman" w:hAnsi="Book Antiqua" w:cs="Arial"/>
                <w:b w:val="0"/>
                <w:color w:val="000000"/>
                <w:sz w:val="24"/>
                <w:szCs w:val="24"/>
              </w:rPr>
            </w:pPr>
            <w:r w:rsidRPr="00796959">
              <w:rPr>
                <w:rFonts w:ascii="Book Antiqua" w:eastAsia="Times New Roman" w:hAnsi="Book Antiqua" w:cs="Arial"/>
                <w:b w:val="0"/>
                <w:color w:val="000000"/>
                <w:sz w:val="24"/>
                <w:szCs w:val="24"/>
              </w:rPr>
              <w:t>Unknown</w:t>
            </w:r>
          </w:p>
        </w:tc>
        <w:tc>
          <w:tcPr>
            <w:tcW w:w="800" w:type="pct"/>
            <w:tcBorders>
              <w:bottom w:val="single" w:sz="8" w:space="0" w:color="auto"/>
            </w:tcBorders>
            <w:vAlign w:val="center"/>
            <w:hideMark/>
          </w:tcPr>
          <w:p w14:paraId="51641FBC"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(0.1)</w:t>
            </w:r>
          </w:p>
        </w:tc>
        <w:tc>
          <w:tcPr>
            <w:tcW w:w="786" w:type="pct"/>
            <w:tcBorders>
              <w:bottom w:val="single" w:sz="8" w:space="0" w:color="auto"/>
            </w:tcBorders>
            <w:vAlign w:val="center"/>
            <w:hideMark/>
          </w:tcPr>
          <w:p w14:paraId="09225115"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2 (0.1)</w:t>
            </w:r>
          </w:p>
        </w:tc>
        <w:tc>
          <w:tcPr>
            <w:tcW w:w="799" w:type="pct"/>
            <w:tcBorders>
              <w:bottom w:val="single" w:sz="8" w:space="0" w:color="auto"/>
            </w:tcBorders>
            <w:vAlign w:val="center"/>
            <w:hideMark/>
          </w:tcPr>
          <w:p w14:paraId="048D47AF" w14:textId="77777777" w:rsidR="006F7356" w:rsidRPr="00796959" w:rsidRDefault="006F7356" w:rsidP="00796959">
            <w:pPr>
              <w:spacing w:line="360" w:lineRule="auto"/>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Arial"/>
                <w:color w:val="000000"/>
                <w:sz w:val="24"/>
                <w:szCs w:val="24"/>
              </w:rPr>
            </w:pPr>
            <w:r w:rsidRPr="00796959">
              <w:rPr>
                <w:rFonts w:ascii="Book Antiqua" w:eastAsia="Times New Roman" w:hAnsi="Book Antiqua" w:cs="Arial"/>
                <w:color w:val="000000"/>
                <w:sz w:val="24"/>
                <w:szCs w:val="24"/>
              </w:rPr>
              <w:t>0 (0.0)</w:t>
            </w:r>
          </w:p>
        </w:tc>
      </w:tr>
    </w:tbl>
    <w:p w14:paraId="166E36C8" w14:textId="77777777" w:rsidR="006F7356" w:rsidRPr="00796959" w:rsidRDefault="006F7356" w:rsidP="00796959">
      <w:pPr>
        <w:ind w:left="180"/>
        <w:rPr>
          <w:rFonts w:ascii="Book Antiqua" w:hAnsi="Book Antiqua"/>
          <w:sz w:val="24"/>
          <w:szCs w:val="24"/>
        </w:rPr>
      </w:pPr>
      <w:r w:rsidRPr="00796959">
        <w:rPr>
          <w:rFonts w:ascii="Book Antiqua" w:eastAsiaTheme="minorHAnsi" w:hAnsi="Book Antiqua"/>
          <w:sz w:val="24"/>
          <w:szCs w:val="24"/>
          <w:lang w:eastAsia="en-US"/>
        </w:rPr>
        <w:t>SD, Standard Deviation; BMI, Body Mass Index; LVAD, Left Ventricular Assist Device; OHT, Orthotopic Heart Transplant</w:t>
      </w:r>
    </w:p>
    <w:p w14:paraId="1D384663" w14:textId="77777777" w:rsidR="006F7356" w:rsidRPr="00796959" w:rsidRDefault="006F7356" w:rsidP="00796959">
      <w:pPr>
        <w:rPr>
          <w:rFonts w:ascii="Book Antiqua" w:hAnsi="Book Antiqua"/>
          <w:sz w:val="24"/>
          <w:szCs w:val="24"/>
        </w:rPr>
      </w:pPr>
    </w:p>
    <w:p w14:paraId="455AB668" w14:textId="77777777" w:rsidR="007C47B8" w:rsidRPr="00796959" w:rsidRDefault="007C47B8" w:rsidP="00796959">
      <w:pPr>
        <w:spacing w:after="160"/>
        <w:rPr>
          <w:rFonts w:ascii="Book Antiqua" w:hAnsi="Book Antiqua" w:cs="Times New Roman"/>
          <w:sz w:val="24"/>
          <w:szCs w:val="24"/>
        </w:rPr>
      </w:pPr>
    </w:p>
    <w:sectPr w:rsidR="007C47B8" w:rsidRPr="00796959" w:rsidSect="004333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37699"/>
    <w:multiLevelType w:val="hybridMultilevel"/>
    <w:tmpl w:val="B99E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61AA0"/>
    <w:multiLevelType w:val="hybridMultilevel"/>
    <w:tmpl w:val="22A8E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14838"/>
    <w:multiLevelType w:val="hybridMultilevel"/>
    <w:tmpl w:val="B8228B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4F"/>
    <w:rsid w:val="000058AA"/>
    <w:rsid w:val="00015AAD"/>
    <w:rsid w:val="00031399"/>
    <w:rsid w:val="00036D0E"/>
    <w:rsid w:val="00037CE4"/>
    <w:rsid w:val="000548AD"/>
    <w:rsid w:val="00063233"/>
    <w:rsid w:val="00074E0D"/>
    <w:rsid w:val="00080D48"/>
    <w:rsid w:val="00082748"/>
    <w:rsid w:val="00083E82"/>
    <w:rsid w:val="0008666D"/>
    <w:rsid w:val="00094F4B"/>
    <w:rsid w:val="000A7615"/>
    <w:rsid w:val="000B46AA"/>
    <w:rsid w:val="000C08F4"/>
    <w:rsid w:val="000E1DA3"/>
    <w:rsid w:val="000E4EC3"/>
    <w:rsid w:val="0010368C"/>
    <w:rsid w:val="00126DFC"/>
    <w:rsid w:val="00136AF1"/>
    <w:rsid w:val="0013785B"/>
    <w:rsid w:val="00150E55"/>
    <w:rsid w:val="001879CE"/>
    <w:rsid w:val="001964A2"/>
    <w:rsid w:val="001B580B"/>
    <w:rsid w:val="001C74E6"/>
    <w:rsid w:val="001D1D0A"/>
    <w:rsid w:val="001D2EB0"/>
    <w:rsid w:val="001F31C5"/>
    <w:rsid w:val="00200FDE"/>
    <w:rsid w:val="00202BEF"/>
    <w:rsid w:val="00203255"/>
    <w:rsid w:val="0023243F"/>
    <w:rsid w:val="00241249"/>
    <w:rsid w:val="00241B8E"/>
    <w:rsid w:val="0025051B"/>
    <w:rsid w:val="00251CBC"/>
    <w:rsid w:val="00261958"/>
    <w:rsid w:val="0028154B"/>
    <w:rsid w:val="002840AC"/>
    <w:rsid w:val="0029381B"/>
    <w:rsid w:val="002A3C2B"/>
    <w:rsid w:val="002B2BF0"/>
    <w:rsid w:val="002C36ED"/>
    <w:rsid w:val="002C56BD"/>
    <w:rsid w:val="002C7213"/>
    <w:rsid w:val="002C72E4"/>
    <w:rsid w:val="002E2736"/>
    <w:rsid w:val="002E363E"/>
    <w:rsid w:val="00306657"/>
    <w:rsid w:val="003146A9"/>
    <w:rsid w:val="003351F3"/>
    <w:rsid w:val="003820D7"/>
    <w:rsid w:val="00384168"/>
    <w:rsid w:val="003A14F3"/>
    <w:rsid w:val="003B15BF"/>
    <w:rsid w:val="003B551C"/>
    <w:rsid w:val="003E0043"/>
    <w:rsid w:val="003E29AB"/>
    <w:rsid w:val="003E6A83"/>
    <w:rsid w:val="00401F27"/>
    <w:rsid w:val="004025CA"/>
    <w:rsid w:val="00404679"/>
    <w:rsid w:val="00413B33"/>
    <w:rsid w:val="00420447"/>
    <w:rsid w:val="004333EC"/>
    <w:rsid w:val="004521BB"/>
    <w:rsid w:val="00465ACD"/>
    <w:rsid w:val="0047100F"/>
    <w:rsid w:val="0047164F"/>
    <w:rsid w:val="00471DDD"/>
    <w:rsid w:val="00472161"/>
    <w:rsid w:val="00475CC8"/>
    <w:rsid w:val="00481A78"/>
    <w:rsid w:val="00484AB0"/>
    <w:rsid w:val="004927ED"/>
    <w:rsid w:val="004B07B5"/>
    <w:rsid w:val="004B0FDA"/>
    <w:rsid w:val="004C1D3A"/>
    <w:rsid w:val="004C286F"/>
    <w:rsid w:val="004D2A4F"/>
    <w:rsid w:val="004D32F9"/>
    <w:rsid w:val="004D6581"/>
    <w:rsid w:val="004E3532"/>
    <w:rsid w:val="004F73E9"/>
    <w:rsid w:val="005024C0"/>
    <w:rsid w:val="0050385E"/>
    <w:rsid w:val="005169C3"/>
    <w:rsid w:val="00523553"/>
    <w:rsid w:val="00526BE8"/>
    <w:rsid w:val="0054380D"/>
    <w:rsid w:val="00562A21"/>
    <w:rsid w:val="00574311"/>
    <w:rsid w:val="005925E3"/>
    <w:rsid w:val="005A3D6E"/>
    <w:rsid w:val="005D120A"/>
    <w:rsid w:val="005E2738"/>
    <w:rsid w:val="00601038"/>
    <w:rsid w:val="00623D68"/>
    <w:rsid w:val="00626827"/>
    <w:rsid w:val="00626FF6"/>
    <w:rsid w:val="00670432"/>
    <w:rsid w:val="00670A5D"/>
    <w:rsid w:val="00691BEA"/>
    <w:rsid w:val="006A0E2B"/>
    <w:rsid w:val="006A28ED"/>
    <w:rsid w:val="006A7A31"/>
    <w:rsid w:val="006B11AE"/>
    <w:rsid w:val="006B55A3"/>
    <w:rsid w:val="006C7F64"/>
    <w:rsid w:val="006E641A"/>
    <w:rsid w:val="006F13F2"/>
    <w:rsid w:val="006F3CAD"/>
    <w:rsid w:val="006F7356"/>
    <w:rsid w:val="007107BD"/>
    <w:rsid w:val="00722609"/>
    <w:rsid w:val="00735973"/>
    <w:rsid w:val="007505C4"/>
    <w:rsid w:val="007572BA"/>
    <w:rsid w:val="007573DD"/>
    <w:rsid w:val="0077093C"/>
    <w:rsid w:val="00770A45"/>
    <w:rsid w:val="00784A7E"/>
    <w:rsid w:val="00784C5A"/>
    <w:rsid w:val="007866C2"/>
    <w:rsid w:val="00790211"/>
    <w:rsid w:val="0079032D"/>
    <w:rsid w:val="00796959"/>
    <w:rsid w:val="007C47B8"/>
    <w:rsid w:val="008035B7"/>
    <w:rsid w:val="00804E88"/>
    <w:rsid w:val="008166A8"/>
    <w:rsid w:val="008222C1"/>
    <w:rsid w:val="00825184"/>
    <w:rsid w:val="0084132A"/>
    <w:rsid w:val="00842E7E"/>
    <w:rsid w:val="0084384A"/>
    <w:rsid w:val="00864FA3"/>
    <w:rsid w:val="00870497"/>
    <w:rsid w:val="00875256"/>
    <w:rsid w:val="00880C18"/>
    <w:rsid w:val="008C3377"/>
    <w:rsid w:val="008C570A"/>
    <w:rsid w:val="008D1929"/>
    <w:rsid w:val="008D2332"/>
    <w:rsid w:val="008D5E4A"/>
    <w:rsid w:val="008D7EFD"/>
    <w:rsid w:val="008E12D8"/>
    <w:rsid w:val="00901344"/>
    <w:rsid w:val="009070EE"/>
    <w:rsid w:val="009222BE"/>
    <w:rsid w:val="009244FC"/>
    <w:rsid w:val="00941B68"/>
    <w:rsid w:val="00962F9B"/>
    <w:rsid w:val="0097065E"/>
    <w:rsid w:val="009775E8"/>
    <w:rsid w:val="00983D66"/>
    <w:rsid w:val="00985DF7"/>
    <w:rsid w:val="009E0B22"/>
    <w:rsid w:val="009E71B2"/>
    <w:rsid w:val="009F101A"/>
    <w:rsid w:val="00A03027"/>
    <w:rsid w:val="00A21265"/>
    <w:rsid w:val="00A229B2"/>
    <w:rsid w:val="00A3794B"/>
    <w:rsid w:val="00A40576"/>
    <w:rsid w:val="00A43E09"/>
    <w:rsid w:val="00A453B9"/>
    <w:rsid w:val="00A53B55"/>
    <w:rsid w:val="00A65EE7"/>
    <w:rsid w:val="00A710A6"/>
    <w:rsid w:val="00A77F78"/>
    <w:rsid w:val="00A95856"/>
    <w:rsid w:val="00AA038C"/>
    <w:rsid w:val="00AB00CD"/>
    <w:rsid w:val="00AB2B8E"/>
    <w:rsid w:val="00AD253A"/>
    <w:rsid w:val="00AF5CEF"/>
    <w:rsid w:val="00AF5FE9"/>
    <w:rsid w:val="00AF6C43"/>
    <w:rsid w:val="00B17706"/>
    <w:rsid w:val="00B31AAA"/>
    <w:rsid w:val="00B43BFC"/>
    <w:rsid w:val="00B51BCB"/>
    <w:rsid w:val="00B67D89"/>
    <w:rsid w:val="00B83C6E"/>
    <w:rsid w:val="00B85F21"/>
    <w:rsid w:val="00B90CD0"/>
    <w:rsid w:val="00BA515C"/>
    <w:rsid w:val="00BC4067"/>
    <w:rsid w:val="00BD2314"/>
    <w:rsid w:val="00BE384F"/>
    <w:rsid w:val="00BE4AE1"/>
    <w:rsid w:val="00C10538"/>
    <w:rsid w:val="00C23DD4"/>
    <w:rsid w:val="00C2537F"/>
    <w:rsid w:val="00C27524"/>
    <w:rsid w:val="00C45788"/>
    <w:rsid w:val="00C554AD"/>
    <w:rsid w:val="00C55590"/>
    <w:rsid w:val="00C657D5"/>
    <w:rsid w:val="00C71C57"/>
    <w:rsid w:val="00C74E8B"/>
    <w:rsid w:val="00C807E1"/>
    <w:rsid w:val="00C8476D"/>
    <w:rsid w:val="00C87537"/>
    <w:rsid w:val="00C97F7E"/>
    <w:rsid w:val="00CC6FB6"/>
    <w:rsid w:val="00CD73BB"/>
    <w:rsid w:val="00CE15F8"/>
    <w:rsid w:val="00D0470B"/>
    <w:rsid w:val="00D12DF0"/>
    <w:rsid w:val="00D227A3"/>
    <w:rsid w:val="00D25651"/>
    <w:rsid w:val="00D30507"/>
    <w:rsid w:val="00D312B8"/>
    <w:rsid w:val="00D525EC"/>
    <w:rsid w:val="00D632D9"/>
    <w:rsid w:val="00D646D3"/>
    <w:rsid w:val="00DA677F"/>
    <w:rsid w:val="00DB18A1"/>
    <w:rsid w:val="00DB4FB7"/>
    <w:rsid w:val="00DC26C3"/>
    <w:rsid w:val="00DD1763"/>
    <w:rsid w:val="00DD2666"/>
    <w:rsid w:val="00DD315E"/>
    <w:rsid w:val="00DD6555"/>
    <w:rsid w:val="00DE0037"/>
    <w:rsid w:val="00DE1472"/>
    <w:rsid w:val="00DE15F5"/>
    <w:rsid w:val="00DE7180"/>
    <w:rsid w:val="00DE7B3F"/>
    <w:rsid w:val="00E06CA7"/>
    <w:rsid w:val="00E14865"/>
    <w:rsid w:val="00E155BB"/>
    <w:rsid w:val="00E361EF"/>
    <w:rsid w:val="00E37C6C"/>
    <w:rsid w:val="00E6277E"/>
    <w:rsid w:val="00E637F5"/>
    <w:rsid w:val="00E65733"/>
    <w:rsid w:val="00E728BA"/>
    <w:rsid w:val="00E74594"/>
    <w:rsid w:val="00E767B3"/>
    <w:rsid w:val="00E80430"/>
    <w:rsid w:val="00E804DB"/>
    <w:rsid w:val="00EB56CB"/>
    <w:rsid w:val="00EC2D7A"/>
    <w:rsid w:val="00ED43E8"/>
    <w:rsid w:val="00EE4BAC"/>
    <w:rsid w:val="00EF260C"/>
    <w:rsid w:val="00EF5783"/>
    <w:rsid w:val="00EF798B"/>
    <w:rsid w:val="00F311CE"/>
    <w:rsid w:val="00F33799"/>
    <w:rsid w:val="00F41B18"/>
    <w:rsid w:val="00F55D28"/>
    <w:rsid w:val="00F73963"/>
    <w:rsid w:val="00F804EB"/>
    <w:rsid w:val="00F809B3"/>
    <w:rsid w:val="00F86176"/>
    <w:rsid w:val="00F87E1C"/>
    <w:rsid w:val="00F94EB2"/>
    <w:rsid w:val="00F9579F"/>
    <w:rsid w:val="00FA093D"/>
    <w:rsid w:val="00FA4003"/>
    <w:rsid w:val="00FA4C26"/>
    <w:rsid w:val="00FB069F"/>
    <w:rsid w:val="00FB22B2"/>
    <w:rsid w:val="00FC05D2"/>
    <w:rsid w:val="00FC658E"/>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D8B8"/>
  <w15:docId w15:val="{68679E40-3654-4B10-88C5-47924786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EC3"/>
  </w:style>
  <w:style w:type="paragraph" w:styleId="Heading1">
    <w:name w:val="heading 1"/>
    <w:basedOn w:val="Normal"/>
    <w:next w:val="Normal"/>
    <w:link w:val="Heading1Char"/>
    <w:uiPriority w:val="9"/>
    <w:qFormat/>
    <w:rsid w:val="002C36ED"/>
    <w:pPr>
      <w:keepNext/>
      <w:keepLines/>
      <w:spacing w:before="24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sz w:val="20"/>
      <w:szCs w:val="20"/>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 w:type="character" w:styleId="Emphasis">
    <w:name w:val="Emphasis"/>
    <w:basedOn w:val="DefaultParagraphFont"/>
    <w:uiPriority w:val="20"/>
    <w:qFormat/>
    <w:rsid w:val="008166A8"/>
    <w:rPr>
      <w:i/>
      <w:iCs/>
    </w:rPr>
  </w:style>
  <w:style w:type="paragraph" w:styleId="Revision">
    <w:name w:val="Revision"/>
    <w:hidden/>
    <w:uiPriority w:val="99"/>
    <w:semiHidden/>
    <w:rsid w:val="00C807E1"/>
    <w:pPr>
      <w:spacing w:line="240" w:lineRule="auto"/>
    </w:pPr>
  </w:style>
  <w:style w:type="numbering" w:customStyle="1" w:styleId="NoList1">
    <w:name w:val="No List1"/>
    <w:next w:val="NoList"/>
    <w:uiPriority w:val="99"/>
    <w:semiHidden/>
    <w:unhideWhenUsed/>
    <w:rsid w:val="00D525EC"/>
  </w:style>
  <w:style w:type="paragraph" w:styleId="Header">
    <w:name w:val="header"/>
    <w:basedOn w:val="Normal"/>
    <w:link w:val="HeaderChar"/>
    <w:uiPriority w:val="99"/>
    <w:unhideWhenUsed/>
    <w:rsid w:val="00D525EC"/>
    <w:pPr>
      <w:tabs>
        <w:tab w:val="center" w:pos="4680"/>
        <w:tab w:val="right" w:pos="9360"/>
      </w:tabs>
      <w:spacing w:line="240" w:lineRule="auto"/>
    </w:pPr>
  </w:style>
  <w:style w:type="character" w:customStyle="1" w:styleId="HeaderChar">
    <w:name w:val="Header Char"/>
    <w:basedOn w:val="DefaultParagraphFont"/>
    <w:link w:val="Header"/>
    <w:uiPriority w:val="99"/>
    <w:rsid w:val="00D525EC"/>
  </w:style>
  <w:style w:type="paragraph" w:styleId="Footer">
    <w:name w:val="footer"/>
    <w:basedOn w:val="Normal"/>
    <w:link w:val="FooterChar"/>
    <w:uiPriority w:val="99"/>
    <w:unhideWhenUsed/>
    <w:rsid w:val="00D525EC"/>
    <w:pPr>
      <w:tabs>
        <w:tab w:val="center" w:pos="4680"/>
        <w:tab w:val="right" w:pos="9360"/>
      </w:tabs>
      <w:spacing w:line="240" w:lineRule="auto"/>
    </w:pPr>
  </w:style>
  <w:style w:type="character" w:customStyle="1" w:styleId="FooterChar">
    <w:name w:val="Footer Char"/>
    <w:basedOn w:val="DefaultParagraphFont"/>
    <w:link w:val="Footer"/>
    <w:uiPriority w:val="99"/>
    <w:rsid w:val="00D525EC"/>
  </w:style>
  <w:style w:type="table" w:customStyle="1" w:styleId="Style1">
    <w:name w:val="Style1"/>
    <w:basedOn w:val="TableNormal"/>
    <w:uiPriority w:val="99"/>
    <w:rsid w:val="00D525EC"/>
    <w:pPr>
      <w:spacing w:line="240" w:lineRule="auto"/>
    </w:pPr>
    <w:rPr>
      <w:rFonts w:ascii="Arial" w:hAnsi="Arial"/>
      <w:sz w:val="18"/>
    </w:rPr>
    <w:tblPr/>
  </w:style>
  <w:style w:type="table" w:styleId="PlainTable4">
    <w:name w:val="Plain Table 4"/>
    <w:basedOn w:val="TableNormal"/>
    <w:uiPriority w:val="44"/>
    <w:rsid w:val="00D525E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D525E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5EC"/>
    <w:rPr>
      <w:rFonts w:asciiTheme="majorHAnsi" w:eastAsiaTheme="majorEastAsia" w:hAnsiTheme="majorHAnsi" w:cstheme="majorBidi"/>
      <w:spacing w:val="-10"/>
      <w:kern w:val="28"/>
      <w:sz w:val="56"/>
      <w:szCs w:val="56"/>
    </w:rPr>
  </w:style>
  <w:style w:type="table" w:customStyle="1" w:styleId="PlainTable41">
    <w:name w:val="Plain Table 41"/>
    <w:basedOn w:val="TableNormal"/>
    <w:next w:val="PlainTable4"/>
    <w:uiPriority w:val="44"/>
    <w:rsid w:val="006F735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 w:id="182570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Backu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Pt>
            <c:idx val="0"/>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1-1FFA-45B5-BF0D-5BA5B1C1812B}"/>
              </c:ext>
            </c:extLst>
          </c:dPt>
          <c:dPt>
            <c:idx val="1"/>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3-1FFA-45B5-BF0D-5BA5B1C1812B}"/>
              </c:ext>
            </c:extLst>
          </c:dPt>
          <c:dPt>
            <c:idx val="2"/>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5-1FFA-45B5-BF0D-5BA5B1C1812B}"/>
              </c:ext>
            </c:extLst>
          </c:dPt>
          <c:dPt>
            <c:idx val="3"/>
            <c:invertIfNegative val="0"/>
            <c:bubble3D val="0"/>
            <c:spPr>
              <a:solidFill>
                <a:schemeClr val="tx1"/>
              </a:solidFill>
              <a:ln>
                <a:noFill/>
              </a:ln>
              <a:effectLst/>
            </c:spPr>
            <c:extLst xmlns:c16r2="http://schemas.microsoft.com/office/drawing/2015/06/chart">
              <c:ext xmlns:c16="http://schemas.microsoft.com/office/drawing/2014/chart" uri="{C3380CC4-5D6E-409C-BE32-E72D297353CC}">
                <c16:uniqueId val="{00000007-1FFA-45B5-BF0D-5BA5B1C1812B}"/>
              </c:ext>
            </c:extLst>
          </c:dPt>
          <c:dPt>
            <c:idx val="4"/>
            <c:invertIfNegative val="0"/>
            <c:bubble3D val="0"/>
            <c:spPr>
              <a:solidFill>
                <a:srgbClr val="FF0000"/>
              </a:solidFill>
              <a:ln>
                <a:noFill/>
              </a:ln>
              <a:effectLst/>
            </c:spPr>
            <c:extLst xmlns:c16r2="http://schemas.microsoft.com/office/drawing/2015/06/chart">
              <c:ext xmlns:c16="http://schemas.microsoft.com/office/drawing/2014/chart" uri="{C3380CC4-5D6E-409C-BE32-E72D297353CC}">
                <c16:uniqueId val="{00000009-1FFA-45B5-BF0D-5BA5B1C1812B}"/>
              </c:ext>
            </c:extLst>
          </c:dPt>
          <c:cat>
            <c:strRef>
              <c:f>Sheet3!$R$173:$V$173</c:f>
              <c:strCache>
                <c:ptCount val="5"/>
                <c:pt idx="0">
                  <c:v>0-7</c:v>
                </c:pt>
                <c:pt idx="1">
                  <c:v>8-31</c:v>
                </c:pt>
                <c:pt idx="2">
                  <c:v>32-65</c:v>
                </c:pt>
                <c:pt idx="3">
                  <c:v>≥66</c:v>
                </c:pt>
                <c:pt idx="4">
                  <c:v>OHT-</c:v>
                </c:pt>
              </c:strCache>
            </c:strRef>
          </c:cat>
          <c:val>
            <c:numRef>
              <c:f>Sheet3!$R$174:$V$174</c:f>
              <c:numCache>
                <c:formatCode>General</c:formatCode>
                <c:ptCount val="5"/>
                <c:pt idx="0">
                  <c:v>26.829268292682933</c:v>
                </c:pt>
                <c:pt idx="1">
                  <c:v>13.157894736842104</c:v>
                </c:pt>
                <c:pt idx="2">
                  <c:v>11.904761904761903</c:v>
                </c:pt>
                <c:pt idx="3">
                  <c:v>11.627906976744185</c:v>
                </c:pt>
                <c:pt idx="4">
                  <c:v>27.701375245579602</c:v>
                </c:pt>
              </c:numCache>
            </c:numRef>
          </c:val>
          <c:extLst xmlns:c16r2="http://schemas.microsoft.com/office/drawing/2015/06/chart">
            <c:ext xmlns:c16="http://schemas.microsoft.com/office/drawing/2014/chart" uri="{C3380CC4-5D6E-409C-BE32-E72D297353CC}">
              <c16:uniqueId val="{0000000A-1FFA-45B5-BF0D-5BA5B1C1812B}"/>
            </c:ext>
          </c:extLst>
        </c:ser>
        <c:dLbls>
          <c:showLegendKey val="0"/>
          <c:showVal val="0"/>
          <c:showCatName val="0"/>
          <c:showSerName val="0"/>
          <c:showPercent val="0"/>
          <c:showBubbleSize val="0"/>
        </c:dLbls>
        <c:gapWidth val="150"/>
        <c:axId val="322104592"/>
        <c:axId val="322104984"/>
      </c:barChart>
      <c:catAx>
        <c:axId val="322104592"/>
        <c:scaling>
          <c:orientation val="minMax"/>
        </c:scaling>
        <c:delete val="0"/>
        <c:axPos val="b"/>
        <c:title>
          <c:tx>
            <c:rich>
              <a:bodyPr rot="0" vert="horz"/>
              <a:lstStyle/>
              <a:p>
                <a:pPr>
                  <a:defRPr/>
                </a:pPr>
                <a:r>
                  <a:rPr lang="en-US"/>
                  <a:t>Days after LVAD implantation</a:t>
                </a:r>
              </a:p>
            </c:rich>
          </c:tx>
          <c:layout>
            <c:manualLayout>
              <c:xMode val="edge"/>
              <c:yMode val="edge"/>
              <c:x val="0.28873447174019312"/>
              <c:y val="0.8977213211426194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22104984"/>
        <c:crosses val="autoZero"/>
        <c:auto val="1"/>
        <c:lblAlgn val="ctr"/>
        <c:lblOffset val="100"/>
        <c:noMultiLvlLbl val="0"/>
      </c:catAx>
      <c:valAx>
        <c:axId val="322104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Percent</a:t>
                </a:r>
              </a:p>
            </c:rich>
          </c:tx>
          <c:overlay val="0"/>
          <c:spPr>
            <a:noFill/>
            <a:ln>
              <a:noFill/>
            </a:ln>
            <a:effectLst/>
          </c:spPr>
        </c:title>
        <c:numFmt formatCode="General" sourceLinked="0"/>
        <c:majorTickMark val="none"/>
        <c:minorTickMark val="none"/>
        <c:tickLblPos val="nextTo"/>
        <c:spPr>
          <a:noFill/>
          <a:ln>
            <a:noFill/>
          </a:ln>
          <a:effectLst/>
        </c:spPr>
        <c:txPr>
          <a:bodyPr rot="-60000000" vert="horz"/>
          <a:lstStyle/>
          <a:p>
            <a:pPr>
              <a:defRPr/>
            </a:pPr>
            <a:endParaRPr lang="en-US"/>
          </a:p>
        </c:txPr>
        <c:crossAx val="3221045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897" y="2474837"/>
          <a:ext cx="2857498" cy="0"/>
        </a:xfrm>
        <a:prstGeom xmlns:a="http://schemas.openxmlformats.org/drawingml/2006/main" prst="line">
          <a:avLst/>
        </a:prstGeom>
        <a:ln xmlns:a="http://schemas.openxmlformats.org/drawingml/2006/main" w="1270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2862C-B3CF-430A-B99F-0B934898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25</Pages>
  <Words>5303</Words>
  <Characters>30229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35462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Ouyang</dc:creator>
  <cp:lastModifiedBy>David Ouyang</cp:lastModifiedBy>
  <cp:revision>6</cp:revision>
  <dcterms:created xsi:type="dcterms:W3CDTF">2016-10-13T17:51:00Z</dcterms:created>
  <dcterms:modified xsi:type="dcterms:W3CDTF">2016-10-13T18:11:00Z</dcterms:modified>
</cp:coreProperties>
</file>