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F" w:rsidRPr="00DD4C68" w:rsidRDefault="008653DF" w:rsidP="008653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4C68">
        <w:rPr>
          <w:rFonts w:ascii="Times New Roman" w:hAnsi="Times New Roman" w:cs="Times New Roman"/>
          <w:b/>
          <w:sz w:val="24"/>
          <w:szCs w:val="24"/>
        </w:rPr>
        <w:t>Incidence and Outcomes of Acute Circulatory Support Prior to Heart Transplantation</w:t>
      </w:r>
    </w:p>
    <w:p w:rsidR="0039336C" w:rsidRPr="00DD4C68" w:rsidRDefault="0039336C" w:rsidP="003933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68">
        <w:rPr>
          <w:rFonts w:ascii="Times New Roman" w:hAnsi="Times New Roman" w:cs="Times New Roman"/>
          <w:b/>
          <w:sz w:val="24"/>
          <w:szCs w:val="24"/>
        </w:rPr>
        <w:t>Background</w:t>
      </w:r>
      <w:r w:rsidRPr="00DD4C68">
        <w:rPr>
          <w:rFonts w:ascii="Times New Roman" w:hAnsi="Times New Roman" w:cs="Times New Roman"/>
          <w:sz w:val="24"/>
          <w:szCs w:val="24"/>
        </w:rPr>
        <w:t xml:space="preserve">: Proposed changes to the UNOS heart allocation protocol could prioritize patients with acute circulatory support, including extracorporeal membrane oxygenation (ECMO), percutaneous ventricular assist devices (PVAD), and intra-aortic balloon pumps (IABP). We sought to evaluate contemporary trends in the incidence and outcomes of patients who required acute circulatory support during the hospitalization prior to heart transplantation. </w:t>
      </w:r>
      <w:r w:rsidRPr="00DD4C68">
        <w:rPr>
          <w:rFonts w:ascii="Times New Roman" w:hAnsi="Times New Roman" w:cs="Times New Roman"/>
          <w:sz w:val="24"/>
          <w:szCs w:val="24"/>
        </w:rPr>
        <w:tab/>
      </w:r>
    </w:p>
    <w:p w:rsidR="0039336C" w:rsidRPr="00DD4C68" w:rsidRDefault="0039336C" w:rsidP="003933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68">
        <w:rPr>
          <w:rFonts w:ascii="Times New Roman" w:hAnsi="Times New Roman" w:cs="Times New Roman"/>
          <w:b/>
          <w:sz w:val="24"/>
          <w:szCs w:val="24"/>
        </w:rPr>
        <w:t>Methods</w:t>
      </w:r>
      <w:r w:rsidRPr="00DD4C68">
        <w:rPr>
          <w:rFonts w:ascii="Times New Roman" w:hAnsi="Times New Roman" w:cs="Times New Roman"/>
          <w:sz w:val="24"/>
          <w:szCs w:val="24"/>
        </w:rPr>
        <w:t xml:space="preserve">: From the Nationwide Inpatient Sample (NIS) from 1998 to 2011, we identified 5,381 patients who underwent </w:t>
      </w:r>
      <w:proofErr w:type="spellStart"/>
      <w:r w:rsidRPr="00DD4C68">
        <w:rPr>
          <w:rFonts w:ascii="Times New Roman" w:hAnsi="Times New Roman" w:cs="Times New Roman"/>
          <w:sz w:val="24"/>
          <w:szCs w:val="24"/>
        </w:rPr>
        <w:t>orthotopic</w:t>
      </w:r>
      <w:proofErr w:type="spellEnd"/>
      <w:r w:rsidRPr="00DD4C68">
        <w:rPr>
          <w:rFonts w:ascii="Times New Roman" w:hAnsi="Times New Roman" w:cs="Times New Roman"/>
          <w:sz w:val="24"/>
          <w:szCs w:val="24"/>
        </w:rPr>
        <w:t xml:space="preserve"> heart transplant (OHT) and determined whether the patient underwent pre-transplant ECMO, PVAD, or IABP. We calculated baseline characteristics and compared patients who underwent acute circulatory support with patients who did not require acute circulatory support prior to heart transplantation.</w:t>
      </w:r>
    </w:p>
    <w:p w:rsidR="0039336C" w:rsidRPr="00DD4C68" w:rsidRDefault="0039336C" w:rsidP="003933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68">
        <w:rPr>
          <w:rFonts w:ascii="Times New Roman" w:hAnsi="Times New Roman" w:cs="Times New Roman"/>
          <w:b/>
          <w:sz w:val="24"/>
          <w:szCs w:val="24"/>
        </w:rPr>
        <w:t>Results</w:t>
      </w:r>
      <w:r w:rsidRPr="00DD4C68">
        <w:rPr>
          <w:rFonts w:ascii="Times New Roman" w:hAnsi="Times New Roman" w:cs="Times New Roman"/>
          <w:sz w:val="24"/>
          <w:szCs w:val="24"/>
        </w:rPr>
        <w:t>: Of patients who underwent heart transplantation, 337 (6.3%) patients required acute circulatory support prior to transplant. During the study time period, the use of acute circulatory support has increased (p = 0.003 for trend) from 17 cases per year from 2008-2010 to 33 cases per year from 2009 - 2011. In this population, 253 (75.1</w:t>
      </w:r>
      <w:r>
        <w:rPr>
          <w:rFonts w:ascii="Times New Roman" w:hAnsi="Times New Roman" w:cs="Times New Roman"/>
          <w:sz w:val="24"/>
          <w:szCs w:val="24"/>
        </w:rPr>
        <w:t>%) patients were</w:t>
      </w:r>
      <w:r w:rsidRPr="00DD4C68">
        <w:rPr>
          <w:rFonts w:ascii="Times New Roman" w:hAnsi="Times New Roman" w:cs="Times New Roman"/>
          <w:sz w:val="24"/>
          <w:szCs w:val="24"/>
        </w:rPr>
        <w:t xml:space="preserve"> supported by IABP, 102 (30.3%) were supported by ECMO, and 4 (1.2%) were supported by PVAD. Patients who required circulatory support had increased length of stay (69.2 vs. 40.9 days, p &lt; 0.001) and increased in-hospital mortality (10.1% vs. 6.3%, p = 0.009). </w:t>
      </w:r>
      <w:r>
        <w:rPr>
          <w:rFonts w:ascii="Times New Roman" w:hAnsi="Times New Roman" w:cs="Times New Roman"/>
          <w:sz w:val="24"/>
          <w:szCs w:val="24"/>
        </w:rPr>
        <w:t xml:space="preserve">Patients who had acute circulatory support had 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comorbid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diabetes, hypertension, or pre-existing renal dysfunction, however during the hospitalization had increased acute renal failure, liver failure, respiratory failure, cardiac complications, bleeding complications, and surgical complications requiring reoperation. </w:t>
      </w:r>
    </w:p>
    <w:p w:rsidR="0039336C" w:rsidRPr="00DD4C68" w:rsidRDefault="0039336C" w:rsidP="003933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68">
        <w:rPr>
          <w:rFonts w:ascii="Times New Roman" w:hAnsi="Times New Roman" w:cs="Times New Roman"/>
          <w:b/>
          <w:sz w:val="24"/>
          <w:szCs w:val="24"/>
        </w:rPr>
        <w:t>Conclusions</w:t>
      </w:r>
      <w:r w:rsidRPr="00DD4C68">
        <w:rPr>
          <w:rFonts w:ascii="Times New Roman" w:hAnsi="Times New Roman" w:cs="Times New Roman"/>
          <w:sz w:val="24"/>
          <w:szCs w:val="24"/>
        </w:rPr>
        <w:t xml:space="preserve">: In this cohort, we found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DD4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increasing</w:t>
      </w:r>
      <w:r w:rsidRPr="00DD4C68">
        <w:rPr>
          <w:rFonts w:ascii="Times New Roman" w:hAnsi="Times New Roman" w:cs="Times New Roman"/>
          <w:sz w:val="24"/>
          <w:szCs w:val="24"/>
        </w:rPr>
        <w:t xml:space="preserve"> proportion of patients receiv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DD4C68">
        <w:rPr>
          <w:rFonts w:ascii="Times New Roman" w:hAnsi="Times New Roman" w:cs="Times New Roman"/>
          <w:sz w:val="24"/>
          <w:szCs w:val="24"/>
        </w:rPr>
        <w:t xml:space="preserve"> acute circulatory support prior to heart transplantation. These patients exhibited significantly increased inpatient mortality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4C68">
        <w:rPr>
          <w:rFonts w:ascii="Times New Roman" w:hAnsi="Times New Roman" w:cs="Times New Roman"/>
          <w:sz w:val="24"/>
          <w:szCs w:val="24"/>
        </w:rPr>
        <w:t>longer lengths of stays</w:t>
      </w:r>
      <w:r>
        <w:rPr>
          <w:rFonts w:ascii="Times New Roman" w:hAnsi="Times New Roman" w:cs="Times New Roman"/>
          <w:sz w:val="24"/>
          <w:szCs w:val="24"/>
        </w:rPr>
        <w:t>, and increased frequency of complications</w:t>
      </w:r>
      <w:r w:rsidRPr="00DD4C68">
        <w:rPr>
          <w:rFonts w:ascii="Times New Roman" w:hAnsi="Times New Roman" w:cs="Times New Roman"/>
          <w:sz w:val="24"/>
          <w:szCs w:val="24"/>
        </w:rPr>
        <w:t xml:space="preserve"> compared to those without acute circulatory support. </w:t>
      </w:r>
      <w:r>
        <w:rPr>
          <w:rFonts w:ascii="Times New Roman" w:hAnsi="Times New Roman" w:cs="Times New Roman"/>
          <w:sz w:val="24"/>
          <w:szCs w:val="24"/>
        </w:rPr>
        <w:t>Changes</w:t>
      </w:r>
      <w:r w:rsidRPr="00DD4C68">
        <w:rPr>
          <w:rFonts w:ascii="Times New Roman" w:hAnsi="Times New Roman" w:cs="Times New Roman"/>
          <w:sz w:val="24"/>
          <w:szCs w:val="24"/>
        </w:rPr>
        <w:t xml:space="preserve"> to the UNOS heart allocation protocol should take both this increased mortality</w:t>
      </w:r>
      <w:r>
        <w:rPr>
          <w:rFonts w:ascii="Times New Roman" w:hAnsi="Times New Roman" w:cs="Times New Roman"/>
          <w:sz w:val="24"/>
          <w:szCs w:val="24"/>
        </w:rPr>
        <w:t xml:space="preserve"> and mortality</w:t>
      </w:r>
      <w:r w:rsidRPr="00DD4C68">
        <w:rPr>
          <w:rFonts w:ascii="Times New Roman" w:hAnsi="Times New Roman" w:cs="Times New Roman"/>
          <w:sz w:val="24"/>
          <w:szCs w:val="24"/>
        </w:rPr>
        <w:t xml:space="preserve"> and the trend of increased support use over time into consideration. </w:t>
      </w:r>
    </w:p>
    <w:p w:rsidR="008653DF" w:rsidRDefault="0039336C" w:rsidP="003933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68">
        <w:rPr>
          <w:rFonts w:ascii="Times New Roman" w:hAnsi="Times New Roman" w:cs="Times New Roman"/>
          <w:b/>
          <w:sz w:val="24"/>
          <w:szCs w:val="24"/>
        </w:rPr>
        <w:t xml:space="preserve">Key Words - </w:t>
      </w:r>
      <w:r w:rsidRPr="00DD4C68">
        <w:rPr>
          <w:rFonts w:ascii="Times New Roman" w:hAnsi="Times New Roman" w:cs="Times New Roman"/>
          <w:sz w:val="24"/>
          <w:szCs w:val="24"/>
        </w:rPr>
        <w:t>Mechanical Circulatory Support, Orthotopic Heart Transplant, UNOS allocation,</w:t>
      </w:r>
    </w:p>
    <w:p w:rsidR="008653DF" w:rsidRDefault="008653DF" w:rsidP="003933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301"/>
        <w:tblW w:w="10188" w:type="dxa"/>
        <w:tblLook w:val="04A0"/>
      </w:tblPr>
      <w:tblGrid>
        <w:gridCol w:w="2265"/>
        <w:gridCol w:w="2610"/>
        <w:gridCol w:w="2160"/>
        <w:gridCol w:w="2160"/>
        <w:gridCol w:w="630"/>
        <w:gridCol w:w="363"/>
      </w:tblGrid>
      <w:tr w:rsidR="008653DF" w:rsidRPr="002C7572" w:rsidTr="00BF5F4A">
        <w:trPr>
          <w:trHeight w:hRule="exact" w:val="543"/>
        </w:trPr>
        <w:tc>
          <w:tcPr>
            <w:tcW w:w="2265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6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Acute Circulatory Support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val="213"/>
        </w:trPr>
        <w:tc>
          <w:tcPr>
            <w:tcW w:w="2265" w:type="dxa"/>
            <w:vMerge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337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5022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5381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Age, mean ± SD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47.2 ± 17.5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46.5 ± 18.7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48.1 ± 16.8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8653DF" w:rsidRPr="002C7572" w:rsidTr="00BF5F4A">
        <w:trPr>
          <w:trHeight w:val="315"/>
        </w:trPr>
        <w:tc>
          <w:tcPr>
            <w:tcW w:w="9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Sex, n (%)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257 (76.3)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3660 (72.6)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3917 (72.8)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</w:tr>
      <w:tr w:rsidR="008653DF" w:rsidRPr="002C7572" w:rsidTr="00BF5F4A">
        <w:trPr>
          <w:trHeight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 (23.7)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1383 (27.4)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1463 (27.2)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hRule="exact" w:val="315"/>
        </w:trPr>
        <w:tc>
          <w:tcPr>
            <w:tcW w:w="9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Race, n (%)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 (61.6)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2851 (69.9)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3050 (56.7)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 (14.6)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633 (15.5)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 (12.6)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Hispanic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 (10.5)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386 (9.5)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420 (7.8)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Asian/Pacific Islander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(3.7)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 (3.0)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 (2.5)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Native American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(0.0)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 (0.4)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  (0.3)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 or unknown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 (13.4)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1037 (20.6)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1082 (18.2)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val="315"/>
        </w:trPr>
        <w:tc>
          <w:tcPr>
            <w:tcW w:w="9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Median household income, n (%)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$1-24,999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 (14.8)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797 (15.9)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 (15.8)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$25,000-34,999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 (23.4)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1177 (23.4)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1261 (23.4)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$35,000-44,999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 (23.4)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1335 (26.6)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1419 (26.4)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$45,000 or more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 (30.6)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1601 (31.9)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1711 (31.8)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Unknown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(1.7)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 (2.7)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 (2.6)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val="315"/>
        </w:trPr>
        <w:tc>
          <w:tcPr>
            <w:tcW w:w="9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Comorbidities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Diabetes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(14.8)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999 (19.9)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1049 (19.5)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</w:tr>
      <w:tr w:rsidR="008653DF" w:rsidRPr="002C7572" w:rsidTr="00BF5F4A">
        <w:trPr>
          <w:trHeight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Ischemic Heart Disease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 (46.3)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2248 (44.8)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2404 (44.8)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Hypertension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 (21.1)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1447 (28.8)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1518 (28.2)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Preexisting Renal Dysfunction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 (22.2)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1641 (32.7)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1716 (31.9)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8653DF" w:rsidRPr="002C7572" w:rsidTr="00BF5F4A">
        <w:trPr>
          <w:trHeight w:hRule="exact"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Peripheral Vascular Disease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(1.5)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 (1.7)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 (1.6)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</w:tr>
      <w:tr w:rsidR="008653DF" w:rsidRPr="002C7572" w:rsidTr="00BF5F4A">
        <w:trPr>
          <w:trHeight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History of smoking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(4.2)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 (5.9)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 (5.8)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8653DF" w:rsidRPr="002C7572" w:rsidTr="00BF5F4A">
        <w:trPr>
          <w:trHeight w:hRule="exact" w:val="37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BMI ≥ 30 kg/m</w:t>
            </w: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(2.1)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 (2.6)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 (2.5)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653DF" w:rsidRPr="002C7572" w:rsidTr="00BF5F4A">
        <w:trPr>
          <w:trHeight w:val="315"/>
        </w:trPr>
        <w:tc>
          <w:tcPr>
            <w:tcW w:w="9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 of Hospital, n (%)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Urban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337 (100.0)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4971 (99.8)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5308 (99.8)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</w:tr>
      <w:tr w:rsidR="008653DF" w:rsidRPr="002C7572" w:rsidTr="00BF5F4A">
        <w:trPr>
          <w:trHeight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Rural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(0.0)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(0.2)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(0.2)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val="315"/>
        </w:trPr>
        <w:tc>
          <w:tcPr>
            <w:tcW w:w="9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Bedsize</w:t>
            </w:r>
            <w:proofErr w:type="spellEnd"/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Hospital, n (%)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Small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(1.7)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 (2.4)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 (2.4)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8653DF" w:rsidRPr="002C7572" w:rsidTr="00BF5F4A">
        <w:trPr>
          <w:trHeight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 (17.5)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737 (14.9)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796 (15.0)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Large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 (80.7)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4122 (83.2)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4394 (82.6)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hRule="exact" w:val="315"/>
        </w:trPr>
        <w:tc>
          <w:tcPr>
            <w:tcW w:w="9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Teaching  Hospital, n (%)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53DF" w:rsidRPr="002C7572" w:rsidTr="00BF5F4A">
        <w:trPr>
          <w:trHeight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Teaching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 (95.8)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4547 (91.7)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4870 (91.6)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</w:tr>
      <w:tr w:rsidR="008653DF" w:rsidRPr="002C7572" w:rsidTr="00BF5F4A">
        <w:trPr>
          <w:trHeight w:val="3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 - Teaching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(4.2)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 (8.7)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446 (8.4)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3DF" w:rsidRPr="002C7572" w:rsidRDefault="008653DF" w:rsidP="00BF5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Baseline characteristics of patients who underwent cardiac transplant from 1998 to 2011, divided by use of acute mechanical support prior to transplantation</w:t>
      </w:r>
    </w:p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Mortality, length of stay, complications in patients who underwent cardiac transplant from 1998 to 2011, divided by use of acute mechanical support prior to transplantation</w:t>
      </w:r>
    </w:p>
    <w:tbl>
      <w:tblPr>
        <w:tblW w:w="10220" w:type="dxa"/>
        <w:tblInd w:w="-420" w:type="dxa"/>
        <w:tblLook w:val="04A0"/>
      </w:tblPr>
      <w:tblGrid>
        <w:gridCol w:w="3768"/>
        <w:gridCol w:w="2732"/>
        <w:gridCol w:w="2140"/>
        <w:gridCol w:w="1580"/>
      </w:tblGrid>
      <w:tr w:rsidR="008653DF" w:rsidRPr="000B3DAB" w:rsidTr="00BF5F4A">
        <w:trPr>
          <w:trHeight w:hRule="exact" w:val="330"/>
        </w:trPr>
        <w:tc>
          <w:tcPr>
            <w:tcW w:w="3768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D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3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Acute Circulatory Support</w:t>
            </w:r>
          </w:p>
        </w:tc>
        <w:tc>
          <w:tcPr>
            <w:tcW w:w="21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653DF" w:rsidRPr="000B3DAB" w:rsidTr="00BF5F4A">
        <w:trPr>
          <w:trHeight w:val="330"/>
        </w:trPr>
        <w:tc>
          <w:tcPr>
            <w:tcW w:w="3768" w:type="dxa"/>
            <w:vMerge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653DF" w:rsidRPr="000B3DAB" w:rsidRDefault="008653DF" w:rsidP="00BF5F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337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5022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p-value</w:t>
            </w:r>
          </w:p>
        </w:tc>
      </w:tr>
      <w:tr w:rsidR="008653DF" w:rsidRPr="000B3DAB" w:rsidTr="00BF5F4A">
        <w:trPr>
          <w:trHeight w:val="315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 of stay, mean ± SD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69.2 ± 50.6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40.9 ± 49.2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8653DF" w:rsidRPr="000B3DAB" w:rsidTr="00BF5F4A">
        <w:trPr>
          <w:trHeight w:hRule="exact" w:val="315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Mortality, n (%)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 (10.1)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316 (6.3)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</w:tr>
      <w:tr w:rsidR="008653DF" w:rsidRPr="000B3DAB" w:rsidTr="00BF5F4A">
        <w:trPr>
          <w:trHeight w:hRule="exact" w:val="315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Transplant Circulatory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upport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(0.6)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 (1.3)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</w:tr>
      <w:tr w:rsidR="008653DF" w:rsidRPr="000B3DAB" w:rsidTr="00BF5F4A">
        <w:trPr>
          <w:trHeight w:val="315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Acute Renal Failure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 (49.9)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1616 (32.2)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8653DF" w:rsidRPr="000B3DAB" w:rsidTr="00BF5F4A">
        <w:trPr>
          <w:trHeight w:val="315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Acute Liver Failure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(9.2)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 (2.5)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8653DF" w:rsidRPr="000B3DAB" w:rsidTr="00BF5F4A">
        <w:trPr>
          <w:trHeight w:val="315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Acute Respiratory Failure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 (28.8)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474 (9.4)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8653DF" w:rsidRPr="000B3DAB" w:rsidTr="00BF5F4A">
        <w:trPr>
          <w:trHeight w:val="315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Cardiac Complications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 (16.6)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620 (12.3)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</w:t>
            </w:r>
          </w:p>
        </w:tc>
      </w:tr>
      <w:tr w:rsidR="008653DF" w:rsidRPr="000B3DAB" w:rsidTr="00BF5F4A">
        <w:trPr>
          <w:trHeight w:val="315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Sepsis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 (9.8)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 (9.2)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8653DF" w:rsidRPr="000B3DAB" w:rsidTr="00BF5F4A">
        <w:trPr>
          <w:trHeight w:val="315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Stroke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(3.0)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 (2.0)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</w:t>
            </w:r>
          </w:p>
        </w:tc>
      </w:tr>
      <w:tr w:rsidR="008653DF" w:rsidRPr="000B3DAB" w:rsidTr="00BF5F4A">
        <w:trPr>
          <w:trHeight w:val="630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Surgical Complication Requiring Reoperation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 (26.7)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690 (13.7)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8653DF" w:rsidRPr="000B3DAB" w:rsidTr="00BF5F4A">
        <w:trPr>
          <w:trHeight w:val="315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Bleeding Complication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 (34.7)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935 (18.6)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8653DF" w:rsidRPr="000B3DAB" w:rsidRDefault="008653DF" w:rsidP="00BF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3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0.001</w:t>
            </w:r>
          </w:p>
        </w:tc>
      </w:tr>
    </w:tbl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3DF" w:rsidRPr="00DD4C68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3DF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 A: ICD-9 codes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comorbid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conditions</w:t>
      </w:r>
    </w:p>
    <w:tbl>
      <w:tblPr>
        <w:tblW w:w="6750" w:type="dxa"/>
        <w:tblLook w:val="04A0"/>
      </w:tblPr>
      <w:tblGrid>
        <w:gridCol w:w="3240"/>
        <w:gridCol w:w="3510"/>
      </w:tblGrid>
      <w:tr w:rsidR="008653DF" w:rsidRPr="00CC7296" w:rsidTr="00BF5F4A">
        <w:trPr>
          <w:trHeight w:val="60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Comorbidty</w:t>
            </w:r>
            <w:proofErr w:type="spellEnd"/>
          </w:p>
        </w:tc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ICD-9 codes</w:t>
            </w:r>
          </w:p>
        </w:tc>
      </w:tr>
      <w:tr w:rsidR="008653DF" w:rsidRPr="00CC7296" w:rsidTr="00BF5F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296">
              <w:rPr>
                <w:rFonts w:ascii="Times New Roman" w:eastAsia="Times New Roman" w:hAnsi="Times New Roman" w:cs="Times New Roman"/>
                <w:color w:val="000000"/>
              </w:rPr>
              <w:t>Diabetes Mellitus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723817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817">
              <w:rPr>
                <w:rFonts w:ascii="Times New Roman" w:eastAsia="Times New Roman" w:hAnsi="Times New Roman" w:cs="Times New Roman"/>
                <w:color w:val="000000"/>
              </w:rPr>
              <w:t>250.00-250.93, 249.00-249.91</w:t>
            </w:r>
          </w:p>
        </w:tc>
      </w:tr>
      <w:tr w:rsidR="008653DF" w:rsidRPr="00CC7296" w:rsidTr="00BF5F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296">
              <w:rPr>
                <w:rFonts w:ascii="Times New Roman" w:eastAsia="Times New Roman" w:hAnsi="Times New Roman" w:cs="Times New Roman"/>
                <w:color w:val="000000"/>
              </w:rPr>
              <w:t>Ischemic Heart Disease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410.0-410.9, 411.0-411.8, 412, 413.0-413.9, 414.0-414.9, V45.8, V45.82 </w:t>
            </w:r>
          </w:p>
        </w:tc>
      </w:tr>
      <w:tr w:rsidR="008653DF" w:rsidRPr="00CC7296" w:rsidTr="00BF5F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296">
              <w:rPr>
                <w:rFonts w:ascii="Times New Roman" w:eastAsia="Times New Roman" w:hAnsi="Times New Roman" w:cs="Times New Roman"/>
                <w:color w:val="000000"/>
              </w:rPr>
              <w:t>Hypertension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723817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817">
              <w:rPr>
                <w:rFonts w:ascii="Times New Roman" w:eastAsia="Times New Roman" w:hAnsi="Times New Roman" w:cs="Times New Roman"/>
                <w:color w:val="000000"/>
              </w:rPr>
              <w:t>401.0-401.9, 402.0, 402.00-402.91, 403.0, 403.00-403.91, 404.0 404.00-404.93, 405.0, 405.01-405.91, 437.2</w:t>
            </w:r>
          </w:p>
        </w:tc>
      </w:tr>
      <w:tr w:rsidR="008653DF" w:rsidRPr="00CC7296" w:rsidTr="00BF5F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Pre-existing</w:t>
            </w:r>
            <w:r w:rsidRPr="00CC7296">
              <w:rPr>
                <w:rFonts w:ascii="Times New Roman" w:eastAsia="Times New Roman" w:hAnsi="Times New Roman" w:cs="Times New Roman"/>
                <w:color w:val="000000"/>
              </w:rPr>
              <w:t xml:space="preserve"> renal dysfunction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723817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817">
              <w:rPr>
                <w:rFonts w:ascii="Times New Roman" w:eastAsia="Times New Roman" w:hAnsi="Times New Roman" w:cs="Times New Roman"/>
                <w:color w:val="000000"/>
              </w:rPr>
              <w:t>585.3, 585.4, 585.5, 585.6, 585.9, V42.0, V45.1, V45.11, V45.12, V56.0, V56.1, V56.2, V56.3, V56.31, V56.32, V56.8</w:t>
            </w:r>
          </w:p>
        </w:tc>
      </w:tr>
      <w:tr w:rsidR="008653DF" w:rsidRPr="00CC7296" w:rsidTr="00BF5F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296">
              <w:rPr>
                <w:rFonts w:ascii="Times New Roman" w:eastAsia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440.0-440.9, </w:t>
            </w:r>
            <w:r w:rsidRPr="00393EC0">
              <w:rPr>
                <w:rFonts w:ascii="Times New Roman" w:eastAsia="Times New Roman" w:hAnsi="Times New Roman" w:cs="Times New Roman"/>
                <w:color w:val="000000"/>
              </w:rPr>
              <w:t>443.1, 443.8,443.81, 443.82, 443.89, 443.9, 447.1, V43.4</w:t>
            </w:r>
          </w:p>
        </w:tc>
      </w:tr>
      <w:tr w:rsidR="008653DF" w:rsidRPr="00CC7296" w:rsidTr="00BF5F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History of smoking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305.1, V15.82</w:t>
            </w:r>
          </w:p>
        </w:tc>
      </w:tr>
      <w:tr w:rsidR="008653DF" w:rsidRPr="00CC7296" w:rsidTr="00BF5F4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B8417E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BMI &gt; 30 kg/m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278.0, 278.01, 278.02</w:t>
            </w:r>
          </w:p>
        </w:tc>
      </w:tr>
    </w:tbl>
    <w:p w:rsidR="008653DF" w:rsidRPr="00DD4C68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3DF" w:rsidRPr="00DD4C68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 B: ICD-9 codes of complications</w:t>
      </w:r>
    </w:p>
    <w:tbl>
      <w:tblPr>
        <w:tblW w:w="9576" w:type="dxa"/>
        <w:tblLayout w:type="fixed"/>
        <w:tblLook w:val="04A0"/>
      </w:tblPr>
      <w:tblGrid>
        <w:gridCol w:w="2898"/>
        <w:gridCol w:w="6678"/>
      </w:tblGrid>
      <w:tr w:rsidR="008653DF" w:rsidRPr="00CC7296" w:rsidTr="00BF5F4A">
        <w:trPr>
          <w:trHeight w:val="6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Complication</w:t>
            </w:r>
          </w:p>
        </w:tc>
        <w:tc>
          <w:tcPr>
            <w:tcW w:w="6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ICD-9 codes</w:t>
            </w:r>
          </w:p>
        </w:tc>
      </w:tr>
      <w:tr w:rsidR="008653DF" w:rsidRPr="00CC7296" w:rsidTr="00BF5F4A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BA7AB3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 Transplant Circulatory Support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6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723817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37.61, 37.68, 39.61</w:t>
            </w:r>
          </w:p>
        </w:tc>
      </w:tr>
      <w:tr w:rsidR="008653DF" w:rsidRPr="00CC7296" w:rsidTr="00BF5F4A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Acute Renal Failure</w:t>
            </w:r>
          </w:p>
        </w:tc>
        <w:tc>
          <w:tcPr>
            <w:tcW w:w="6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584.5, 584.6, 584.7, 584.8, 584.9</w:t>
            </w:r>
          </w:p>
        </w:tc>
      </w:tr>
      <w:tr w:rsidR="008653DF" w:rsidRPr="00CC7296" w:rsidTr="00BF5F4A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Acute Liver Failure</w:t>
            </w:r>
          </w:p>
        </w:tc>
        <w:tc>
          <w:tcPr>
            <w:tcW w:w="6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723817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570</w:t>
            </w:r>
          </w:p>
        </w:tc>
      </w:tr>
      <w:tr w:rsidR="008653DF" w:rsidRPr="00CC7296" w:rsidTr="00BF5F4A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Acute Respiratory Failure</w:t>
            </w:r>
          </w:p>
        </w:tc>
        <w:tc>
          <w:tcPr>
            <w:tcW w:w="6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723817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518.81</w:t>
            </w:r>
          </w:p>
        </w:tc>
      </w:tr>
      <w:tr w:rsidR="008653DF" w:rsidRPr="00CC7296" w:rsidTr="00BF5F4A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Cardiac Complications</w:t>
            </w:r>
          </w:p>
        </w:tc>
        <w:tc>
          <w:tcPr>
            <w:tcW w:w="6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997.1, 429.4, 432.0, 432.3, 426.0</w:t>
            </w:r>
          </w:p>
        </w:tc>
      </w:tr>
      <w:tr w:rsidR="008653DF" w:rsidRPr="00CC7296" w:rsidTr="00BF5F4A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Sepsis</w:t>
            </w:r>
          </w:p>
        </w:tc>
        <w:tc>
          <w:tcPr>
            <w:tcW w:w="6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995.91, 995.92</w:t>
            </w:r>
          </w:p>
        </w:tc>
      </w:tr>
      <w:tr w:rsidR="008653DF" w:rsidRPr="00CC7296" w:rsidTr="00BF5F4A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Stroke</w:t>
            </w:r>
          </w:p>
        </w:tc>
        <w:tc>
          <w:tcPr>
            <w:tcW w:w="6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289C">
              <w:rPr>
                <w:rFonts w:ascii="Times New Roman" w:hAnsi="Times New Roman" w:cs="Times New Roman"/>
              </w:rPr>
              <w:t>433.0-433.9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3289C">
              <w:rPr>
                <w:rFonts w:ascii="Times New Roman" w:hAnsi="Times New Roman" w:cs="Times New Roman"/>
              </w:rPr>
              <w:t>434.0-434.9</w:t>
            </w:r>
          </w:p>
        </w:tc>
      </w:tr>
      <w:tr w:rsidR="008653DF" w:rsidRPr="00CC7296" w:rsidTr="00BF5F4A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Surgical Complication Requiring Reoperation</w:t>
            </w:r>
          </w:p>
        </w:tc>
        <w:tc>
          <w:tcPr>
            <w:tcW w:w="6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340.3, 341, 347.9, 380.3</w:t>
            </w:r>
          </w:p>
        </w:tc>
      </w:tr>
      <w:tr w:rsidR="008653DF" w:rsidRPr="00CC7296" w:rsidTr="00BF5F4A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Pr="00B8417E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Bleeding Complication 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53DF" w:rsidRPr="00CC7296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0719C">
              <w:rPr>
                <w:rFonts w:ascii="Times New Roman" w:eastAsia="Times New Roman" w:hAnsi="Times New Roman" w:cs="Times New Roman"/>
                <w:color w:val="000000"/>
              </w:rPr>
              <w:t>530.21 ,456.0 ,530.7 ,530.82 ,578.0 ,578.1 ,578.9 ,456.20 ,531.00 ,531.01 ,531.20 ,531.21 ,531.40 ,531.41 ,531.60 ,531.61 ,532.00 ,532.01 ,532.20 ,532.21 ,532.40 ,532.41 ,532.60 ,532.61 ,533.00 ,533.01 ,533.20 ,533.21 ,533.40 ,533.41 ,533.60 ,533.61 ,534.00 ,534.01 ,534.20 ,534.21 ,534.40 ,534.41 ,534.60 ,534.61 ,535.01 ,535.11 ,535.21 ,535.31 ,535.41 ,535.51 ,535.61 ,535.71 ,537.83 ,562.02 ,562.03 ,562.12 ,562.13 ,569.3 ,569.85 ,537.84 ,569.86</w:t>
            </w:r>
          </w:p>
        </w:tc>
      </w:tr>
      <w:tr w:rsidR="008653DF" w:rsidRPr="00CC7296" w:rsidTr="00BF5F4A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53DF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3DF" w:rsidRDefault="008653DF" w:rsidP="00BF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653DF" w:rsidRPr="00BA7AB3" w:rsidRDefault="008653DF" w:rsidP="008653DF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Day of procedure past day of transplant</w:t>
      </w:r>
    </w:p>
    <w:p w:rsidR="0039336C" w:rsidRPr="00DD4C68" w:rsidRDefault="0039336C" w:rsidP="003933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4C6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4025CA" w:rsidRDefault="004025CA"/>
    <w:sectPr w:rsidR="004025CA" w:rsidSect="0040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9336C"/>
    <w:rsid w:val="0039336C"/>
    <w:rsid w:val="004025CA"/>
    <w:rsid w:val="008653DF"/>
    <w:rsid w:val="00DF2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2</cp:revision>
  <dcterms:created xsi:type="dcterms:W3CDTF">2017-01-07T22:41:00Z</dcterms:created>
  <dcterms:modified xsi:type="dcterms:W3CDTF">2017-01-07T22:43:00Z</dcterms:modified>
</cp:coreProperties>
</file>