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EF" w:rsidRPr="000A52E1" w:rsidRDefault="00483DEF" w:rsidP="00483DEF">
      <w:pPr>
        <w:pStyle w:val="NormalWeb"/>
        <w:spacing w:before="0" w:beforeAutospacing="0" w:after="200" w:afterAutospacing="0"/>
      </w:pPr>
      <w:r w:rsidRPr="000A52E1">
        <w:rPr>
          <w:b/>
          <w:bCs/>
          <w:color w:val="000000"/>
        </w:rPr>
        <w:t xml:space="preserve">Medication Communication Practices </w:t>
      </w:r>
      <w:r w:rsidR="00BF2182">
        <w:rPr>
          <w:b/>
          <w:bCs/>
          <w:color w:val="000000"/>
        </w:rPr>
        <w:t xml:space="preserve">between Providers </w:t>
      </w:r>
      <w:r w:rsidR="00D107DF">
        <w:rPr>
          <w:b/>
          <w:bCs/>
          <w:color w:val="000000"/>
        </w:rPr>
        <w:t>in Cardiology</w:t>
      </w:r>
    </w:p>
    <w:p w:rsidR="00483DEF" w:rsidRPr="000A52E1" w:rsidRDefault="00DD6BBD" w:rsidP="00483DEF">
      <w:pPr>
        <w:pStyle w:val="NormalWeb"/>
        <w:spacing w:before="0" w:beforeAutospacing="0" w:after="160" w:afterAutospacing="0"/>
      </w:pPr>
      <w:r w:rsidRPr="000A52E1">
        <w:rPr>
          <w:color w:val="000000"/>
        </w:rPr>
        <w:t>David Ouyang MD</w:t>
      </w:r>
      <w:r w:rsidRPr="000A52E1">
        <w:rPr>
          <w:color w:val="000000"/>
          <w:vertAlign w:val="superscript"/>
        </w:rPr>
        <w:t>1</w:t>
      </w:r>
      <w:r w:rsidRPr="000A52E1">
        <w:rPr>
          <w:color w:val="000000"/>
        </w:rPr>
        <w:t xml:space="preserve">, </w:t>
      </w:r>
      <w:r w:rsidR="0073533F" w:rsidRPr="000A52E1">
        <w:rPr>
          <w:color w:val="000000"/>
        </w:rPr>
        <w:t>Rebecca Tisdale MD</w:t>
      </w:r>
      <w:r w:rsidR="0073533F" w:rsidRPr="000A52E1">
        <w:rPr>
          <w:color w:val="000000"/>
          <w:vertAlign w:val="superscript"/>
        </w:rPr>
        <w:t>2</w:t>
      </w:r>
      <w:r w:rsidR="0073533F" w:rsidRPr="000A52E1">
        <w:rPr>
          <w:color w:val="000000"/>
        </w:rPr>
        <w:t xml:space="preserve">, </w:t>
      </w:r>
      <w:r>
        <w:rPr>
          <w:color w:val="000000"/>
        </w:rPr>
        <w:t>Paul Cheng MD PhD</w:t>
      </w:r>
      <w:r>
        <w:rPr>
          <w:color w:val="000000"/>
          <w:vertAlign w:val="superscript"/>
        </w:rPr>
        <w:t>1</w:t>
      </w:r>
      <w:r>
        <w:rPr>
          <w:color w:val="000000"/>
        </w:rPr>
        <w:t xml:space="preserve">, </w:t>
      </w:r>
      <w:r w:rsidR="00D107DF" w:rsidRPr="000A52E1">
        <w:rPr>
          <w:color w:val="000000"/>
        </w:rPr>
        <w:t>Jeffrey Chi MD</w:t>
      </w:r>
      <w:r w:rsidR="00D107DF" w:rsidRPr="000A52E1">
        <w:rPr>
          <w:color w:val="000000"/>
          <w:vertAlign w:val="superscript"/>
        </w:rPr>
        <w:t>2</w:t>
      </w:r>
      <w:r w:rsidR="00D107DF">
        <w:rPr>
          <w:color w:val="000000"/>
        </w:rPr>
        <w:t xml:space="preserve">, </w:t>
      </w:r>
      <w:r w:rsidR="00D107DF" w:rsidRPr="000A52E1">
        <w:rPr>
          <w:color w:val="000000"/>
        </w:rPr>
        <w:t>Jonathan H. Chen MD PhD</w:t>
      </w:r>
      <w:r w:rsidR="00D107DF" w:rsidRPr="000A52E1">
        <w:rPr>
          <w:color w:val="000000"/>
          <w:vertAlign w:val="superscript"/>
        </w:rPr>
        <w:t>2</w:t>
      </w:r>
      <w:r w:rsidR="00D107DF">
        <w:rPr>
          <w:color w:val="000000"/>
        </w:rPr>
        <w:t>,</w:t>
      </w:r>
      <w:r w:rsidR="00B6186F">
        <w:rPr>
          <w:color w:val="000000"/>
        </w:rPr>
        <w:t xml:space="preserve"> </w:t>
      </w:r>
      <w:r w:rsidR="00483DEF" w:rsidRPr="000A52E1">
        <w:rPr>
          <w:color w:val="000000"/>
        </w:rPr>
        <w:t>Euan Ashley MBBS PhD</w:t>
      </w:r>
      <w:r w:rsidR="00483DEF" w:rsidRPr="000A52E1">
        <w:rPr>
          <w:color w:val="000000"/>
          <w:vertAlign w:val="superscript"/>
        </w:rPr>
        <w:t>1</w:t>
      </w:r>
      <w:r w:rsidR="00483DEF" w:rsidRPr="000A52E1">
        <w:rPr>
          <w:color w:val="000000"/>
        </w:rPr>
        <w:t xml:space="preserve">, </w:t>
      </w:r>
    </w:p>
    <w:p w:rsidR="00483DEF" w:rsidRPr="000A52E1" w:rsidRDefault="00483DEF" w:rsidP="00483DEF">
      <w:pPr>
        <w:pStyle w:val="NormalWeb"/>
        <w:spacing w:before="0" w:beforeAutospacing="0" w:after="160" w:afterAutospacing="0"/>
      </w:pPr>
      <w:r w:rsidRPr="000A52E1">
        <w:rPr>
          <w:color w:val="000000"/>
          <w:vertAlign w:val="superscript"/>
        </w:rPr>
        <w:t>1</w:t>
      </w:r>
      <w:r w:rsidRPr="000A52E1">
        <w:rPr>
          <w:color w:val="000000"/>
        </w:rPr>
        <w:t>Department of Internal Medicine, Division of Cardiovascular Medicine, Stanford University School of Medicine, Stanford, CA USA</w:t>
      </w:r>
    </w:p>
    <w:p w:rsidR="00483DEF" w:rsidRPr="000A52E1" w:rsidRDefault="00483DEF" w:rsidP="00483DEF">
      <w:pPr>
        <w:pStyle w:val="NormalWeb"/>
        <w:spacing w:before="0" w:beforeAutospacing="0" w:after="160" w:afterAutospacing="0"/>
      </w:pPr>
      <w:r w:rsidRPr="000A52E1">
        <w:rPr>
          <w:color w:val="000000"/>
          <w:vertAlign w:val="superscript"/>
        </w:rPr>
        <w:t>2</w:t>
      </w:r>
      <w:r w:rsidRPr="000A52E1">
        <w:rPr>
          <w:color w:val="000000"/>
        </w:rPr>
        <w:t>Department of Internal Medicine, Division of Hospital Medicine, Stanford University School of Medicine, Stanford, CA USA</w:t>
      </w:r>
    </w:p>
    <w:p w:rsidR="00A91B3F" w:rsidRDefault="00483DEF" w:rsidP="00D107DF">
      <w:pPr>
        <w:pStyle w:val="NormalWeb"/>
        <w:shd w:val="clear" w:color="auto" w:fill="FFFFFF"/>
        <w:spacing w:before="0" w:beforeAutospacing="0" w:after="0" w:afterAutospacing="0"/>
      </w:pPr>
      <w:r w:rsidRPr="000A52E1">
        <w:t> </w:t>
      </w:r>
    </w:p>
    <w:p w:rsidR="00D107DF" w:rsidRDefault="00286255" w:rsidP="00D107DF">
      <w:pPr>
        <w:pStyle w:val="NormalWeb"/>
        <w:shd w:val="clear" w:color="auto" w:fill="FFFFFF"/>
        <w:spacing w:before="0" w:beforeAutospacing="0" w:after="0" w:afterAutospacing="0"/>
      </w:pPr>
      <w:r>
        <w:br/>
        <w:t xml:space="preserve">Word Count: </w:t>
      </w:r>
      <w:r w:rsidR="00A405B9">
        <w:t>478</w:t>
      </w:r>
      <w:r>
        <w:tab/>
      </w:r>
    </w:p>
    <w:p w:rsidR="00D107DF" w:rsidRDefault="00D107DF" w:rsidP="00D107DF">
      <w:pPr>
        <w:pStyle w:val="NormalWeb"/>
        <w:shd w:val="clear" w:color="auto" w:fill="FFFFFF"/>
        <w:spacing w:before="0" w:beforeAutospacing="0" w:after="0" w:afterAutospacing="0"/>
      </w:pPr>
    </w:p>
    <w:p w:rsidR="00286255" w:rsidRPr="000A52E1" w:rsidRDefault="00286255" w:rsidP="00286255">
      <w:pPr>
        <w:pStyle w:val="NormalWeb"/>
        <w:shd w:val="clear" w:color="auto" w:fill="FFFFFF"/>
        <w:spacing w:before="0" w:beforeAutospacing="0" w:after="0" w:afterAutospacing="0"/>
      </w:pPr>
    </w:p>
    <w:p w:rsidR="00286255" w:rsidRPr="000A52E1" w:rsidRDefault="00286255" w:rsidP="00286255">
      <w:pPr>
        <w:pStyle w:val="NormalWeb"/>
        <w:shd w:val="clear" w:color="auto" w:fill="FFFFFF"/>
        <w:spacing w:before="0" w:beforeAutospacing="0" w:after="0" w:afterAutospacing="0"/>
      </w:pPr>
      <w:r w:rsidRPr="000A52E1">
        <w:rPr>
          <w:b/>
          <w:bCs/>
          <w:color w:val="333333"/>
        </w:rPr>
        <w:t>Author Contributions:</w:t>
      </w:r>
      <w:r w:rsidRPr="000A52E1">
        <w:rPr>
          <w:color w:val="333333"/>
        </w:rPr>
        <w:t> Dr. Ouyang had full access to all of the data in the study and takes responsibility for the integrity of the data and the accuracy of the data analysis.</w:t>
      </w:r>
    </w:p>
    <w:p w:rsidR="00286255" w:rsidRPr="000A52E1" w:rsidRDefault="00286255" w:rsidP="00286255">
      <w:pPr>
        <w:pStyle w:val="NormalWeb"/>
        <w:shd w:val="clear" w:color="auto" w:fill="FFFFFF"/>
        <w:spacing w:before="0" w:beforeAutospacing="0" w:after="0" w:afterAutospacing="0"/>
      </w:pPr>
      <w:r w:rsidRPr="000A52E1">
        <w:rPr>
          <w:i/>
          <w:iCs/>
          <w:color w:val="333333"/>
        </w:rPr>
        <w:t>Study concept and design</w:t>
      </w:r>
      <w:r w:rsidRPr="000A52E1">
        <w:rPr>
          <w:color w:val="333333"/>
        </w:rPr>
        <w:t>: Ouyang.</w:t>
      </w:r>
    </w:p>
    <w:p w:rsidR="00286255" w:rsidRPr="000A52E1" w:rsidRDefault="00286255" w:rsidP="00286255">
      <w:pPr>
        <w:pStyle w:val="NormalWeb"/>
        <w:shd w:val="clear" w:color="auto" w:fill="FFFFFF"/>
        <w:spacing w:before="0" w:beforeAutospacing="0" w:after="0" w:afterAutospacing="0"/>
      </w:pPr>
      <w:r w:rsidRPr="000A52E1">
        <w:rPr>
          <w:i/>
          <w:iCs/>
          <w:color w:val="333333"/>
        </w:rPr>
        <w:t>Acquisition of data</w:t>
      </w:r>
      <w:r w:rsidRPr="000A52E1">
        <w:rPr>
          <w:color w:val="333333"/>
        </w:rPr>
        <w:t>: Ouyang, Chi, Chen.</w:t>
      </w:r>
    </w:p>
    <w:p w:rsidR="00286255" w:rsidRPr="000A52E1" w:rsidRDefault="00286255" w:rsidP="00286255">
      <w:pPr>
        <w:pStyle w:val="NormalWeb"/>
        <w:shd w:val="clear" w:color="auto" w:fill="FFFFFF"/>
        <w:spacing w:before="0" w:beforeAutospacing="0" w:after="0" w:afterAutospacing="0"/>
      </w:pPr>
      <w:r w:rsidRPr="000A52E1">
        <w:rPr>
          <w:i/>
          <w:iCs/>
          <w:color w:val="333333"/>
        </w:rPr>
        <w:t>Analysis and interpretation of data</w:t>
      </w:r>
      <w:r w:rsidRPr="000A52E1">
        <w:rPr>
          <w:color w:val="333333"/>
        </w:rPr>
        <w:t>: Ouyang, Tisdale, Ashley, Chi, Chen.</w:t>
      </w:r>
    </w:p>
    <w:p w:rsidR="00286255" w:rsidRPr="000A52E1" w:rsidRDefault="00286255" w:rsidP="00286255">
      <w:pPr>
        <w:pStyle w:val="NormalWeb"/>
        <w:shd w:val="clear" w:color="auto" w:fill="FFFFFF"/>
        <w:spacing w:before="0" w:beforeAutospacing="0" w:after="0" w:afterAutospacing="0"/>
      </w:pPr>
      <w:r w:rsidRPr="000A52E1">
        <w:rPr>
          <w:i/>
          <w:iCs/>
          <w:color w:val="333333"/>
        </w:rPr>
        <w:t>Drafting of the manuscript</w:t>
      </w:r>
      <w:r w:rsidRPr="000A52E1">
        <w:rPr>
          <w:color w:val="333333"/>
        </w:rPr>
        <w:t>: Ouyang, Tisdale.</w:t>
      </w:r>
    </w:p>
    <w:p w:rsidR="00286255" w:rsidRPr="000A52E1" w:rsidRDefault="00286255" w:rsidP="00286255">
      <w:pPr>
        <w:pStyle w:val="NormalWeb"/>
        <w:shd w:val="clear" w:color="auto" w:fill="FFFFFF"/>
        <w:spacing w:before="0" w:beforeAutospacing="0" w:after="0" w:afterAutospacing="0"/>
      </w:pPr>
      <w:r w:rsidRPr="000A52E1">
        <w:rPr>
          <w:i/>
          <w:iCs/>
          <w:color w:val="333333"/>
        </w:rPr>
        <w:t>Critical revision of the manuscript for important intellectual content</w:t>
      </w:r>
      <w:r w:rsidRPr="000A52E1">
        <w:rPr>
          <w:color w:val="333333"/>
        </w:rPr>
        <w:t>: Ouyang, Tisdale, Ashley, Chi, Chen.</w:t>
      </w:r>
    </w:p>
    <w:p w:rsidR="00286255" w:rsidRDefault="00286255" w:rsidP="00286255">
      <w:pPr>
        <w:pStyle w:val="NormalWeb"/>
        <w:shd w:val="clear" w:color="auto" w:fill="FFFFFF"/>
        <w:spacing w:before="0" w:beforeAutospacing="0" w:after="0" w:afterAutospacing="0"/>
        <w:rPr>
          <w:color w:val="333333"/>
        </w:rPr>
      </w:pPr>
      <w:r w:rsidRPr="000A52E1">
        <w:rPr>
          <w:i/>
          <w:iCs/>
          <w:color w:val="333333"/>
        </w:rPr>
        <w:t>Statistical analysis</w:t>
      </w:r>
      <w:r w:rsidRPr="000A52E1">
        <w:rPr>
          <w:color w:val="333333"/>
        </w:rPr>
        <w:t>: Ouyang, Tisdale, Chen.</w:t>
      </w:r>
    </w:p>
    <w:p w:rsidR="00286255" w:rsidRDefault="00286255" w:rsidP="00D107DF">
      <w:pPr>
        <w:pStyle w:val="NormalWeb"/>
        <w:shd w:val="clear" w:color="auto" w:fill="FFFFFF"/>
        <w:spacing w:before="0" w:beforeAutospacing="0" w:after="0" w:afterAutospacing="0"/>
        <w:rPr>
          <w:noProof/>
        </w:rPr>
      </w:pPr>
    </w:p>
    <w:p w:rsidR="00286255" w:rsidRDefault="00286255" w:rsidP="00D107DF">
      <w:pPr>
        <w:pStyle w:val="NormalWeb"/>
        <w:shd w:val="clear" w:color="auto" w:fill="FFFFFF"/>
        <w:spacing w:before="0" w:beforeAutospacing="0" w:after="0" w:afterAutospacing="0"/>
        <w:rPr>
          <w:noProof/>
        </w:rPr>
      </w:pPr>
    </w:p>
    <w:p w:rsidR="00D107DF" w:rsidRDefault="00286255" w:rsidP="00D107DF">
      <w:pPr>
        <w:pStyle w:val="NormalWeb"/>
        <w:shd w:val="clear" w:color="auto" w:fill="FFFFFF"/>
        <w:spacing w:before="0" w:beforeAutospacing="0" w:after="0" w:afterAutospacing="0"/>
        <w:rPr>
          <w:noProof/>
        </w:rPr>
      </w:pPr>
      <w:r>
        <w:rPr>
          <w:noProof/>
        </w:rPr>
        <w:t xml:space="preserve">Corresponding author: </w:t>
      </w:r>
    </w:p>
    <w:p w:rsidR="00286255" w:rsidRPr="00D8626C" w:rsidRDefault="00286255" w:rsidP="00286255">
      <w:pPr>
        <w:rPr>
          <w:rFonts w:ascii="Times New Roman" w:hAnsi="Times New Roman" w:cs="Times New Roman"/>
          <w:sz w:val="24"/>
          <w:szCs w:val="24"/>
        </w:rPr>
      </w:pPr>
      <w:r w:rsidRPr="00286255">
        <w:rPr>
          <w:rFonts w:ascii="Times New Roman" w:hAnsi="Times New Roman" w:cs="Times New Roman"/>
          <w:sz w:val="24"/>
          <w:szCs w:val="24"/>
        </w:rPr>
        <w:t>David Ouyang, MD</w:t>
      </w:r>
      <w:r>
        <w:rPr>
          <w:rFonts w:ascii="Times New Roman" w:hAnsi="Times New Roman" w:cs="Times New Roman"/>
          <w:sz w:val="24"/>
          <w:szCs w:val="24"/>
        </w:rPr>
        <w:br/>
      </w:r>
      <w:r w:rsidRPr="00D8626C">
        <w:rPr>
          <w:rFonts w:ascii="Times New Roman" w:hAnsi="Times New Roman" w:cs="Times New Roman"/>
          <w:sz w:val="24"/>
          <w:szCs w:val="24"/>
        </w:rPr>
        <w:t xml:space="preserve">Stanford University </w:t>
      </w:r>
      <w:r w:rsidRPr="00D8626C">
        <w:rPr>
          <w:rFonts w:ascii="Times New Roman" w:hAnsi="Times New Roman" w:cs="Times New Roman"/>
          <w:sz w:val="24"/>
          <w:szCs w:val="24"/>
          <w:shd w:val="clear" w:color="auto" w:fill="FFFFFF"/>
        </w:rPr>
        <w:t xml:space="preserve">Falk Cardiovascular Research Center, </w:t>
      </w:r>
      <w:r>
        <w:rPr>
          <w:rFonts w:ascii="Times New Roman" w:hAnsi="Times New Roman" w:cs="Times New Roman"/>
          <w:sz w:val="24"/>
          <w:szCs w:val="24"/>
          <w:shd w:val="clear" w:color="auto" w:fill="FFFFFF"/>
        </w:rPr>
        <w:br/>
      </w:r>
      <w:r w:rsidRPr="00D8626C">
        <w:rPr>
          <w:rFonts w:ascii="Times New Roman" w:hAnsi="Times New Roman" w:cs="Times New Roman"/>
          <w:sz w:val="24"/>
          <w:szCs w:val="24"/>
          <w:shd w:val="clear" w:color="auto" w:fill="FFFFFF"/>
        </w:rPr>
        <w:t xml:space="preserve">870 Quarry Rd Ext, Palo Alto, CA 94304 </w:t>
      </w:r>
      <w:r>
        <w:rPr>
          <w:rFonts w:ascii="Times New Roman" w:hAnsi="Times New Roman" w:cs="Times New Roman"/>
          <w:sz w:val="24"/>
          <w:szCs w:val="24"/>
          <w:shd w:val="clear" w:color="auto" w:fill="FFFFFF"/>
        </w:rPr>
        <w:br/>
      </w:r>
      <w:r w:rsidRPr="00D8626C">
        <w:rPr>
          <w:rFonts w:ascii="Times New Roman" w:hAnsi="Times New Roman" w:cs="Times New Roman"/>
          <w:sz w:val="24"/>
          <w:szCs w:val="24"/>
          <w:shd w:val="clear" w:color="auto" w:fill="FFFFFF"/>
        </w:rPr>
        <w:t>ouyangd@stanford.edu</w:t>
      </w:r>
    </w:p>
    <w:p w:rsidR="00286255" w:rsidRDefault="00286255" w:rsidP="00286255">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BF2182" w:rsidRDefault="00BF2182" w:rsidP="00483DEF">
      <w:pPr>
        <w:pStyle w:val="NormalWeb"/>
        <w:spacing w:before="0" w:beforeAutospacing="0" w:after="160" w:afterAutospacing="0"/>
        <w:rPr>
          <w:color w:val="000000"/>
        </w:rPr>
      </w:pPr>
    </w:p>
    <w:p w:rsidR="00BF2182" w:rsidRDefault="00BF2182" w:rsidP="00483DEF">
      <w:pPr>
        <w:pStyle w:val="NormalWeb"/>
        <w:spacing w:before="0" w:beforeAutospacing="0" w:after="160" w:afterAutospacing="0"/>
        <w:rPr>
          <w:color w:val="000000"/>
        </w:rPr>
      </w:pPr>
      <w:r>
        <w:rPr>
          <w:color w:val="000000"/>
        </w:rPr>
        <w:lastRenderedPageBreak/>
        <w:t>Background</w:t>
      </w:r>
    </w:p>
    <w:p w:rsidR="00483DEF" w:rsidRPr="00BF2182" w:rsidRDefault="006675A5" w:rsidP="00483DEF">
      <w:pPr>
        <w:pStyle w:val="NormalWeb"/>
        <w:spacing w:before="0" w:beforeAutospacing="0" w:after="160" w:afterAutospacing="0"/>
        <w:rPr>
          <w:color w:val="000000"/>
        </w:rPr>
      </w:pPr>
      <w:r>
        <w:rPr>
          <w:color w:val="000000"/>
        </w:rPr>
        <w:t xml:space="preserve">New medication classes such as non-vitamin K </w:t>
      </w:r>
      <w:r w:rsidR="00EB1B72">
        <w:rPr>
          <w:color w:val="000000"/>
        </w:rPr>
        <w:t xml:space="preserve">antagonist </w:t>
      </w:r>
      <w:r>
        <w:rPr>
          <w:color w:val="000000"/>
        </w:rPr>
        <w:t>oral anticoagulants and angiotensin receptor neprilysin inhibitors have been recently introduced into cardiology practice. With the introduction of new medications, there is a push towards using trade names</w:t>
      </w:r>
      <w:r w:rsidR="004B3BBC">
        <w:rPr>
          <w:color w:val="000000"/>
        </w:rPr>
        <w:t xml:space="preserve"> when providers are still unfamiliar with the medications</w:t>
      </w:r>
      <w:r>
        <w:rPr>
          <w:color w:val="000000"/>
        </w:rPr>
        <w:t xml:space="preserve">. </w:t>
      </w:r>
      <w:r w:rsidR="00FE48A5" w:rsidRPr="000A52E1">
        <w:rPr>
          <w:color w:val="000000"/>
        </w:rPr>
        <w:t>The use of trade names for drugs in clinical practice raises awareness of these brand-names and has been shown to increase their use</w:t>
      </w:r>
      <w:r w:rsidR="00A70F55">
        <w:rPr>
          <w:color w:val="000000"/>
          <w:vertAlign w:val="superscript"/>
        </w:rPr>
        <w:t>1</w:t>
      </w:r>
      <w:r w:rsidR="00FE48A5" w:rsidRPr="000A52E1">
        <w:rPr>
          <w:color w:val="000000"/>
        </w:rPr>
        <w:t>.</w:t>
      </w:r>
      <w:r w:rsidR="00FE48A5">
        <w:rPr>
          <w:color w:val="000000"/>
        </w:rPr>
        <w:t xml:space="preserve"> Academic</w:t>
      </w:r>
      <w:r w:rsidR="00BF2182">
        <w:rPr>
          <w:color w:val="000000"/>
        </w:rPr>
        <w:t xml:space="preserve"> medical centers</w:t>
      </w:r>
      <w:r w:rsidR="00BF2182" w:rsidRPr="000A52E1">
        <w:rPr>
          <w:color w:val="000000"/>
        </w:rPr>
        <w:t xml:space="preserve"> have made a concerted attempt to teach generic medication names and discourage the use of trade names</w:t>
      </w:r>
      <w:r w:rsidR="00BF2182">
        <w:rPr>
          <w:color w:val="000000"/>
        </w:rPr>
        <w:t xml:space="preserve"> to reduce bias and contain costs</w:t>
      </w:r>
      <w:r w:rsidR="00FE48A5">
        <w:rPr>
          <w:color w:val="000000"/>
        </w:rPr>
        <w:t>, however</w:t>
      </w:r>
      <w:r w:rsidR="00E27248">
        <w:rPr>
          <w:color w:val="000000"/>
        </w:rPr>
        <w:t xml:space="preserve"> </w:t>
      </w:r>
      <w:r w:rsidR="00483DEF" w:rsidRPr="000A52E1">
        <w:rPr>
          <w:color w:val="000000"/>
        </w:rPr>
        <w:t>usage of trade names p</w:t>
      </w:r>
      <w:r w:rsidR="00FE48A5">
        <w:rPr>
          <w:color w:val="000000"/>
        </w:rPr>
        <w:t>ersists</w:t>
      </w:r>
      <w:r w:rsidR="00FE48A5">
        <w:rPr>
          <w:color w:val="000000"/>
          <w:vertAlign w:val="superscript"/>
        </w:rPr>
        <w:t>1-</w:t>
      </w:r>
      <w:r w:rsidR="00A70F55">
        <w:rPr>
          <w:color w:val="000000"/>
          <w:vertAlign w:val="superscript"/>
        </w:rPr>
        <w:t>4</w:t>
      </w:r>
      <w:r w:rsidR="00483DEF" w:rsidRPr="000A52E1">
        <w:rPr>
          <w:color w:val="000000"/>
        </w:rPr>
        <w:t xml:space="preserve">. We sought to characterize the relative use of trade and generic drug names </w:t>
      </w:r>
      <w:r w:rsidR="004C649B">
        <w:rPr>
          <w:color w:val="000000"/>
        </w:rPr>
        <w:t xml:space="preserve">across multiple cardiology </w:t>
      </w:r>
      <w:r w:rsidR="00A70F55">
        <w:rPr>
          <w:color w:val="000000"/>
        </w:rPr>
        <w:t>subspecialties</w:t>
      </w:r>
      <w:r w:rsidR="00FE48A5">
        <w:rPr>
          <w:color w:val="000000"/>
        </w:rPr>
        <w:t>, and associate their naming patterns with name and medication characteristics.</w:t>
      </w:r>
    </w:p>
    <w:p w:rsidR="00483DEF" w:rsidRPr="000A52E1" w:rsidRDefault="00483DEF" w:rsidP="00483DEF">
      <w:pPr>
        <w:pStyle w:val="NormalWeb"/>
        <w:spacing w:before="0" w:beforeAutospacing="0" w:after="160" w:afterAutospacing="0"/>
      </w:pPr>
      <w:r w:rsidRPr="000A52E1">
        <w:rPr>
          <w:color w:val="000000"/>
        </w:rPr>
        <w:t>Methods:</w:t>
      </w:r>
    </w:p>
    <w:p w:rsidR="00483DEF" w:rsidRPr="000A52E1" w:rsidRDefault="00AC3CDF" w:rsidP="00483DEF">
      <w:pPr>
        <w:pStyle w:val="NormalWeb"/>
        <w:spacing w:before="0" w:beforeAutospacing="0" w:after="200" w:afterAutospacing="0"/>
      </w:pPr>
      <w:r w:rsidRPr="000A52E1">
        <w:rPr>
          <w:color w:val="000000"/>
        </w:rPr>
        <w:t>W</w:t>
      </w:r>
      <w:r w:rsidR="00483DEF" w:rsidRPr="000A52E1">
        <w:rPr>
          <w:color w:val="000000"/>
        </w:rPr>
        <w:t xml:space="preserve">e analyzed 1,048,576 text pages to housestaff between June 1, 2013 and April 24, 2017 at a large academic university hospital. Mentions of medications </w:t>
      </w:r>
      <w:r w:rsidR="00D4572D">
        <w:rPr>
          <w:color w:val="000000"/>
        </w:rPr>
        <w:t xml:space="preserve">frequently used in cardiology </w:t>
      </w:r>
      <w:r w:rsidR="00483DEF" w:rsidRPr="000A52E1">
        <w:rPr>
          <w:color w:val="000000"/>
        </w:rPr>
        <w:t>were identified and tallied. When explicitly mentioned in the body of the text page, the occupation of the sender was established</w:t>
      </w:r>
      <w:r w:rsidR="00D5279E">
        <w:rPr>
          <w:color w:val="000000"/>
        </w:rPr>
        <w:t xml:space="preserve">. </w:t>
      </w:r>
      <w:r w:rsidR="00FE48A5">
        <w:rPr>
          <w:color w:val="000000"/>
        </w:rPr>
        <w:t>Estimated daily cost and drug approval date were extracted from datasets from the Food and Drug Administration and publically available databases</w:t>
      </w:r>
      <w:r w:rsidR="00B41A3C">
        <w:rPr>
          <w:color w:val="000000"/>
          <w:vertAlign w:val="superscript"/>
        </w:rPr>
        <w:t>5-6</w:t>
      </w:r>
      <w:r w:rsidR="00FE48A5">
        <w:rPr>
          <w:color w:val="000000"/>
        </w:rPr>
        <w:t xml:space="preserve">. </w:t>
      </w:r>
      <w:r w:rsidR="000A52E1">
        <w:rPr>
          <w:color w:val="000000"/>
        </w:rPr>
        <w:t>Text pages were algorithmic</w:t>
      </w:r>
      <w:r w:rsidR="004C649B">
        <w:rPr>
          <w:color w:val="000000"/>
        </w:rPr>
        <w:t>ally processed using Python and</w:t>
      </w:r>
      <w:r w:rsidR="00A405B9">
        <w:rPr>
          <w:color w:val="000000"/>
        </w:rPr>
        <w:t xml:space="preserve"> </w:t>
      </w:r>
      <w:r w:rsidR="00D5279E">
        <w:rPr>
          <w:color w:val="000000"/>
        </w:rPr>
        <w:t>m</w:t>
      </w:r>
      <w:r w:rsidR="00D5279E" w:rsidRPr="000A52E1">
        <w:rPr>
          <w:color w:val="000000"/>
        </w:rPr>
        <w:t xml:space="preserve">ultivariate analysis </w:t>
      </w:r>
      <w:r w:rsidR="00D5279E">
        <w:rPr>
          <w:color w:val="000000"/>
        </w:rPr>
        <w:t>was</w:t>
      </w:r>
      <w:r w:rsidR="000A52E1">
        <w:rPr>
          <w:color w:val="000000"/>
        </w:rPr>
        <w:t xml:space="preserve"> performed in R. </w:t>
      </w:r>
      <w:r w:rsidRPr="000A52E1">
        <w:rPr>
          <w:color w:val="000000"/>
        </w:rPr>
        <w:t>This study was approved by the Stanford University IRB.</w:t>
      </w:r>
    </w:p>
    <w:p w:rsidR="00483DEF" w:rsidRPr="000A52E1" w:rsidRDefault="00483DEF" w:rsidP="00483DEF">
      <w:pPr>
        <w:pStyle w:val="NormalWeb"/>
        <w:spacing w:before="0" w:beforeAutospacing="0" w:after="160" w:afterAutospacing="0"/>
      </w:pPr>
      <w:r w:rsidRPr="000A52E1">
        <w:rPr>
          <w:color w:val="000000"/>
        </w:rPr>
        <w:t>Results:</w:t>
      </w:r>
    </w:p>
    <w:p w:rsidR="00483DEF" w:rsidRPr="000A52E1" w:rsidRDefault="00483DEF" w:rsidP="006675A5">
      <w:pPr>
        <w:pStyle w:val="NormalWeb"/>
        <w:spacing w:before="0" w:beforeAutospacing="0" w:after="160" w:afterAutospacing="0"/>
        <w:rPr>
          <w:color w:val="000000"/>
        </w:rPr>
      </w:pPr>
      <w:r w:rsidRPr="000A52E1">
        <w:rPr>
          <w:color w:val="000000"/>
        </w:rPr>
        <w:t>We identified 102,243 pages regarding medications, of which 34,489</w:t>
      </w:r>
      <w:r w:rsidR="00650A5D" w:rsidRPr="000A52E1">
        <w:rPr>
          <w:color w:val="000000"/>
        </w:rPr>
        <w:t xml:space="preserve"> (33.7%)</w:t>
      </w:r>
      <w:r w:rsidRPr="000A52E1">
        <w:rPr>
          <w:color w:val="000000"/>
        </w:rPr>
        <w:t xml:space="preserve"> pages were from nurses and 20,446</w:t>
      </w:r>
      <w:r w:rsidR="00650A5D" w:rsidRPr="000A52E1">
        <w:rPr>
          <w:color w:val="000000"/>
        </w:rPr>
        <w:t xml:space="preserve"> (20.0%)</w:t>
      </w:r>
      <w:r w:rsidRPr="000A52E1">
        <w:rPr>
          <w:color w:val="000000"/>
        </w:rPr>
        <w:t xml:space="preserve"> pages </w:t>
      </w:r>
      <w:r w:rsidR="00650A5D" w:rsidRPr="000A52E1">
        <w:rPr>
          <w:color w:val="000000"/>
        </w:rPr>
        <w:t>were</w:t>
      </w:r>
      <w:r w:rsidRPr="000A52E1">
        <w:rPr>
          <w:color w:val="000000"/>
        </w:rPr>
        <w:t xml:space="preserve"> from pharmacists. </w:t>
      </w:r>
      <w:r w:rsidR="00BF2182">
        <w:rPr>
          <w:color w:val="000000"/>
        </w:rPr>
        <w:t>Forty-</w:t>
      </w:r>
      <w:r w:rsidR="00D17F91">
        <w:rPr>
          <w:color w:val="000000"/>
        </w:rPr>
        <w:t>seven</w:t>
      </w:r>
      <w:r w:rsidR="00D4572D">
        <w:rPr>
          <w:color w:val="000000"/>
        </w:rPr>
        <w:t xml:space="preserve"> commonly used cardiac</w:t>
      </w:r>
      <w:r w:rsidRPr="000A52E1">
        <w:rPr>
          <w:color w:val="000000"/>
        </w:rPr>
        <w:t xml:space="preserve"> medications were mentioned </w:t>
      </w:r>
      <w:r w:rsidR="001345CE">
        <w:rPr>
          <w:color w:val="000000"/>
        </w:rPr>
        <w:t>a total of 26,</w:t>
      </w:r>
      <w:r w:rsidR="00D17F91">
        <w:rPr>
          <w:color w:val="000000"/>
        </w:rPr>
        <w:t>4</w:t>
      </w:r>
      <w:r w:rsidR="001345CE">
        <w:rPr>
          <w:color w:val="000000"/>
        </w:rPr>
        <w:t xml:space="preserve">63 times. </w:t>
      </w:r>
      <w:r w:rsidR="001345CE" w:rsidRPr="000A52E1">
        <w:rPr>
          <w:color w:val="000000"/>
        </w:rPr>
        <w:t xml:space="preserve">There was significant variation in the preferential use of brand names vs. generic names (Figure 1). </w:t>
      </w:r>
      <w:r w:rsidRPr="000A52E1">
        <w:rPr>
          <w:color w:val="000000"/>
        </w:rPr>
        <w:t xml:space="preserve">The most common classes of medications were </w:t>
      </w:r>
      <w:r w:rsidR="001345CE">
        <w:rPr>
          <w:color w:val="000000"/>
        </w:rPr>
        <w:t>anti-arrhythmics</w:t>
      </w:r>
      <w:r w:rsidRPr="000A52E1">
        <w:rPr>
          <w:color w:val="000000"/>
        </w:rPr>
        <w:t xml:space="preserve"> (1</w:t>
      </w:r>
      <w:r w:rsidR="001345CE">
        <w:rPr>
          <w:color w:val="000000"/>
        </w:rPr>
        <w:t>4</w:t>
      </w:r>
      <w:r w:rsidRPr="000A52E1">
        <w:rPr>
          <w:color w:val="000000"/>
        </w:rPr>
        <w:t>.</w:t>
      </w:r>
      <w:r w:rsidR="001345CE">
        <w:rPr>
          <w:color w:val="000000"/>
        </w:rPr>
        <w:t>6</w:t>
      </w:r>
      <w:r w:rsidRPr="000A52E1">
        <w:rPr>
          <w:color w:val="000000"/>
        </w:rPr>
        <w:t xml:space="preserve">%), </w:t>
      </w:r>
      <w:r w:rsidR="001345CE">
        <w:rPr>
          <w:color w:val="000000"/>
        </w:rPr>
        <w:t>angiotensin-converting-enzyme inhibitors</w:t>
      </w:r>
      <w:r w:rsidRPr="000A52E1">
        <w:rPr>
          <w:color w:val="000000"/>
        </w:rPr>
        <w:t xml:space="preserve"> (1</w:t>
      </w:r>
      <w:r w:rsidR="001345CE">
        <w:rPr>
          <w:color w:val="000000"/>
        </w:rPr>
        <w:t>4.6</w:t>
      </w:r>
      <w:r w:rsidRPr="000A52E1">
        <w:rPr>
          <w:color w:val="000000"/>
        </w:rPr>
        <w:t xml:space="preserve">%), and </w:t>
      </w:r>
      <w:r w:rsidR="00D17F91">
        <w:rPr>
          <w:color w:val="000000"/>
        </w:rPr>
        <w:t>beta</w:t>
      </w:r>
      <w:r w:rsidR="001345CE">
        <w:rPr>
          <w:color w:val="000000"/>
        </w:rPr>
        <w:t xml:space="preserve"> blockers</w:t>
      </w:r>
      <w:r w:rsidRPr="000A52E1">
        <w:rPr>
          <w:color w:val="000000"/>
        </w:rPr>
        <w:t xml:space="preserve"> (1</w:t>
      </w:r>
      <w:r w:rsidR="001345CE">
        <w:rPr>
          <w:color w:val="000000"/>
        </w:rPr>
        <w:t>2</w:t>
      </w:r>
      <w:r w:rsidRPr="000A52E1">
        <w:rPr>
          <w:color w:val="000000"/>
        </w:rPr>
        <w:t>.</w:t>
      </w:r>
      <w:r w:rsidR="001345CE">
        <w:rPr>
          <w:color w:val="000000"/>
        </w:rPr>
        <w:t>5</w:t>
      </w:r>
      <w:r w:rsidRPr="000A52E1">
        <w:rPr>
          <w:color w:val="000000"/>
        </w:rPr>
        <w:t xml:space="preserve">%). Nurses were more likely to use </w:t>
      </w:r>
      <w:r w:rsidR="00CC1D37" w:rsidRPr="000A52E1">
        <w:rPr>
          <w:color w:val="000000"/>
        </w:rPr>
        <w:t>trade</w:t>
      </w:r>
      <w:r w:rsidR="00AC3CDF" w:rsidRPr="000A52E1">
        <w:rPr>
          <w:color w:val="000000"/>
        </w:rPr>
        <w:t xml:space="preserve"> names than pharmacists (</w:t>
      </w:r>
      <w:r w:rsidR="00BF2182">
        <w:rPr>
          <w:color w:val="000000"/>
        </w:rPr>
        <w:t>p = 0.02</w:t>
      </w:r>
      <w:r w:rsidRPr="000A52E1">
        <w:rPr>
          <w:color w:val="000000"/>
        </w:rPr>
        <w:t>)</w:t>
      </w:r>
      <w:r w:rsidR="00CC1D37" w:rsidRPr="000A52E1">
        <w:rPr>
          <w:color w:val="000000"/>
        </w:rPr>
        <w:t xml:space="preserve">. </w:t>
      </w:r>
      <w:r w:rsidR="006675A5">
        <w:rPr>
          <w:color w:val="000000"/>
        </w:rPr>
        <w:t xml:space="preserve">On multivariate analysis, increased use of trade names over generic names was associated with more frequent mentions, recent FDA approval, increased generic cost, and an increased number of syllables in the generic name (Table 1). </w:t>
      </w:r>
      <w:r w:rsidR="00630074">
        <w:rPr>
          <w:color w:val="000000"/>
        </w:rPr>
        <w:t xml:space="preserve">Being on patent was inversely associated with increased use of trade names. </w:t>
      </w:r>
      <w:r w:rsidR="006675A5">
        <w:rPr>
          <w:color w:val="000000"/>
        </w:rPr>
        <w:t>There was no associat</w:t>
      </w:r>
      <w:r w:rsidR="00B6186F">
        <w:rPr>
          <w:color w:val="000000"/>
        </w:rPr>
        <w:t>ion</w:t>
      </w:r>
      <w:r w:rsidR="006675A5">
        <w:rPr>
          <w:color w:val="000000"/>
        </w:rPr>
        <w:t xml:space="preserve"> with medication class or indication. </w:t>
      </w:r>
    </w:p>
    <w:p w:rsidR="00483DEF" w:rsidRPr="000A52E1" w:rsidRDefault="00483DEF" w:rsidP="00483DEF">
      <w:pPr>
        <w:pStyle w:val="NormalWeb"/>
        <w:spacing w:before="0" w:beforeAutospacing="0" w:after="160" w:afterAutospacing="0"/>
      </w:pPr>
      <w:r w:rsidRPr="000A52E1">
        <w:rPr>
          <w:color w:val="000000"/>
        </w:rPr>
        <w:t>Comment:</w:t>
      </w:r>
    </w:p>
    <w:p w:rsidR="00483DEF" w:rsidRDefault="004C18AB" w:rsidP="00DD6BBD">
      <w:pPr>
        <w:pStyle w:val="NormalWeb"/>
        <w:spacing w:before="0" w:beforeAutospacing="0" w:after="160" w:afterAutospacing="0"/>
        <w:rPr>
          <w:color w:val="000000"/>
        </w:rPr>
      </w:pPr>
      <w:r>
        <w:rPr>
          <w:color w:val="000000"/>
        </w:rPr>
        <w:t>T</w:t>
      </w:r>
      <w:r w:rsidR="0086756A">
        <w:rPr>
          <w:color w:val="000000"/>
        </w:rPr>
        <w:t xml:space="preserve">ext paging </w:t>
      </w:r>
      <w:r w:rsidR="001E4FE9">
        <w:rPr>
          <w:color w:val="000000"/>
        </w:rPr>
        <w:t>behaviors</w:t>
      </w:r>
      <w:r w:rsidR="00B6186F">
        <w:rPr>
          <w:color w:val="000000"/>
        </w:rPr>
        <w:t xml:space="preserve"> </w:t>
      </w:r>
      <w:r>
        <w:rPr>
          <w:color w:val="000000"/>
        </w:rPr>
        <w:t xml:space="preserve">provide a </w:t>
      </w:r>
      <w:r w:rsidR="0086756A">
        <w:rPr>
          <w:color w:val="000000"/>
        </w:rPr>
        <w:t>reflect</w:t>
      </w:r>
      <w:r>
        <w:rPr>
          <w:color w:val="000000"/>
        </w:rPr>
        <w:t>ion of</w:t>
      </w:r>
      <w:r w:rsidR="00A405B9">
        <w:rPr>
          <w:color w:val="000000"/>
        </w:rPr>
        <w:t xml:space="preserve"> </w:t>
      </w:r>
      <w:r w:rsidR="001E4FE9">
        <w:rPr>
          <w:color w:val="000000"/>
        </w:rPr>
        <w:t>real-world provider-to-provider communication</w:t>
      </w:r>
      <w:r>
        <w:rPr>
          <w:color w:val="000000"/>
        </w:rPr>
        <w:t xml:space="preserve"> outside of formal documentation</w:t>
      </w:r>
      <w:r w:rsidR="001E4FE9">
        <w:rPr>
          <w:color w:val="000000"/>
        </w:rPr>
        <w:t xml:space="preserve">. </w:t>
      </w:r>
      <w:r w:rsidR="006675A5">
        <w:rPr>
          <w:color w:val="000000"/>
        </w:rPr>
        <w:t>Applying</w:t>
      </w:r>
      <w:r>
        <w:rPr>
          <w:color w:val="000000"/>
        </w:rPr>
        <w:t xml:space="preserve"> a high-throughput method of </w:t>
      </w:r>
      <w:r w:rsidR="00483DEF" w:rsidRPr="000A52E1">
        <w:rPr>
          <w:color w:val="000000"/>
        </w:rPr>
        <w:t xml:space="preserve">assessing medication naming sentiment, we show that there is significant variability in preference of brand name versus generic name usage for common </w:t>
      </w:r>
      <w:r w:rsidR="006675A5">
        <w:rPr>
          <w:color w:val="000000"/>
        </w:rPr>
        <w:t>cardiology drugs</w:t>
      </w:r>
      <w:r w:rsidR="00483DEF" w:rsidRPr="000A52E1">
        <w:rPr>
          <w:color w:val="000000"/>
        </w:rPr>
        <w:t xml:space="preserve">. </w:t>
      </w:r>
      <w:r w:rsidR="00314F27">
        <w:rPr>
          <w:color w:val="000000"/>
        </w:rPr>
        <w:t xml:space="preserve">The influence of pharmaceutical companies can be seen with increased use of trade names in more </w:t>
      </w:r>
      <w:r w:rsidR="00630074">
        <w:rPr>
          <w:color w:val="000000"/>
        </w:rPr>
        <w:t xml:space="preserve">frequently mentioned medications, more </w:t>
      </w:r>
      <w:r w:rsidR="00314F27">
        <w:rPr>
          <w:color w:val="000000"/>
        </w:rPr>
        <w:t>recently FDA app</w:t>
      </w:r>
      <w:r w:rsidR="00630074">
        <w:rPr>
          <w:color w:val="000000"/>
        </w:rPr>
        <w:t>roved medications</w:t>
      </w:r>
      <w:r w:rsidR="00A405B9">
        <w:rPr>
          <w:color w:val="000000"/>
        </w:rPr>
        <w:t xml:space="preserve"> and more expensive medications. </w:t>
      </w:r>
      <w:r w:rsidR="006F2E3A">
        <w:rPr>
          <w:color w:val="000000"/>
        </w:rPr>
        <w:t>This variation is  independent of medication name length and was consistent across multiple subspecialties and medication classes. Surprisingly</w:t>
      </w:r>
      <w:r w:rsidR="00630074">
        <w:rPr>
          <w:color w:val="000000"/>
        </w:rPr>
        <w:t xml:space="preserve">, medications </w:t>
      </w:r>
      <w:r w:rsidR="006F2E3A">
        <w:rPr>
          <w:color w:val="000000"/>
        </w:rPr>
        <w:t xml:space="preserve">still </w:t>
      </w:r>
      <w:r w:rsidR="00630074">
        <w:rPr>
          <w:color w:val="000000"/>
        </w:rPr>
        <w:t xml:space="preserve">on patent </w:t>
      </w:r>
      <w:r w:rsidR="006F2E3A">
        <w:rPr>
          <w:color w:val="000000"/>
        </w:rPr>
        <w:t xml:space="preserve">(the most recently FDA approved medications) </w:t>
      </w:r>
      <w:r w:rsidR="00630074">
        <w:rPr>
          <w:color w:val="000000"/>
        </w:rPr>
        <w:t xml:space="preserve">were more commonly </w:t>
      </w:r>
      <w:r w:rsidR="006F2E3A">
        <w:rPr>
          <w:color w:val="000000"/>
        </w:rPr>
        <w:t xml:space="preserve">referred to by generic names as a whole, suggesting efforts to promote generic name use may have been effective. </w:t>
      </w:r>
      <w:r w:rsidR="00314F27">
        <w:rPr>
          <w:color w:val="000000"/>
        </w:rPr>
        <w:t>F</w:t>
      </w:r>
      <w:r w:rsidR="00DD6BBD">
        <w:rPr>
          <w:color w:val="000000"/>
        </w:rPr>
        <w:t xml:space="preserve">urther analysis should be done to assess whether naming practices also influence prescribing practices.  </w:t>
      </w:r>
    </w:p>
    <w:p w:rsidR="007F2649" w:rsidRPr="006675A5" w:rsidRDefault="00483DEF" w:rsidP="000A52E1">
      <w:pPr>
        <w:pStyle w:val="NormalWeb"/>
        <w:spacing w:before="0" w:beforeAutospacing="0" w:after="160" w:afterAutospacing="0"/>
        <w:rPr>
          <w:color w:val="000000"/>
        </w:rPr>
      </w:pPr>
      <w:r w:rsidRPr="006675A5">
        <w:rPr>
          <w:color w:val="000000"/>
        </w:rPr>
        <w:lastRenderedPageBreak/>
        <w:t>Bibliography</w:t>
      </w:r>
    </w:p>
    <w:p w:rsidR="00A70F55" w:rsidRPr="006675A5" w:rsidRDefault="003545D8" w:rsidP="00A70F55">
      <w:pPr>
        <w:pStyle w:val="Bibliography"/>
        <w:rPr>
          <w:rFonts w:ascii="Times New Roman" w:hAnsi="Times New Roman" w:cs="Times New Roman"/>
          <w:sz w:val="24"/>
          <w:szCs w:val="24"/>
        </w:rPr>
      </w:pPr>
      <w:r w:rsidRPr="003545D8">
        <w:rPr>
          <w:rFonts w:ascii="Times New Roman" w:hAnsi="Times New Roman" w:cs="Times New Roman"/>
          <w:sz w:val="24"/>
          <w:szCs w:val="24"/>
        </w:rPr>
        <w:fldChar w:fldCharType="begin"/>
      </w:r>
      <w:r w:rsidR="000A52E1" w:rsidRPr="006675A5">
        <w:rPr>
          <w:rFonts w:ascii="Times New Roman" w:hAnsi="Times New Roman" w:cs="Times New Roman"/>
          <w:sz w:val="24"/>
          <w:szCs w:val="24"/>
        </w:rPr>
        <w:instrText xml:space="preserve"> ADDIN ZOTERO_BIBL {"custom":[]} CSL_BIBLIOGRAPHY </w:instrText>
      </w:r>
      <w:r w:rsidRPr="003545D8">
        <w:rPr>
          <w:rFonts w:ascii="Times New Roman" w:hAnsi="Times New Roman" w:cs="Times New Roman"/>
          <w:sz w:val="24"/>
          <w:szCs w:val="24"/>
        </w:rPr>
        <w:fldChar w:fldCharType="separate"/>
      </w:r>
      <w:r w:rsidR="000A52E1" w:rsidRPr="006675A5">
        <w:rPr>
          <w:rFonts w:ascii="Times New Roman" w:hAnsi="Times New Roman" w:cs="Times New Roman"/>
          <w:sz w:val="24"/>
          <w:szCs w:val="24"/>
        </w:rPr>
        <w:t xml:space="preserve">1. </w:t>
      </w:r>
      <w:r w:rsidR="000A52E1" w:rsidRPr="006675A5">
        <w:rPr>
          <w:rFonts w:ascii="Times New Roman" w:hAnsi="Times New Roman" w:cs="Times New Roman"/>
          <w:sz w:val="24"/>
          <w:szCs w:val="24"/>
        </w:rPr>
        <w:tab/>
      </w:r>
      <w:r w:rsidR="00A70F55" w:rsidRPr="006675A5">
        <w:rPr>
          <w:rFonts w:ascii="Times New Roman" w:hAnsi="Times New Roman" w:cs="Times New Roman"/>
          <w:sz w:val="24"/>
          <w:szCs w:val="24"/>
        </w:rPr>
        <w:t xml:space="preserve">Mott DA, Cline RR. Exploring generic drug use behavior: the role of prescribers and pharmacists in the opportunity for generic drug use and generic substitution. </w:t>
      </w:r>
      <w:r w:rsidR="00A70F55" w:rsidRPr="006675A5">
        <w:rPr>
          <w:rFonts w:ascii="Times New Roman" w:hAnsi="Times New Roman" w:cs="Times New Roman"/>
          <w:i/>
          <w:iCs/>
          <w:sz w:val="24"/>
          <w:szCs w:val="24"/>
        </w:rPr>
        <w:t>Med Care</w:t>
      </w:r>
      <w:r w:rsidR="00A70F55" w:rsidRPr="006675A5">
        <w:rPr>
          <w:rFonts w:ascii="Times New Roman" w:hAnsi="Times New Roman" w:cs="Times New Roman"/>
          <w:sz w:val="24"/>
          <w:szCs w:val="24"/>
        </w:rPr>
        <w:t>. 2002;40(8):662-674. doi:10.1097/01.MLR.0000020926.85284.8E.</w:t>
      </w:r>
    </w:p>
    <w:p w:rsidR="000A52E1" w:rsidRPr="006675A5" w:rsidRDefault="00A70F55" w:rsidP="000A52E1">
      <w:pPr>
        <w:pStyle w:val="Bibliography"/>
        <w:rPr>
          <w:rFonts w:ascii="Times New Roman" w:hAnsi="Times New Roman" w:cs="Times New Roman"/>
          <w:sz w:val="24"/>
          <w:szCs w:val="24"/>
        </w:rPr>
      </w:pPr>
      <w:r w:rsidRPr="006675A5">
        <w:rPr>
          <w:rFonts w:ascii="Times New Roman" w:hAnsi="Times New Roman" w:cs="Times New Roman"/>
          <w:sz w:val="24"/>
          <w:szCs w:val="24"/>
        </w:rPr>
        <w:t>2</w:t>
      </w:r>
      <w:r w:rsidR="000A52E1" w:rsidRPr="006675A5">
        <w:rPr>
          <w:rFonts w:ascii="Times New Roman" w:hAnsi="Times New Roman" w:cs="Times New Roman"/>
          <w:sz w:val="24"/>
          <w:szCs w:val="24"/>
        </w:rPr>
        <w:t xml:space="preserve">. </w:t>
      </w:r>
      <w:r w:rsidR="000A52E1" w:rsidRPr="006675A5">
        <w:rPr>
          <w:rFonts w:ascii="Times New Roman" w:hAnsi="Times New Roman" w:cs="Times New Roman"/>
          <w:sz w:val="24"/>
          <w:szCs w:val="24"/>
        </w:rPr>
        <w:tab/>
        <w:t xml:space="preserve">Sierles FS, Brodkey AC, Cleary LM, et al. Medical students’ exposure to and attitudes about drug company interactions: a national survey. </w:t>
      </w:r>
      <w:r w:rsidR="000A52E1" w:rsidRPr="006675A5">
        <w:rPr>
          <w:rFonts w:ascii="Times New Roman" w:hAnsi="Times New Roman" w:cs="Times New Roman"/>
          <w:i/>
          <w:iCs/>
          <w:sz w:val="24"/>
          <w:szCs w:val="24"/>
        </w:rPr>
        <w:t>JAMA</w:t>
      </w:r>
      <w:r w:rsidR="000A52E1" w:rsidRPr="006675A5">
        <w:rPr>
          <w:rFonts w:ascii="Times New Roman" w:hAnsi="Times New Roman" w:cs="Times New Roman"/>
          <w:sz w:val="24"/>
          <w:szCs w:val="24"/>
        </w:rPr>
        <w:t>. 2005;294(9):1034-1042. doi:10.1001/jama.294.9.1034.</w:t>
      </w:r>
    </w:p>
    <w:p w:rsidR="000A52E1" w:rsidRPr="006675A5" w:rsidRDefault="00A70F55" w:rsidP="000A52E1">
      <w:pPr>
        <w:pStyle w:val="Bibliography"/>
        <w:rPr>
          <w:rFonts w:ascii="Times New Roman" w:hAnsi="Times New Roman" w:cs="Times New Roman"/>
          <w:sz w:val="24"/>
          <w:szCs w:val="24"/>
        </w:rPr>
      </w:pPr>
      <w:r w:rsidRPr="006675A5">
        <w:rPr>
          <w:rFonts w:ascii="Times New Roman" w:hAnsi="Times New Roman" w:cs="Times New Roman"/>
          <w:sz w:val="24"/>
          <w:szCs w:val="24"/>
        </w:rPr>
        <w:t>3.</w:t>
      </w:r>
      <w:r w:rsidR="000A52E1" w:rsidRPr="006675A5">
        <w:rPr>
          <w:rFonts w:ascii="Times New Roman" w:hAnsi="Times New Roman" w:cs="Times New Roman"/>
          <w:sz w:val="24"/>
          <w:szCs w:val="24"/>
        </w:rPr>
        <w:tab/>
        <w:t xml:space="preserve">Austad KE, Avorn J, Franklin JM, Campbell EG, Kesselheim AS. Association of marketing interactions with medical trainees’ knowledge about evidence-based prescribing: results from a national survey. </w:t>
      </w:r>
      <w:r w:rsidR="000A52E1" w:rsidRPr="006675A5">
        <w:rPr>
          <w:rFonts w:ascii="Times New Roman" w:hAnsi="Times New Roman" w:cs="Times New Roman"/>
          <w:i/>
          <w:iCs/>
          <w:sz w:val="24"/>
          <w:szCs w:val="24"/>
        </w:rPr>
        <w:t>JAMA Intern Med</w:t>
      </w:r>
      <w:r w:rsidR="000A52E1" w:rsidRPr="006675A5">
        <w:rPr>
          <w:rFonts w:ascii="Times New Roman" w:hAnsi="Times New Roman" w:cs="Times New Roman"/>
          <w:sz w:val="24"/>
          <w:szCs w:val="24"/>
        </w:rPr>
        <w:t>. 2014;174(8):1283-1290. doi:10.1001/jamainternmed.2014.2202.</w:t>
      </w:r>
    </w:p>
    <w:p w:rsidR="000A52E1" w:rsidRPr="006675A5" w:rsidRDefault="00A70F55" w:rsidP="000A52E1">
      <w:pPr>
        <w:pStyle w:val="Bibliography"/>
        <w:rPr>
          <w:rFonts w:ascii="Times New Roman" w:hAnsi="Times New Roman" w:cs="Times New Roman"/>
          <w:sz w:val="24"/>
          <w:szCs w:val="24"/>
        </w:rPr>
      </w:pPr>
      <w:r w:rsidRPr="006675A5">
        <w:rPr>
          <w:rFonts w:ascii="Times New Roman" w:hAnsi="Times New Roman" w:cs="Times New Roman"/>
          <w:sz w:val="24"/>
          <w:szCs w:val="24"/>
        </w:rPr>
        <w:t>4</w:t>
      </w:r>
      <w:r w:rsidR="000A52E1" w:rsidRPr="006675A5">
        <w:rPr>
          <w:rFonts w:ascii="Times New Roman" w:hAnsi="Times New Roman" w:cs="Times New Roman"/>
          <w:sz w:val="24"/>
          <w:szCs w:val="24"/>
        </w:rPr>
        <w:t xml:space="preserve">. </w:t>
      </w:r>
      <w:r w:rsidR="000A52E1" w:rsidRPr="006675A5">
        <w:rPr>
          <w:rFonts w:ascii="Times New Roman" w:hAnsi="Times New Roman" w:cs="Times New Roman"/>
          <w:sz w:val="24"/>
          <w:szCs w:val="24"/>
        </w:rPr>
        <w:tab/>
        <w:t xml:space="preserve">Steinman MA, Chren M-M, Landefeld CS. What’s in a Name? Use of Brand versus Generic Drug Names in United States Outpatient Practice. </w:t>
      </w:r>
      <w:r w:rsidR="000A52E1" w:rsidRPr="006675A5">
        <w:rPr>
          <w:rFonts w:ascii="Times New Roman" w:hAnsi="Times New Roman" w:cs="Times New Roman"/>
          <w:i/>
          <w:iCs/>
          <w:sz w:val="24"/>
          <w:szCs w:val="24"/>
        </w:rPr>
        <w:t>J Gen Intern Med</w:t>
      </w:r>
      <w:r w:rsidR="000A52E1" w:rsidRPr="006675A5">
        <w:rPr>
          <w:rFonts w:ascii="Times New Roman" w:hAnsi="Times New Roman" w:cs="Times New Roman"/>
          <w:sz w:val="24"/>
          <w:szCs w:val="24"/>
        </w:rPr>
        <w:t>. 2007;22(5):645-648. doi:10.1007/s11606-006-0074-3.</w:t>
      </w:r>
    </w:p>
    <w:p w:rsidR="00B41A3C" w:rsidRPr="006675A5" w:rsidRDefault="00A70F55" w:rsidP="00B41A3C">
      <w:pPr>
        <w:pStyle w:val="Bibliography"/>
        <w:rPr>
          <w:rFonts w:ascii="Times New Roman" w:hAnsi="Times New Roman" w:cs="Times New Roman"/>
          <w:sz w:val="24"/>
          <w:szCs w:val="24"/>
        </w:rPr>
      </w:pPr>
      <w:r w:rsidRPr="006675A5">
        <w:rPr>
          <w:rFonts w:ascii="Times New Roman" w:hAnsi="Times New Roman" w:cs="Times New Roman"/>
          <w:sz w:val="24"/>
          <w:szCs w:val="24"/>
        </w:rPr>
        <w:t xml:space="preserve">5. </w:t>
      </w:r>
      <w:r w:rsidR="00B41A3C" w:rsidRPr="006675A5">
        <w:rPr>
          <w:rFonts w:ascii="Times New Roman" w:hAnsi="Times New Roman" w:cs="Times New Roman"/>
          <w:sz w:val="24"/>
          <w:szCs w:val="24"/>
        </w:rPr>
        <w:tab/>
        <w:t>Snapshot. https://www.fda.gov/drugs/informationondrugs/ucm129689.htm. Accessed November 17, 2017.</w:t>
      </w:r>
    </w:p>
    <w:p w:rsidR="00B41A3C" w:rsidRPr="006675A5" w:rsidRDefault="00B41A3C" w:rsidP="00B41A3C">
      <w:pPr>
        <w:pStyle w:val="Bibliography"/>
        <w:rPr>
          <w:rFonts w:ascii="Times New Roman" w:hAnsi="Times New Roman" w:cs="Times New Roman"/>
          <w:sz w:val="24"/>
          <w:szCs w:val="24"/>
        </w:rPr>
      </w:pPr>
      <w:r w:rsidRPr="006675A5">
        <w:rPr>
          <w:rFonts w:ascii="Times New Roman" w:hAnsi="Times New Roman" w:cs="Times New Roman"/>
          <w:sz w:val="24"/>
          <w:szCs w:val="24"/>
        </w:rPr>
        <w:t xml:space="preserve">6. </w:t>
      </w:r>
      <w:r w:rsidRPr="006675A5">
        <w:rPr>
          <w:rFonts w:ascii="Times New Roman" w:hAnsi="Times New Roman" w:cs="Times New Roman"/>
          <w:sz w:val="24"/>
          <w:szCs w:val="24"/>
        </w:rPr>
        <w:tab/>
        <w:t>rxpricequotes.com - Drug Price Search. https://www.rxpricequotes.com/. Accessed November 17, 2017.</w:t>
      </w:r>
    </w:p>
    <w:p w:rsidR="00A70F55" w:rsidRPr="006675A5" w:rsidRDefault="00A70F55" w:rsidP="00A70F55">
      <w:pPr>
        <w:rPr>
          <w:rFonts w:ascii="Times New Roman" w:hAnsi="Times New Roman" w:cs="Times New Roman"/>
          <w:sz w:val="24"/>
          <w:szCs w:val="24"/>
        </w:rPr>
      </w:pPr>
    </w:p>
    <w:p w:rsidR="000A52E1" w:rsidRPr="000A52E1" w:rsidRDefault="003545D8" w:rsidP="000A52E1">
      <w:pPr>
        <w:pStyle w:val="NormalWeb"/>
        <w:spacing w:before="0" w:beforeAutospacing="0" w:after="160" w:afterAutospacing="0"/>
      </w:pPr>
      <w:r w:rsidRPr="006675A5">
        <w:fldChar w:fldCharType="end"/>
      </w:r>
      <w:bookmarkStart w:id="0" w:name="_GoBack"/>
      <w:bookmarkEnd w:id="0"/>
    </w:p>
    <w:sectPr w:rsidR="000A52E1" w:rsidRPr="000A52E1" w:rsidSect="0060079F">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E53" w:rsidRDefault="00BC6E53" w:rsidP="00036256">
      <w:pPr>
        <w:spacing w:after="0" w:line="240" w:lineRule="auto"/>
      </w:pPr>
      <w:r>
        <w:separator/>
      </w:r>
    </w:p>
  </w:endnote>
  <w:endnote w:type="continuationSeparator" w:id="1">
    <w:p w:rsidR="00BC6E53" w:rsidRDefault="00BC6E53" w:rsidP="00036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E53" w:rsidRDefault="00BC6E53" w:rsidP="00036256">
      <w:pPr>
        <w:spacing w:after="0" w:line="240" w:lineRule="auto"/>
      </w:pPr>
      <w:r>
        <w:separator/>
      </w:r>
    </w:p>
  </w:footnote>
  <w:footnote w:type="continuationSeparator" w:id="1">
    <w:p w:rsidR="00BC6E53" w:rsidRDefault="00BC6E53" w:rsidP="000362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6256"/>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6E94"/>
    <w:rsid w:val="000A52E1"/>
    <w:rsid w:val="000B35B0"/>
    <w:rsid w:val="000B549D"/>
    <w:rsid w:val="000C5ECA"/>
    <w:rsid w:val="000D4247"/>
    <w:rsid w:val="000F533A"/>
    <w:rsid w:val="00114F7F"/>
    <w:rsid w:val="00115937"/>
    <w:rsid w:val="00122C52"/>
    <w:rsid w:val="001345CE"/>
    <w:rsid w:val="00143B86"/>
    <w:rsid w:val="00194BA4"/>
    <w:rsid w:val="001A478F"/>
    <w:rsid w:val="001D63FA"/>
    <w:rsid w:val="001E378B"/>
    <w:rsid w:val="001E4FE9"/>
    <w:rsid w:val="001F433E"/>
    <w:rsid w:val="00204438"/>
    <w:rsid w:val="00206093"/>
    <w:rsid w:val="00210A49"/>
    <w:rsid w:val="00216813"/>
    <w:rsid w:val="00220EE4"/>
    <w:rsid w:val="00225F17"/>
    <w:rsid w:val="00226EB2"/>
    <w:rsid w:val="002342FD"/>
    <w:rsid w:val="00234D23"/>
    <w:rsid w:val="002367C0"/>
    <w:rsid w:val="002573CC"/>
    <w:rsid w:val="00262F10"/>
    <w:rsid w:val="002721FC"/>
    <w:rsid w:val="0027245A"/>
    <w:rsid w:val="002752BA"/>
    <w:rsid w:val="002857F9"/>
    <w:rsid w:val="00286255"/>
    <w:rsid w:val="002957EA"/>
    <w:rsid w:val="002A0DAA"/>
    <w:rsid w:val="002B121A"/>
    <w:rsid w:val="002B62F9"/>
    <w:rsid w:val="002D3680"/>
    <w:rsid w:val="002E66B8"/>
    <w:rsid w:val="002F4215"/>
    <w:rsid w:val="002F48DE"/>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414301"/>
    <w:rsid w:val="004241C3"/>
    <w:rsid w:val="00433246"/>
    <w:rsid w:val="00450399"/>
    <w:rsid w:val="00450894"/>
    <w:rsid w:val="004607B1"/>
    <w:rsid w:val="00462AAA"/>
    <w:rsid w:val="0046596A"/>
    <w:rsid w:val="004677B3"/>
    <w:rsid w:val="00472D21"/>
    <w:rsid w:val="004737A1"/>
    <w:rsid w:val="00476403"/>
    <w:rsid w:val="0048057F"/>
    <w:rsid w:val="00483DEF"/>
    <w:rsid w:val="004B3BBC"/>
    <w:rsid w:val="004B5BFC"/>
    <w:rsid w:val="004C18AB"/>
    <w:rsid w:val="004C649B"/>
    <w:rsid w:val="004C656D"/>
    <w:rsid w:val="004F367E"/>
    <w:rsid w:val="00510DB1"/>
    <w:rsid w:val="005168F1"/>
    <w:rsid w:val="00525FB2"/>
    <w:rsid w:val="00540913"/>
    <w:rsid w:val="005456AB"/>
    <w:rsid w:val="00555513"/>
    <w:rsid w:val="00556504"/>
    <w:rsid w:val="005572E7"/>
    <w:rsid w:val="0057003D"/>
    <w:rsid w:val="00573FC1"/>
    <w:rsid w:val="005825E9"/>
    <w:rsid w:val="00585482"/>
    <w:rsid w:val="00590F8C"/>
    <w:rsid w:val="005B655F"/>
    <w:rsid w:val="005B68C7"/>
    <w:rsid w:val="005C4125"/>
    <w:rsid w:val="005C7D7D"/>
    <w:rsid w:val="005D617D"/>
    <w:rsid w:val="005F647B"/>
    <w:rsid w:val="0060079F"/>
    <w:rsid w:val="00601B3C"/>
    <w:rsid w:val="00607E27"/>
    <w:rsid w:val="006134B7"/>
    <w:rsid w:val="006218B6"/>
    <w:rsid w:val="00622956"/>
    <w:rsid w:val="00630074"/>
    <w:rsid w:val="00630252"/>
    <w:rsid w:val="00635A36"/>
    <w:rsid w:val="00637D32"/>
    <w:rsid w:val="00642BFF"/>
    <w:rsid w:val="00650A5D"/>
    <w:rsid w:val="006675A5"/>
    <w:rsid w:val="006737C9"/>
    <w:rsid w:val="0068633C"/>
    <w:rsid w:val="00690D76"/>
    <w:rsid w:val="00694D9B"/>
    <w:rsid w:val="006A674D"/>
    <w:rsid w:val="006E0E0D"/>
    <w:rsid w:val="006E6B6C"/>
    <w:rsid w:val="006F2E3A"/>
    <w:rsid w:val="006F312E"/>
    <w:rsid w:val="00713FE2"/>
    <w:rsid w:val="00714DAC"/>
    <w:rsid w:val="00717C53"/>
    <w:rsid w:val="007211DE"/>
    <w:rsid w:val="007277E3"/>
    <w:rsid w:val="0073047E"/>
    <w:rsid w:val="0073533F"/>
    <w:rsid w:val="007548FE"/>
    <w:rsid w:val="007622C0"/>
    <w:rsid w:val="007675E3"/>
    <w:rsid w:val="00771BD0"/>
    <w:rsid w:val="007823F3"/>
    <w:rsid w:val="007858AF"/>
    <w:rsid w:val="0079108D"/>
    <w:rsid w:val="007A5204"/>
    <w:rsid w:val="007A6E0C"/>
    <w:rsid w:val="007D084F"/>
    <w:rsid w:val="007F01F3"/>
    <w:rsid w:val="007F2649"/>
    <w:rsid w:val="00806F78"/>
    <w:rsid w:val="008131D7"/>
    <w:rsid w:val="00813DA8"/>
    <w:rsid w:val="0082635E"/>
    <w:rsid w:val="00842469"/>
    <w:rsid w:val="00843BCB"/>
    <w:rsid w:val="0086756A"/>
    <w:rsid w:val="008701D1"/>
    <w:rsid w:val="00872481"/>
    <w:rsid w:val="00881A9A"/>
    <w:rsid w:val="008930F1"/>
    <w:rsid w:val="008B56FA"/>
    <w:rsid w:val="008B5E47"/>
    <w:rsid w:val="008C0B08"/>
    <w:rsid w:val="008C5A6B"/>
    <w:rsid w:val="008D1216"/>
    <w:rsid w:val="008D2D67"/>
    <w:rsid w:val="008E51D7"/>
    <w:rsid w:val="008E6C9B"/>
    <w:rsid w:val="00936421"/>
    <w:rsid w:val="00954472"/>
    <w:rsid w:val="00960DAE"/>
    <w:rsid w:val="00985A4E"/>
    <w:rsid w:val="009A4F98"/>
    <w:rsid w:val="009A6FB4"/>
    <w:rsid w:val="009B7156"/>
    <w:rsid w:val="009C0DCA"/>
    <w:rsid w:val="009C0EB2"/>
    <w:rsid w:val="009D25FC"/>
    <w:rsid w:val="009D63D3"/>
    <w:rsid w:val="009E31AB"/>
    <w:rsid w:val="009E4081"/>
    <w:rsid w:val="00A078CB"/>
    <w:rsid w:val="00A14262"/>
    <w:rsid w:val="00A35302"/>
    <w:rsid w:val="00A405B9"/>
    <w:rsid w:val="00A4135C"/>
    <w:rsid w:val="00A53F39"/>
    <w:rsid w:val="00A70F55"/>
    <w:rsid w:val="00A90873"/>
    <w:rsid w:val="00A91B3F"/>
    <w:rsid w:val="00A91B44"/>
    <w:rsid w:val="00A9274C"/>
    <w:rsid w:val="00A936FF"/>
    <w:rsid w:val="00AB4DA8"/>
    <w:rsid w:val="00AB6923"/>
    <w:rsid w:val="00AC3CDF"/>
    <w:rsid w:val="00AD4ABC"/>
    <w:rsid w:val="00AE02FE"/>
    <w:rsid w:val="00AE705A"/>
    <w:rsid w:val="00B0176D"/>
    <w:rsid w:val="00B41A3C"/>
    <w:rsid w:val="00B41FC6"/>
    <w:rsid w:val="00B45122"/>
    <w:rsid w:val="00B4776E"/>
    <w:rsid w:val="00B6186F"/>
    <w:rsid w:val="00B65D20"/>
    <w:rsid w:val="00B720C8"/>
    <w:rsid w:val="00B7295B"/>
    <w:rsid w:val="00B7445D"/>
    <w:rsid w:val="00BA4719"/>
    <w:rsid w:val="00BB0EF4"/>
    <w:rsid w:val="00BC3F1B"/>
    <w:rsid w:val="00BC6E53"/>
    <w:rsid w:val="00BD200E"/>
    <w:rsid w:val="00BE1EA0"/>
    <w:rsid w:val="00BE2098"/>
    <w:rsid w:val="00BF2182"/>
    <w:rsid w:val="00C072D0"/>
    <w:rsid w:val="00C273F5"/>
    <w:rsid w:val="00C332BD"/>
    <w:rsid w:val="00C45869"/>
    <w:rsid w:val="00C46944"/>
    <w:rsid w:val="00C55D49"/>
    <w:rsid w:val="00C67C22"/>
    <w:rsid w:val="00C67F9A"/>
    <w:rsid w:val="00C950F0"/>
    <w:rsid w:val="00CA2F1C"/>
    <w:rsid w:val="00CC12B3"/>
    <w:rsid w:val="00CC1D37"/>
    <w:rsid w:val="00CC5BDB"/>
    <w:rsid w:val="00CD1ECA"/>
    <w:rsid w:val="00CD76DB"/>
    <w:rsid w:val="00CE3D8F"/>
    <w:rsid w:val="00CF0D1E"/>
    <w:rsid w:val="00CF4BF9"/>
    <w:rsid w:val="00CF515E"/>
    <w:rsid w:val="00D04A43"/>
    <w:rsid w:val="00D107DF"/>
    <w:rsid w:val="00D1536D"/>
    <w:rsid w:val="00D17F91"/>
    <w:rsid w:val="00D20934"/>
    <w:rsid w:val="00D21FDD"/>
    <w:rsid w:val="00D22036"/>
    <w:rsid w:val="00D24AF9"/>
    <w:rsid w:val="00D4572D"/>
    <w:rsid w:val="00D5279E"/>
    <w:rsid w:val="00D709E9"/>
    <w:rsid w:val="00D7589D"/>
    <w:rsid w:val="00D90D53"/>
    <w:rsid w:val="00D92638"/>
    <w:rsid w:val="00D947DC"/>
    <w:rsid w:val="00D975B6"/>
    <w:rsid w:val="00DA6924"/>
    <w:rsid w:val="00DA6DEC"/>
    <w:rsid w:val="00DC5BEB"/>
    <w:rsid w:val="00DD017B"/>
    <w:rsid w:val="00DD3192"/>
    <w:rsid w:val="00DD6BBD"/>
    <w:rsid w:val="00DE413E"/>
    <w:rsid w:val="00DF2483"/>
    <w:rsid w:val="00DF55F2"/>
    <w:rsid w:val="00DF629F"/>
    <w:rsid w:val="00E01499"/>
    <w:rsid w:val="00E07E7B"/>
    <w:rsid w:val="00E155E9"/>
    <w:rsid w:val="00E251F0"/>
    <w:rsid w:val="00E27248"/>
    <w:rsid w:val="00E341DC"/>
    <w:rsid w:val="00E34404"/>
    <w:rsid w:val="00E4754D"/>
    <w:rsid w:val="00E500DB"/>
    <w:rsid w:val="00E5027C"/>
    <w:rsid w:val="00E607BC"/>
    <w:rsid w:val="00E62CB4"/>
    <w:rsid w:val="00E93110"/>
    <w:rsid w:val="00E932F0"/>
    <w:rsid w:val="00E95638"/>
    <w:rsid w:val="00EB1B72"/>
    <w:rsid w:val="00EB2753"/>
    <w:rsid w:val="00EC6B6E"/>
    <w:rsid w:val="00ED56A9"/>
    <w:rsid w:val="00EE74F0"/>
    <w:rsid w:val="00EF1BF0"/>
    <w:rsid w:val="00F104DF"/>
    <w:rsid w:val="00F20A52"/>
    <w:rsid w:val="00F31915"/>
    <w:rsid w:val="00F45620"/>
    <w:rsid w:val="00F601B8"/>
    <w:rsid w:val="00F63C10"/>
    <w:rsid w:val="00F733CB"/>
    <w:rsid w:val="00F918EA"/>
    <w:rsid w:val="00F946C0"/>
    <w:rsid w:val="00F95BBF"/>
    <w:rsid w:val="00FA5FA7"/>
    <w:rsid w:val="00FB3E83"/>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s>
</file>

<file path=word/webSettings.xml><?xml version="1.0" encoding="utf-8"?>
<w:webSettings xmlns:r="http://schemas.openxmlformats.org/officeDocument/2006/relationships" xmlns:w="http://schemas.openxmlformats.org/wordprocessingml/2006/main">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5BED-8DD0-47D1-83D2-B697CB80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2017-11-18T07:22:00Z</dcterms:created>
  <dcterms:modified xsi:type="dcterms:W3CDTF">2017-11-18T07:24:00Z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