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DEF" w:rsidRPr="000A52E1" w:rsidRDefault="00664692" w:rsidP="00483DEF">
      <w:pPr>
        <w:pStyle w:val="NormalWeb"/>
        <w:spacing w:before="0" w:beforeAutospacing="0" w:after="200" w:afterAutospacing="0"/>
      </w:pPr>
      <w:r>
        <w:rPr>
          <w:b/>
          <w:bCs/>
          <w:color w:val="000000"/>
        </w:rPr>
        <w:t>Acetaminophen</w:t>
      </w:r>
      <w:r w:rsidRPr="000A52E1">
        <w:rPr>
          <w:b/>
          <w:bCs/>
          <w:color w:val="000000"/>
        </w:rPr>
        <w:t xml:space="preserve"> or </w:t>
      </w:r>
      <w:r>
        <w:rPr>
          <w:b/>
          <w:bCs/>
          <w:color w:val="000000"/>
        </w:rPr>
        <w:t xml:space="preserve">Tylenol? </w:t>
      </w:r>
      <w:r w:rsidR="00483DEF" w:rsidRPr="000A52E1">
        <w:rPr>
          <w:b/>
          <w:bCs/>
          <w:color w:val="000000"/>
        </w:rPr>
        <w:t>Medication Communication Practices and Habits</w:t>
      </w:r>
      <w:r w:rsidR="00115937" w:rsidRPr="000A52E1">
        <w:rPr>
          <w:b/>
          <w:bCs/>
          <w:color w:val="000000"/>
        </w:rPr>
        <w:t xml:space="preserve"> in Text Pages</w:t>
      </w:r>
    </w:p>
    <w:p w:rsidR="00483DEF" w:rsidRPr="000A52E1" w:rsidRDefault="00483DEF" w:rsidP="00483DEF">
      <w:pPr>
        <w:pStyle w:val="NormalWeb"/>
        <w:spacing w:before="0" w:beforeAutospacing="0" w:after="160" w:afterAutospacing="0"/>
      </w:pPr>
      <w:r w:rsidRPr="000A52E1">
        <w:rPr>
          <w:color w:val="000000"/>
        </w:rPr>
        <w:t>David Ouyang MD</w:t>
      </w:r>
      <w:r w:rsidRPr="000A52E1">
        <w:rPr>
          <w:color w:val="000000"/>
          <w:vertAlign w:val="superscript"/>
        </w:rPr>
        <w:t>1</w:t>
      </w:r>
      <w:r w:rsidRPr="000A52E1">
        <w:rPr>
          <w:color w:val="000000"/>
        </w:rPr>
        <w:t>, Rebecca Tisdale MD</w:t>
      </w:r>
      <w:r w:rsidRPr="000A52E1">
        <w:rPr>
          <w:color w:val="000000"/>
          <w:vertAlign w:val="superscript"/>
        </w:rPr>
        <w:t>2</w:t>
      </w:r>
      <w:r w:rsidRPr="000A52E1">
        <w:rPr>
          <w:color w:val="000000"/>
        </w:rPr>
        <w:t>, Euan Ashley MBBS PhD</w:t>
      </w:r>
      <w:r w:rsidRPr="000A52E1">
        <w:rPr>
          <w:color w:val="000000"/>
          <w:vertAlign w:val="superscript"/>
        </w:rPr>
        <w:t>1</w:t>
      </w:r>
      <w:r w:rsidRPr="000A52E1">
        <w:rPr>
          <w:color w:val="000000"/>
        </w:rPr>
        <w:t>, Jeffrey Chi MD</w:t>
      </w:r>
      <w:r w:rsidRPr="000A52E1">
        <w:rPr>
          <w:color w:val="000000"/>
          <w:vertAlign w:val="superscript"/>
        </w:rPr>
        <w:t>2</w:t>
      </w:r>
      <w:r w:rsidRPr="000A52E1">
        <w:rPr>
          <w:color w:val="000000"/>
        </w:rPr>
        <w:t>,  Jonathan H. Chen MD PhD</w:t>
      </w:r>
      <w:r w:rsidRPr="000A52E1">
        <w:rPr>
          <w:color w:val="000000"/>
          <w:vertAlign w:val="superscript"/>
        </w:rPr>
        <w:t>2</w:t>
      </w:r>
    </w:p>
    <w:p w:rsidR="00483DEF" w:rsidRPr="000A52E1" w:rsidRDefault="00483DEF" w:rsidP="00483DEF">
      <w:pPr>
        <w:pStyle w:val="NormalWeb"/>
        <w:spacing w:before="0" w:beforeAutospacing="0" w:after="160" w:afterAutospacing="0"/>
      </w:pPr>
      <w:r w:rsidRPr="000A52E1">
        <w:rPr>
          <w:color w:val="000000"/>
          <w:vertAlign w:val="superscript"/>
        </w:rPr>
        <w:t>1</w:t>
      </w:r>
      <w:r w:rsidRPr="000A52E1">
        <w:rPr>
          <w:color w:val="000000"/>
        </w:rPr>
        <w:t>Department of Internal Medicine, Division of Cardiovascular Medicine, Stanford University School of Medicine, Stanford, CA USA</w:t>
      </w:r>
    </w:p>
    <w:p w:rsidR="00483DEF" w:rsidRPr="000A52E1" w:rsidRDefault="00483DEF" w:rsidP="00483DEF">
      <w:pPr>
        <w:pStyle w:val="NormalWeb"/>
        <w:spacing w:before="0" w:beforeAutospacing="0" w:after="160" w:afterAutospacing="0"/>
      </w:pPr>
      <w:r w:rsidRPr="000A52E1">
        <w:rPr>
          <w:color w:val="000000"/>
          <w:vertAlign w:val="superscript"/>
        </w:rPr>
        <w:t>2</w:t>
      </w:r>
      <w:r w:rsidRPr="000A52E1">
        <w:rPr>
          <w:color w:val="000000"/>
        </w:rPr>
        <w:t>Department of Internal Medicine, Division of Hospital Medicine, Stanford University School of Medicine, Stanford, CA USA</w:t>
      </w:r>
    </w:p>
    <w:p w:rsidR="00483DEF" w:rsidRPr="000A52E1" w:rsidRDefault="00483DEF" w:rsidP="00483DEF">
      <w:pPr>
        <w:pStyle w:val="NormalWeb"/>
        <w:shd w:val="clear" w:color="auto" w:fill="FFFFFF"/>
        <w:spacing w:before="0" w:beforeAutospacing="0" w:after="0" w:afterAutospacing="0"/>
      </w:pPr>
      <w:r w:rsidRPr="000A52E1">
        <w:t> </w:t>
      </w:r>
    </w:p>
    <w:p w:rsidR="00483DEF" w:rsidRPr="000A52E1" w:rsidRDefault="00483DEF" w:rsidP="00483DEF">
      <w:pPr>
        <w:pStyle w:val="NormalWeb"/>
        <w:shd w:val="clear" w:color="auto" w:fill="FFFFFF"/>
        <w:spacing w:before="0" w:beforeAutospacing="0" w:after="0" w:afterAutospacing="0"/>
      </w:pPr>
      <w:r w:rsidRPr="000A52E1">
        <w:t> </w:t>
      </w:r>
    </w:p>
    <w:p w:rsidR="00483DEF" w:rsidRPr="000A52E1" w:rsidRDefault="00483DEF" w:rsidP="00483DEF">
      <w:pPr>
        <w:pStyle w:val="NormalWeb"/>
        <w:shd w:val="clear" w:color="auto" w:fill="FFFFFF"/>
        <w:spacing w:before="0" w:beforeAutospacing="0" w:after="0" w:afterAutospacing="0"/>
      </w:pPr>
      <w:r w:rsidRPr="000A52E1">
        <w:rPr>
          <w:b/>
          <w:bCs/>
          <w:color w:val="333333"/>
        </w:rPr>
        <w:t>Author Contributions:</w:t>
      </w:r>
      <w:r w:rsidRPr="000A52E1">
        <w:rPr>
          <w:color w:val="333333"/>
        </w:rPr>
        <w:t> Dr. Ouyang had full access to all of the data in the study and takes responsibility for the integrity of the data and the accuracy of the data analysis.</w:t>
      </w:r>
    </w:p>
    <w:p w:rsidR="00483DEF" w:rsidRPr="000A52E1" w:rsidRDefault="00483DEF" w:rsidP="00483DEF">
      <w:pPr>
        <w:pStyle w:val="NormalWeb"/>
        <w:shd w:val="clear" w:color="auto" w:fill="FFFFFF"/>
        <w:spacing w:before="0" w:beforeAutospacing="0" w:after="0" w:afterAutospacing="0"/>
      </w:pPr>
      <w:r w:rsidRPr="000A52E1">
        <w:rPr>
          <w:i/>
          <w:iCs/>
          <w:color w:val="333333"/>
        </w:rPr>
        <w:t>Study concept and design</w:t>
      </w:r>
      <w:r w:rsidRPr="000A52E1">
        <w:rPr>
          <w:color w:val="333333"/>
        </w:rPr>
        <w:t>: Ouyang.</w:t>
      </w:r>
    </w:p>
    <w:p w:rsidR="00483DEF" w:rsidRPr="000A52E1" w:rsidRDefault="00483DEF" w:rsidP="00483DEF">
      <w:pPr>
        <w:pStyle w:val="NormalWeb"/>
        <w:shd w:val="clear" w:color="auto" w:fill="FFFFFF"/>
        <w:spacing w:before="0" w:beforeAutospacing="0" w:after="0" w:afterAutospacing="0"/>
      </w:pPr>
      <w:r w:rsidRPr="000A52E1">
        <w:rPr>
          <w:i/>
          <w:iCs/>
          <w:color w:val="333333"/>
        </w:rPr>
        <w:t>Acquisition of data</w:t>
      </w:r>
      <w:r w:rsidRPr="000A52E1">
        <w:rPr>
          <w:color w:val="333333"/>
        </w:rPr>
        <w:t>: Ouyang, Chi, Chen.</w:t>
      </w:r>
    </w:p>
    <w:p w:rsidR="00483DEF" w:rsidRPr="000A52E1" w:rsidRDefault="00483DEF" w:rsidP="00483DEF">
      <w:pPr>
        <w:pStyle w:val="NormalWeb"/>
        <w:shd w:val="clear" w:color="auto" w:fill="FFFFFF"/>
        <w:spacing w:before="0" w:beforeAutospacing="0" w:after="0" w:afterAutospacing="0"/>
      </w:pPr>
      <w:r w:rsidRPr="000A52E1">
        <w:rPr>
          <w:i/>
          <w:iCs/>
          <w:color w:val="333333"/>
        </w:rPr>
        <w:t>Analysis and interpretation of data</w:t>
      </w:r>
      <w:r w:rsidRPr="000A52E1">
        <w:rPr>
          <w:color w:val="333333"/>
        </w:rPr>
        <w:t>: Ouyang, Tisdale, Ashley, Chi, Chen.</w:t>
      </w:r>
    </w:p>
    <w:p w:rsidR="00483DEF" w:rsidRPr="000A52E1" w:rsidRDefault="00483DEF" w:rsidP="00483DEF">
      <w:pPr>
        <w:pStyle w:val="NormalWeb"/>
        <w:shd w:val="clear" w:color="auto" w:fill="FFFFFF"/>
        <w:spacing w:before="0" w:beforeAutospacing="0" w:after="0" w:afterAutospacing="0"/>
      </w:pPr>
      <w:r w:rsidRPr="000A52E1">
        <w:rPr>
          <w:i/>
          <w:iCs/>
          <w:color w:val="333333"/>
        </w:rPr>
        <w:t>Drafting of the manuscript</w:t>
      </w:r>
      <w:r w:rsidRPr="000A52E1">
        <w:rPr>
          <w:color w:val="333333"/>
        </w:rPr>
        <w:t>: Ouyang, Tisdale.</w:t>
      </w:r>
    </w:p>
    <w:p w:rsidR="00483DEF" w:rsidRPr="000A52E1" w:rsidRDefault="00483DEF" w:rsidP="00483DEF">
      <w:pPr>
        <w:pStyle w:val="NormalWeb"/>
        <w:shd w:val="clear" w:color="auto" w:fill="FFFFFF"/>
        <w:spacing w:before="0" w:beforeAutospacing="0" w:after="0" w:afterAutospacing="0"/>
      </w:pPr>
      <w:r w:rsidRPr="000A52E1">
        <w:rPr>
          <w:i/>
          <w:iCs/>
          <w:color w:val="333333"/>
        </w:rPr>
        <w:t>Critical revision of the manuscript for important intellectual content</w:t>
      </w:r>
      <w:r w:rsidRPr="000A52E1">
        <w:rPr>
          <w:color w:val="333333"/>
        </w:rPr>
        <w:t>: Ouyang, Tisdale, Ashley, Chi, Chen.</w:t>
      </w:r>
    </w:p>
    <w:p w:rsidR="00483DEF" w:rsidRDefault="00483DEF" w:rsidP="00483DEF">
      <w:pPr>
        <w:pStyle w:val="NormalWeb"/>
        <w:shd w:val="clear" w:color="auto" w:fill="FFFFFF"/>
        <w:spacing w:before="0" w:beforeAutospacing="0" w:after="0" w:afterAutospacing="0"/>
        <w:rPr>
          <w:color w:val="333333"/>
        </w:rPr>
      </w:pPr>
      <w:r w:rsidRPr="000A52E1">
        <w:rPr>
          <w:i/>
          <w:iCs/>
          <w:color w:val="333333"/>
        </w:rPr>
        <w:t>Statistical analysis</w:t>
      </w:r>
      <w:r w:rsidRPr="000A52E1">
        <w:rPr>
          <w:color w:val="333333"/>
        </w:rPr>
        <w:t>: Ouyang, Tisdale, Chen.</w:t>
      </w:r>
    </w:p>
    <w:p w:rsidR="0086756A" w:rsidRDefault="0086756A" w:rsidP="00483DEF">
      <w:pPr>
        <w:pStyle w:val="NormalWeb"/>
        <w:shd w:val="clear" w:color="auto" w:fill="FFFFFF"/>
        <w:spacing w:before="0" w:beforeAutospacing="0" w:after="0" w:afterAutospacing="0"/>
        <w:rPr>
          <w:color w:val="333333"/>
        </w:rPr>
      </w:pPr>
    </w:p>
    <w:p w:rsidR="0086756A" w:rsidRPr="000A52E1" w:rsidRDefault="0086756A" w:rsidP="00483DEF">
      <w:pPr>
        <w:pStyle w:val="NormalWeb"/>
        <w:shd w:val="clear" w:color="auto" w:fill="FFFFFF"/>
        <w:spacing w:before="0" w:beforeAutospacing="0" w:after="0" w:afterAutospacing="0"/>
      </w:pPr>
    </w:p>
    <w:p w:rsidR="00483DEF" w:rsidRPr="000A52E1" w:rsidRDefault="00483DEF" w:rsidP="00483DEF">
      <w:pPr>
        <w:pStyle w:val="NormalWeb"/>
        <w:shd w:val="clear" w:color="auto" w:fill="FFFFFF"/>
        <w:spacing w:before="0" w:beforeAutospacing="0" w:after="0" w:afterAutospacing="0"/>
      </w:pPr>
      <w:r w:rsidRPr="000A52E1">
        <w:t> </w:t>
      </w:r>
    </w:p>
    <w:p w:rsidR="00CC1D37" w:rsidRPr="000A52E1" w:rsidRDefault="00483DEF" w:rsidP="00CC1D37">
      <w:pPr>
        <w:pStyle w:val="NormalWeb"/>
        <w:shd w:val="clear" w:color="auto" w:fill="FFFFFF"/>
        <w:spacing w:before="0" w:beforeAutospacing="0" w:after="0" w:afterAutospacing="0"/>
        <w:rPr>
          <w:color w:val="333333"/>
        </w:rPr>
      </w:pPr>
      <w:r w:rsidRPr="000A52E1">
        <w:rPr>
          <w:b/>
          <w:bCs/>
          <w:color w:val="333333"/>
        </w:rPr>
        <w:t>Conflict of Interest Disclosures:</w:t>
      </w:r>
      <w:r w:rsidRPr="000A52E1">
        <w:rPr>
          <w:color w:val="333333"/>
        </w:rPr>
        <w:t> The authors have completed and submitted the ICMJE Form for Disclosure of Potential Conflicts of Interest and none were reported.</w:t>
      </w:r>
    </w:p>
    <w:p w:rsidR="00CC1D37" w:rsidRPr="000A52E1" w:rsidRDefault="00CC1D37" w:rsidP="00CC1D37">
      <w:pPr>
        <w:pStyle w:val="NormalWeb"/>
        <w:shd w:val="clear" w:color="auto" w:fill="FFFFFF"/>
        <w:spacing w:before="0" w:beforeAutospacing="0" w:after="0" w:afterAutospacing="0"/>
        <w:rPr>
          <w:color w:val="333333"/>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BE4FFA" w:rsidRDefault="00BE4FFA" w:rsidP="00CC1D37">
      <w:pPr>
        <w:pStyle w:val="NormalWeb"/>
        <w:shd w:val="clear" w:color="auto" w:fill="FFFFFF"/>
        <w:spacing w:before="0" w:beforeAutospacing="0" w:after="0" w:afterAutospacing="0"/>
        <w:rPr>
          <w:noProof/>
        </w:rPr>
      </w:pPr>
      <w:r>
        <w:rPr>
          <w:b/>
          <w:noProof/>
        </w:rPr>
        <w:t xml:space="preserve">Word Count: </w:t>
      </w:r>
      <w:r>
        <w:rPr>
          <w:noProof/>
        </w:rPr>
        <w:t>530</w:t>
      </w: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A91B3F" w:rsidRPr="000A52E1" w:rsidRDefault="00A91B3F" w:rsidP="00CC1D37">
      <w:pPr>
        <w:pStyle w:val="NormalWeb"/>
        <w:shd w:val="clear" w:color="auto" w:fill="FFFFFF"/>
        <w:spacing w:before="0" w:beforeAutospacing="0" w:after="0" w:afterAutospacing="0"/>
        <w:rPr>
          <w:noProof/>
        </w:rPr>
      </w:pPr>
    </w:p>
    <w:p w:rsidR="00BE7710" w:rsidRPr="0083106E" w:rsidRDefault="00BE7710" w:rsidP="00CC1D37">
      <w:pPr>
        <w:pStyle w:val="NormalWeb"/>
        <w:shd w:val="clear" w:color="auto" w:fill="FFFFFF"/>
        <w:spacing w:before="0" w:beforeAutospacing="0" w:after="0" w:afterAutospacing="0"/>
        <w:rPr>
          <w:b/>
          <w:noProof/>
        </w:rPr>
      </w:pPr>
      <w:r w:rsidRPr="0083106E">
        <w:rPr>
          <w:b/>
          <w:noProof/>
        </w:rPr>
        <w:lastRenderedPageBreak/>
        <w:t>Background:</w:t>
      </w:r>
    </w:p>
    <w:p w:rsidR="00BE7710" w:rsidRPr="000A52E1" w:rsidRDefault="00BE7710" w:rsidP="00CC1D37">
      <w:pPr>
        <w:pStyle w:val="NormalWeb"/>
        <w:shd w:val="clear" w:color="auto" w:fill="FFFFFF"/>
        <w:spacing w:before="0" w:beforeAutospacing="0" w:after="0" w:afterAutospacing="0"/>
        <w:rPr>
          <w:noProof/>
        </w:rPr>
      </w:pPr>
    </w:p>
    <w:p w:rsidR="00BE7710" w:rsidRDefault="00483DEF" w:rsidP="00483DEF">
      <w:pPr>
        <w:pStyle w:val="NormalWeb"/>
        <w:spacing w:before="0" w:beforeAutospacing="0" w:after="160" w:afterAutospacing="0"/>
        <w:rPr>
          <w:color w:val="000000"/>
        </w:rPr>
      </w:pPr>
      <w:r w:rsidRPr="000A52E1">
        <w:rPr>
          <w:color w:val="000000"/>
        </w:rPr>
        <w:t>Substitution of generic drugs for brand-name equivalents is an important cost control measure within the US healthcare system. Failure to substitute generic for brand-name drugs results in an estimated $8.8 billion in excess drug spending yearly</w:t>
      </w:r>
      <w:r w:rsidR="00BB363F" w:rsidRPr="000A52E1">
        <w:rPr>
          <w:color w:val="000000"/>
        </w:rPr>
        <w:fldChar w:fldCharType="begin"/>
      </w:r>
      <w:r w:rsidR="000A52E1" w:rsidRPr="000A52E1">
        <w:rPr>
          <w:color w:val="000000"/>
        </w:rPr>
        <w:instrText xml:space="preserve"> ADDIN ZOTERO_ITEM CSL_CITATION {"citationID":"a11iddcfrb0","properties":{"formattedCitation":"{\\rtf \\super 1\\nosupersub{}}","plainCitation":"1"},"citationItems":[{"id":2,"uris":["http://zotero.org/users/local/uGTFjUzZ/items/4M4IT79W"],"uri":["http://zotero.org/users/local/uGTFjUzZ/items/4M4IT79W"],"itemData":{"id":2,"type":"article-journal","title":"Potential savings from substituting generic drugs for brand-name drugs: medical expenditure panel survey, 1997-2000","container-title":"Annals of Internal Medicine","page":"891-897","volume":"142","issue":"11","source":"PubMed","abstract":"BACKGROUND: Generic substitution is one mechanism of curtailing prescription drug expenditures. Limited information is available about the potential savings associated with generic substitution.\nOBJECTIVE: To estimate the potential savings associated with broad substitution of generic drugs.\nDESIGN: Cross-sectional, nationally representative survey of noninstitutionalized adults.\nSETTING: United States.\nPARTICIPANTS: Adults included in the Medical Expenditure Panel Survey Household Component, 1997-2000.\nMEASUREMENTS: Use of a multisource drug (that is, a drug available in a brand-name and &gt; or =1 generic formulation) or a generic drug and the potential cost savings associated with broad generic substitution for all multisource products.\nRESULTS: Fifty-six percent of all outpatient drugs were multisource products, accounting for 41% of total outpatient drug expenditures. Of these multisource drugs, 61% were dispensed as a generic. If a generic had been substituted for all corresponding brand-name outpatient drugs in 2000, the median annual savings in drug expenditures per person would have been 45.89 dollars (interquartile range, 10.35 dollars to 158.06) for adults younger than 65 years of age and 78.05 dollars (interquartile range, 19.94 dollars to 241.72 dollars) for adults at least 65 years of age. In these age groups, the national savings would have been 5.9 billion dollars (95% CI, 5.5 billion dollars to 6.2 billion dollars) and 2.9 billion dollars (CI, 2.6 billion dollars to 3.1 billion dollars), respectively, representing approximately 11% of drug expenditures.\nLIMITATIONS: Specific information about an individual's formulary was not available, so the authors could not estimate how much of the potential savings would benefit an individual or his or her health plan.\nCONCLUSION: Although broad substitution of generic drugs would affect only a modest percentage of drug expenditures, it could result in substantial absolute savings.","ISSN":"1539-3704","note":"PMID: 15941695","shortTitle":"Potential savings from substituting generic drugs for brand-name drugs","journalAbbreviation":"Ann. Intern. Med.","language":"eng","author":[{"family":"Haas","given":"Jennifer S."},{"family":"Phillips","given":"Kathryn A."},{"family":"Gerstenberger","given":"Eric P."},{"family":"Seger","given":"Andrew C."}],"issued":{"date-parts":[["2005",6,7]]}}}],"schema":"https://github.com/citation-style-language/schema/raw/master/csl-citation.json"} </w:instrText>
      </w:r>
      <w:r w:rsidR="00BB363F" w:rsidRPr="000A52E1">
        <w:rPr>
          <w:color w:val="000000"/>
        </w:rPr>
        <w:fldChar w:fldCharType="separate"/>
      </w:r>
      <w:r w:rsidR="000A52E1" w:rsidRPr="000A52E1">
        <w:rPr>
          <w:vertAlign w:val="superscript"/>
        </w:rPr>
        <w:t>1</w:t>
      </w:r>
      <w:r w:rsidR="00BB363F" w:rsidRPr="000A52E1">
        <w:rPr>
          <w:color w:val="000000"/>
        </w:rPr>
        <w:fldChar w:fldCharType="end"/>
      </w:r>
      <w:r w:rsidRPr="000A52E1">
        <w:rPr>
          <w:color w:val="000000"/>
        </w:rPr>
        <w:t xml:space="preserve">. The use of trade names for drugs in clinical practice raises awareness of these </w:t>
      </w:r>
      <w:r w:rsidR="00AC3CDF" w:rsidRPr="000A52E1">
        <w:rPr>
          <w:color w:val="000000"/>
        </w:rPr>
        <w:t>brand-</w:t>
      </w:r>
      <w:r w:rsidRPr="000A52E1">
        <w:rPr>
          <w:color w:val="000000"/>
        </w:rPr>
        <w:t>name</w:t>
      </w:r>
      <w:r w:rsidR="00AC3CDF" w:rsidRPr="000A52E1">
        <w:rPr>
          <w:color w:val="000000"/>
        </w:rPr>
        <w:t>s</w:t>
      </w:r>
      <w:r w:rsidRPr="000A52E1">
        <w:rPr>
          <w:color w:val="000000"/>
        </w:rPr>
        <w:t xml:space="preserve"> and has been </w:t>
      </w:r>
      <w:r w:rsidR="00331926">
        <w:rPr>
          <w:color w:val="000000"/>
        </w:rPr>
        <w:t>associated with</w:t>
      </w:r>
      <w:r w:rsidRPr="000A52E1">
        <w:rPr>
          <w:color w:val="000000"/>
        </w:rPr>
        <w:t xml:space="preserve"> their use</w:t>
      </w:r>
      <w:r w:rsidR="00BB363F" w:rsidRPr="000A52E1">
        <w:rPr>
          <w:color w:val="000000"/>
        </w:rPr>
        <w:fldChar w:fldCharType="begin"/>
      </w:r>
      <w:r w:rsidR="000A52E1" w:rsidRPr="000A52E1">
        <w:rPr>
          <w:color w:val="000000"/>
        </w:rPr>
        <w:instrText xml:space="preserve"> ADDIN ZOTERO_ITEM CSL_CITATION {"citationID":"a2e11dphg4h","properties":{"formattedCitation":"{\\rtf \\super 2\\nosupersub{}}","plainCitation":"2"},"citationItems":[{"id":4,"uris":["http://zotero.org/users/local/uGTFjUzZ/items/I425APRP"],"uri":["http://zotero.org/users/local/uGTFjUzZ/items/I425APRP"],"itemData":{"id":4,"type":"article-journal","title":"Exploring generic drug use behavior: the role of prescribers and pharmacists in the opportunity for generic drug use and generic substitution","container-title":"Medical Care","page":"662-674","volume":"40","issue":"8","source":"PubMed","abstract":"OBJECTIVES: The first objective of this study was to examine the prevalence of prescriptions that offer the opportunity for generic drug use (a prescription for a multisource drug product). The second objective was to examine the prevalence of generic drug use by examining the rate of generic drug prescribing for multisource drug products and the rate of generic substitution by pharmacists. The last objective was to examine the association of prescriber, pharmacist, insurance, patient, and drug variables with the prescribing of drugs allowing the opportunity for generic drug use and generic substitution.\nRESEARCH DESIGN: A database containing information for 6380 prescription orders was used for analysis.\nMEASURES: Random-effects logistic regression panel data estimation was used to examine the association of independent variables with whether a prescription allowed the opportunity for generic drug use and whether a prescription allowing generic drug use and written using the brand name was generically substituted.\nRESULTS: The opportunity for generic drug use existed for 63% of prescription orders. Prescriptions covered by private third party and indemnity insurance were 33% (97.5% CI, 0.56-0.80), and 21% (97.5% CI, 0.62-0.98), less likely, respectively, to allow the opportunity for generic drug use relative to uninsured prescriptions. Unobserved prescriber characteristics accounted for 23% (95% CI, 0.14-0.34) of the variance in the opportunity for generic drug use. Pharmacists generically substituted 83.8% of prescriptions that could be generically substituted. Prescriptions covered by Medicaid were 4.57 (97.5% CI, 2.83-7.39), 5.15 (97.5% CI, 3.25-8.13), and 4.85 (97.5% CI, 2.83-8.17) times more likely, respectively, to be generically substituted relative to uninsured, private third party and indemnity prescriptions. Unobserved characteristics of pharmacists accounted for 44% (95% CI, 0.33-0.55) of the variance in the occurrence of generic substitution.\nCONCLUSIONS: Pharmacists play a large and important role in generic drug use and efforts to increase generic drug use directed at pharmacists should be maintained. Additional efforts to increase generic drug use likely should be targeted at prescribers.","DOI":"10.1097/01.MLR.0000020926.85284.8E","ISSN":"0025-7079","note":"PMID: 12187180","shortTitle":"Exploring generic drug use behavior","journalAbbreviation":"Med Care","language":"eng","author":[{"family":"Mott","given":"David A."},{"family":"Cline","given":"Richard R."}],"issued":{"date-parts":[["2002",8]]}}}],"schema":"https://github.com/citation-style-language/schema/raw/master/csl-citation.json"} </w:instrText>
      </w:r>
      <w:r w:rsidR="00BB363F" w:rsidRPr="000A52E1">
        <w:rPr>
          <w:color w:val="000000"/>
        </w:rPr>
        <w:fldChar w:fldCharType="separate"/>
      </w:r>
      <w:r w:rsidR="000A52E1" w:rsidRPr="000A52E1">
        <w:rPr>
          <w:vertAlign w:val="superscript"/>
        </w:rPr>
        <w:t>2</w:t>
      </w:r>
      <w:r w:rsidR="00BB363F" w:rsidRPr="000A52E1">
        <w:rPr>
          <w:color w:val="000000"/>
        </w:rPr>
        <w:fldChar w:fldCharType="end"/>
      </w:r>
      <w:r w:rsidRPr="000A52E1">
        <w:rPr>
          <w:color w:val="000000"/>
        </w:rPr>
        <w:t>. As evidence of this bias has grown</w:t>
      </w:r>
      <w:r w:rsidR="00BB363F" w:rsidRPr="000A52E1">
        <w:rPr>
          <w:color w:val="000000"/>
        </w:rPr>
        <w:fldChar w:fldCharType="begin"/>
      </w:r>
      <w:r w:rsidR="000A52E1" w:rsidRPr="000A52E1">
        <w:rPr>
          <w:color w:val="000000"/>
        </w:rPr>
        <w:instrText xml:space="preserve"> ADDIN ZOTERO_ITEM CSL_CITATION {"citationID":"a2j4r8bid2h","properties":{"formattedCitation":"{\\rtf \\super 3,4\\nosupersub{}}","plainCitation":"3,4"},"citationItems":[{"id":6,"uris":["http://zotero.org/users/local/uGTFjUzZ/items/3QXGN2E5"],"uri":["http://zotero.org/users/local/uGTFjUzZ/items/3QXGN2E5"],"itemData":{"id":6,"type":"article-journal","title":"Medical students' exposure to and attitudes about drug company interactions: a national survey","container-title":"JAMA","page":"1034-1042","volume":"294","issue":"9","source":"PubMed","abstract":"CONTEXT: While exposure to and attitudes about drug company interactions among residents have been studied extensively, relatively little is known about relationships between drug companies and medical students.\nOBJECTIVE: To measure third-year medical students' exposure to and attitudes about drug company interactions.\nDESIGN, SETTING, AND PARTICIPANTS: In 2003, we distributed a 64-item anonymous survey to 1143 third-year students at 8 US medical schools, exploring their exposure and response to drug company interactions. The schools' characteristics included a wide spectrum of ownership types, National Institutes of Health funding, and geographic locations. In 2005, we conducted a national survey of student affairs deans to measure the prevalence of school-wide policies on drug company-medical student interactions.\nMAIN OUTCOME MEASURES: Monthly frequency of students' exposure to various activities and gifts during clerkships, and attitudes about receiving gifts.\nRESULTS: Overall response rate was 826/1143 (72.3%), with range among schools of 30.9%-90.7%. Mean exposure for each student was 1 gift or sponsored activity per week. Of respondents, 762/818 (93.2%) were asked or required by a physician to attend at least 1 sponsored lunch. Regarding attitudes, 556/808 (68.8%) believed gifts would not influence their practices and 464/804 (57.7%) believed gifts would not affect colleagues' practices. Of the students, 553/604 (80.3%) believed that they were entitled to gifts. Of 183 students who thought a gift valued at less than $50 was inappropriate, 158 (86.3%) had accepted one. The number of students who simultaneously believed that sponsored grand rounds are educationally helpful and are likely to be biased was 452/758 (59.6%). Students at 1 school who had attended a seminar about drug company-physician relationships were no more likely than the nonattending classmates to show skepticism. Of the respondents, 704/822 (85.6%) did not know if their school had a policy on these relationships. In a national survey of student affairs deans, among the 99 who knew their policy status, only 10 (10.1%) reported having school-wide policies about these interactions.\nCONCLUSIONS: Student experiences and attitudes suggest that as a group they are at risk for unrecognized influence by marketing efforts. Research should focus on evaluating methods to limit these experiences and affect the development of students' attitudes to ensure that physicians' decisions are based solely on helping each patient achieve the greatest possible benefit.","DOI":"10.1001/jama.294.9.1034","ISSN":"1538-3598","note":"PMID: 16145023","shortTitle":"Medical students' exposure to and attitudes about drug company interactions","journalAbbreviation":"JAMA","language":"eng","author":[{"family":"Sierles","given":"Frederick S."},{"family":"Brodkey","given":"Amy C."},{"family":"Cleary","given":"Lynn M."},{"family":"McCurdy","given":"Frederick A."},{"family":"Mintz","given":"Matthew"},{"family":"Frank","given":"Julia"},{"family":"Lynn","given":"D. Joanne"},{"family":"Chao","given":"Jason"},{"family":"Morgenstern","given":"Bruce Z."},{"family":"Shore","given":"William"},{"family":"Woodard","given":"John L."}],"issued":{"date-parts":[["2005",9,7]]}}},{"id":8,"uris":["http://zotero.org/users/local/uGTFjUzZ/items/KJVI5DBH"],"uri":["http://zotero.org/users/local/uGTFjUzZ/items/KJVI5DBH"],"itemData":{"id":8,"type":"article-journal","title":"Association of marketing interactions with medical trainees' knowledge about evidence-based prescribing: results from a national survey","container-title":"JAMA internal medicine","page":"1283-1290","volume":"174","issue":"8","source":"PubMed","abstract":"IMPORTANCE: In recent years, numerous US medical schools and academic medical centers have enacted policies preventing pharmaceutical sales representatives from interacting directly with students. Little is known about how pharmaceutical sales representatives affect trainees' knowledge about pharmaceutical prescribing.\nOBJECTIVE: To determine whether there is an association between medical trainees' interactions with pharmaceutical promotion and their preferences in medication use.\nDESIGN, SETTING, AND PARTICIPANTS: We surveyed a nationally representative sample of first- and fourth-year medical students and third-year residents by randomly selecting at least 14 trainees at each level per school.\nEXPOSURES: All trainees were asked how often they used different educational resources to learn about prescription drugs. Among fourth-year students and residents, we posed a series of multiple choice knowledge questions asking about the appropriate initial therapy for clinical scenarios involving patients with diabetes, hyperlipidemia, hypertension, and difficulty sleeping.\nMAIN OUTCOMES AND MEASURES: Evidence-based answers followed widely used clinical guidelines, while marketed-drug answers favored brand-name drugs over generic alternatives. We used survey answers to build an industry relations index assessing each trainee's level of acceptance of pharmaceutical promotion; we used proportional odds logistic regression models to estimate the association between the index and responses to the knowledge questions.\nRESULTS: The 1601 student (49.0% response rate) and 735 resident (42.9% response rate) respondents reported common use of unfiltered sources of drug information such as Google (74.2%-88.9%) and Wikipedia (45.2%-84.5%). We found that 48% to 90% of fourth-year students and residents accurately identified evidence-based prescribing choices. A 10-point higher industry relations index was associated with 15% lower odds of selecting an evidence-based prescribing choice (odds ratio [OR], 0.85; 95% CI, 0.79-0.92) (P &lt; .001). There was also a significant association between the industry relations index and greater odds of choosing to prescribe brand-name drugs (OR, 1.08; 95% CI, 1.00-1.16) (P = .04).\nCONCLUSIONS AND RELEVANCE: Among physician trainees, our survey showed an association between positive attitudes toward industry-physician interactions and less knowledge about evidence-based prescribing and greater inclination to recommend brand-name drugs. Policies intended to insulate trainees from pharmaceutical marketing may promote better educational outcomes.","DOI":"10.1001/jamainternmed.2014.2202","ISSN":"2168-6114","note":"PMID: 24911123","shortTitle":"Association of marketing interactions with medical trainees' knowledge about evidence-based prescribing","journalAbbreviation":"JAMA Intern Med","language":"eng","author":[{"family":"Austad","given":"Kirsten E."},{"family":"Avorn","given":"Jerry"},{"family":"Franklin","given":"Jessica M."},{"family":"Campbell","given":"Eric G."},{"family":"Kesselheim","given":"Aaron S."}],"issued":{"date-parts":[["2014",8]]}}}],"schema":"https://github.com/citation-style-language/schema/raw/master/csl-citation.json"} </w:instrText>
      </w:r>
      <w:r w:rsidR="00BB363F" w:rsidRPr="000A52E1">
        <w:rPr>
          <w:color w:val="000000"/>
        </w:rPr>
        <w:fldChar w:fldCharType="separate"/>
      </w:r>
      <w:r w:rsidR="000A52E1" w:rsidRPr="000A52E1">
        <w:rPr>
          <w:vertAlign w:val="superscript"/>
        </w:rPr>
        <w:t>3,4</w:t>
      </w:r>
      <w:r w:rsidR="00BB363F" w:rsidRPr="000A52E1">
        <w:rPr>
          <w:color w:val="000000"/>
        </w:rPr>
        <w:fldChar w:fldCharType="end"/>
      </w:r>
      <w:r w:rsidRPr="000A52E1">
        <w:rPr>
          <w:color w:val="000000"/>
        </w:rPr>
        <w:t>, American medical schools have made a concerted attempt in recent years to teach only generic medication names and discourage the use of trade names</w:t>
      </w:r>
      <w:r w:rsidR="00BB363F" w:rsidRPr="000A52E1">
        <w:rPr>
          <w:color w:val="000000"/>
        </w:rPr>
        <w:fldChar w:fldCharType="begin"/>
      </w:r>
      <w:r w:rsidR="000A52E1" w:rsidRPr="000A52E1">
        <w:rPr>
          <w:color w:val="000000"/>
        </w:rPr>
        <w:instrText xml:space="preserve"> ADDIN ZOTERO_ITEM CSL_CITATION {"citationID":"a1a4sr1bqvn","properties":{"formattedCitation":"{\\rtf \\super 5\\nosupersub{}}","plainCitation":"5"},"citationItems":[{"id":10,"uris":["http://zotero.org/users/local/uGTFjUzZ/items/9U4J5EJL"],"uri":["http://zotero.org/users/local/uGTFjUzZ/items/9U4J5EJL"],"itemData":{"id":10,"type":"article-journal","title":"Teaching Wisely","container-title":"Journal of Graduate Medical Education","page":"587-588","volume":"6","issue":"3","source":"jgme.org (Atypon)","DOI":"10.4300/JGME-D-14-00335.1","ISSN":"1949-8349","journalAbbreviation":"Journal of Graduate Medical Education","author":[{"family":"Obley","given":"Adam J."},{"family":"Iossi","given":"Katherine A."},{"family":"Humphrey","given":"Linda L."}],"issued":{"date-parts":[["2014",9,1]]}}}],"schema":"https://github.com/citation-style-language/schema/raw/master/csl-citation.json"} </w:instrText>
      </w:r>
      <w:r w:rsidR="00BB363F" w:rsidRPr="000A52E1">
        <w:rPr>
          <w:color w:val="000000"/>
        </w:rPr>
        <w:fldChar w:fldCharType="separate"/>
      </w:r>
      <w:r w:rsidR="000A52E1" w:rsidRPr="000A52E1">
        <w:rPr>
          <w:vertAlign w:val="superscript"/>
        </w:rPr>
        <w:t>5</w:t>
      </w:r>
      <w:r w:rsidR="00BB363F" w:rsidRPr="000A52E1">
        <w:rPr>
          <w:color w:val="000000"/>
        </w:rPr>
        <w:fldChar w:fldCharType="end"/>
      </w:r>
      <w:r w:rsidRPr="000A52E1">
        <w:rPr>
          <w:color w:val="000000"/>
        </w:rPr>
        <w:t>. Despite these efforts, usage of trade names p</w:t>
      </w:r>
      <w:r w:rsidR="000A52E1" w:rsidRPr="000A52E1">
        <w:rPr>
          <w:color w:val="000000"/>
        </w:rPr>
        <w:t>ersists in the clinical setting</w:t>
      </w:r>
      <w:r w:rsidRPr="000A52E1">
        <w:rPr>
          <w:color w:val="000000"/>
        </w:rPr>
        <w:t>. We speculate that this practice is propagated by many influences in a multi-disciplinary team, including ph</w:t>
      </w:r>
      <w:r w:rsidR="00BE7710">
        <w:rPr>
          <w:color w:val="000000"/>
        </w:rPr>
        <w:t xml:space="preserve">armacists and nursing staff. </w:t>
      </w:r>
    </w:p>
    <w:p w:rsidR="0083106E" w:rsidRPr="0083106E" w:rsidRDefault="00BE7710" w:rsidP="00483DEF">
      <w:pPr>
        <w:pStyle w:val="NormalWeb"/>
        <w:spacing w:before="0" w:beforeAutospacing="0" w:after="160" w:afterAutospacing="0"/>
        <w:rPr>
          <w:b/>
          <w:color w:val="000000"/>
        </w:rPr>
      </w:pPr>
      <w:r w:rsidRPr="0083106E">
        <w:rPr>
          <w:b/>
          <w:color w:val="000000"/>
        </w:rPr>
        <w:t>Objective:</w:t>
      </w:r>
    </w:p>
    <w:p w:rsidR="00483DEF" w:rsidRPr="0083106E" w:rsidRDefault="00BE7710" w:rsidP="00483DEF">
      <w:pPr>
        <w:pStyle w:val="NormalWeb"/>
        <w:spacing w:before="0" w:beforeAutospacing="0" w:after="160" w:afterAutospacing="0"/>
        <w:rPr>
          <w:b/>
          <w:color w:val="000000"/>
        </w:rPr>
      </w:pPr>
      <w:r>
        <w:rPr>
          <w:color w:val="000000"/>
        </w:rPr>
        <w:t>We</w:t>
      </w:r>
      <w:r w:rsidR="00483DEF" w:rsidRPr="000A52E1">
        <w:rPr>
          <w:color w:val="000000"/>
        </w:rPr>
        <w:t xml:space="preserve"> sought to better characterize the relative use of trade and generic drug names in the inpatient setting.</w:t>
      </w:r>
    </w:p>
    <w:p w:rsidR="00483DEF" w:rsidRPr="0083106E" w:rsidRDefault="00483DEF" w:rsidP="00483DEF">
      <w:pPr>
        <w:pStyle w:val="NormalWeb"/>
        <w:spacing w:before="0" w:beforeAutospacing="0" w:after="160" w:afterAutospacing="0"/>
        <w:rPr>
          <w:b/>
        </w:rPr>
      </w:pPr>
      <w:r w:rsidRPr="0083106E">
        <w:rPr>
          <w:b/>
          <w:color w:val="000000"/>
        </w:rPr>
        <w:t>Methods</w:t>
      </w:r>
      <w:r w:rsidR="00BE7710" w:rsidRPr="0083106E">
        <w:rPr>
          <w:b/>
          <w:color w:val="000000"/>
        </w:rPr>
        <w:t xml:space="preserve"> and Findings</w:t>
      </w:r>
      <w:r w:rsidRPr="0083106E">
        <w:rPr>
          <w:b/>
          <w:color w:val="000000"/>
        </w:rPr>
        <w:t>:</w:t>
      </w:r>
    </w:p>
    <w:p w:rsidR="00483DEF" w:rsidRPr="000A52E1" w:rsidRDefault="00AC3CDF" w:rsidP="00483DEF">
      <w:pPr>
        <w:pStyle w:val="NormalWeb"/>
        <w:spacing w:before="0" w:beforeAutospacing="0" w:after="200" w:afterAutospacing="0"/>
      </w:pPr>
      <w:r w:rsidRPr="000A52E1">
        <w:rPr>
          <w:color w:val="000000"/>
        </w:rPr>
        <w:t>W</w:t>
      </w:r>
      <w:r w:rsidR="00483DEF" w:rsidRPr="000A52E1">
        <w:rPr>
          <w:color w:val="000000"/>
        </w:rPr>
        <w:t xml:space="preserve">e analyzed 1,048,576 text pages to internal medicine housestaff between June 1, 2013 and April 24, 2017 at a large academic university hospital. Mentions of medications by both generic and brand names were identified and tallied. When explicitly mentioned in the body of the text page, the occupation of the sender was established. </w:t>
      </w:r>
      <w:r w:rsidRPr="000A52E1">
        <w:rPr>
          <w:color w:val="000000"/>
        </w:rPr>
        <w:t>Multivariate analysis was per</w:t>
      </w:r>
      <w:r w:rsidR="00650A5D" w:rsidRPr="000A52E1">
        <w:rPr>
          <w:color w:val="000000"/>
        </w:rPr>
        <w:t>formed on the sender occupation, number of syllables, consonants, and vowels in both the generic and trade</w:t>
      </w:r>
      <w:r w:rsidRPr="000A52E1">
        <w:rPr>
          <w:color w:val="000000"/>
        </w:rPr>
        <w:t xml:space="preserve"> name</w:t>
      </w:r>
      <w:r w:rsidR="00650A5D" w:rsidRPr="000A52E1">
        <w:rPr>
          <w:color w:val="000000"/>
        </w:rPr>
        <w:t>s</w:t>
      </w:r>
      <w:r w:rsidRPr="000A52E1">
        <w:rPr>
          <w:color w:val="000000"/>
        </w:rPr>
        <w:t xml:space="preserve">. </w:t>
      </w:r>
      <w:r w:rsidR="000A52E1">
        <w:rPr>
          <w:color w:val="000000"/>
        </w:rPr>
        <w:t xml:space="preserve">Text pages were algorithmically processed using Python and statistical tests were performed in R. </w:t>
      </w:r>
      <w:r w:rsidRPr="000A52E1">
        <w:rPr>
          <w:color w:val="000000"/>
        </w:rPr>
        <w:t>This study was approved by the Stanford University IRB.</w:t>
      </w:r>
    </w:p>
    <w:p w:rsidR="00483DEF" w:rsidRPr="000A52E1" w:rsidRDefault="00483DEF" w:rsidP="00CC1D37">
      <w:pPr>
        <w:pStyle w:val="NormalWeb"/>
        <w:spacing w:before="0" w:beforeAutospacing="0" w:after="160" w:afterAutospacing="0"/>
        <w:rPr>
          <w:color w:val="000000"/>
        </w:rPr>
      </w:pPr>
      <w:r w:rsidRPr="000A52E1">
        <w:rPr>
          <w:color w:val="000000"/>
        </w:rPr>
        <w:t>We identified 102,243 pages regarding medications, of which 34,489</w:t>
      </w:r>
      <w:r w:rsidR="00650A5D" w:rsidRPr="000A52E1">
        <w:rPr>
          <w:color w:val="000000"/>
        </w:rPr>
        <w:t xml:space="preserve"> (33.7%)</w:t>
      </w:r>
      <w:r w:rsidRPr="000A52E1">
        <w:rPr>
          <w:color w:val="000000"/>
        </w:rPr>
        <w:t xml:space="preserve"> pages were from nurses and 20,446</w:t>
      </w:r>
      <w:r w:rsidR="00650A5D" w:rsidRPr="000A52E1">
        <w:rPr>
          <w:color w:val="000000"/>
        </w:rPr>
        <w:t xml:space="preserve"> (20.0%)</w:t>
      </w:r>
      <w:r w:rsidRPr="000A52E1">
        <w:rPr>
          <w:color w:val="000000"/>
        </w:rPr>
        <w:t xml:space="preserve"> pages </w:t>
      </w:r>
      <w:r w:rsidR="00650A5D" w:rsidRPr="000A52E1">
        <w:rPr>
          <w:color w:val="000000"/>
        </w:rPr>
        <w:t>were</w:t>
      </w:r>
      <w:r w:rsidRPr="000A52E1">
        <w:rPr>
          <w:color w:val="000000"/>
        </w:rPr>
        <w:t xml:space="preserve"> from pharmacists. Sixty-two medications were mentioned more than 240 times</w:t>
      </w:r>
      <w:r w:rsidR="00BE4FFA">
        <w:rPr>
          <w:color w:val="000000"/>
        </w:rPr>
        <w:t xml:space="preserve">. </w:t>
      </w:r>
      <w:r w:rsidRPr="000A52E1">
        <w:rPr>
          <w:color w:val="000000"/>
        </w:rPr>
        <w:t xml:space="preserve">The most common classes of medications were analgesics (12.9%), antibiotics (12.9%), and anticoagulants (11.3%). There was significant variation in the preferential use of brand names vs. generic names (Figure 1). Nurses were more likely to use </w:t>
      </w:r>
      <w:r w:rsidR="00CC1D37" w:rsidRPr="000A52E1">
        <w:rPr>
          <w:color w:val="000000"/>
        </w:rPr>
        <w:t>trade</w:t>
      </w:r>
      <w:r w:rsidR="00AC3CDF" w:rsidRPr="000A52E1">
        <w:rPr>
          <w:color w:val="000000"/>
        </w:rPr>
        <w:t xml:space="preserve"> nam</w:t>
      </w:r>
      <w:r w:rsidR="00446B0C">
        <w:rPr>
          <w:color w:val="000000"/>
        </w:rPr>
        <w:t>es than pharmacists (p &lt;</w:t>
      </w:r>
      <w:r w:rsidR="00AC3CDF" w:rsidRPr="000A52E1">
        <w:rPr>
          <w:color w:val="000000"/>
        </w:rPr>
        <w:t xml:space="preserve"> 0.001</w:t>
      </w:r>
      <w:r w:rsidRPr="000A52E1">
        <w:rPr>
          <w:color w:val="000000"/>
        </w:rPr>
        <w:t>)</w:t>
      </w:r>
      <w:r w:rsidR="00CC1D37" w:rsidRPr="000A52E1">
        <w:rPr>
          <w:color w:val="000000"/>
        </w:rPr>
        <w:t>. A greater number of syllables in</w:t>
      </w:r>
      <w:r w:rsidR="00AC3CDF" w:rsidRPr="000A52E1">
        <w:rPr>
          <w:color w:val="000000"/>
        </w:rPr>
        <w:t xml:space="preserve"> generic name </w:t>
      </w:r>
      <w:r w:rsidR="00CC1D37" w:rsidRPr="000A52E1">
        <w:rPr>
          <w:color w:val="000000"/>
        </w:rPr>
        <w:t>compared to</w:t>
      </w:r>
      <w:r w:rsidR="00AC3CDF" w:rsidRPr="000A52E1">
        <w:rPr>
          <w:color w:val="000000"/>
        </w:rPr>
        <w:t xml:space="preserve"> the trade name</w:t>
      </w:r>
      <w:r w:rsidR="00CC1D37" w:rsidRPr="000A52E1">
        <w:rPr>
          <w:color w:val="000000"/>
        </w:rPr>
        <w:t xml:space="preserve"> was also correlated wi</w:t>
      </w:r>
      <w:r w:rsidR="00D74D50">
        <w:rPr>
          <w:color w:val="000000"/>
        </w:rPr>
        <w:t>th trade name usage (p = 0.004)</w:t>
      </w:r>
      <w:r w:rsidR="00AC3CDF" w:rsidRPr="000A52E1">
        <w:rPr>
          <w:color w:val="000000"/>
        </w:rPr>
        <w:t>.</w:t>
      </w:r>
    </w:p>
    <w:p w:rsidR="00483DEF" w:rsidRPr="0083106E" w:rsidRDefault="00BE7710" w:rsidP="00483DEF">
      <w:pPr>
        <w:pStyle w:val="NormalWeb"/>
        <w:spacing w:before="0" w:beforeAutospacing="0" w:after="160" w:afterAutospacing="0"/>
        <w:rPr>
          <w:b/>
        </w:rPr>
      </w:pPr>
      <w:r w:rsidRPr="0083106E">
        <w:rPr>
          <w:b/>
          <w:color w:val="000000"/>
        </w:rPr>
        <w:t>Discussion</w:t>
      </w:r>
      <w:r w:rsidR="00483DEF" w:rsidRPr="0083106E">
        <w:rPr>
          <w:b/>
          <w:color w:val="000000"/>
        </w:rPr>
        <w:t>:</w:t>
      </w:r>
    </w:p>
    <w:p w:rsidR="009321C3" w:rsidRDefault="00D74D50" w:rsidP="00483DEF">
      <w:pPr>
        <w:pStyle w:val="NormalWeb"/>
        <w:spacing w:before="0" w:beforeAutospacing="0" w:after="160" w:afterAutospacing="0"/>
        <w:rPr>
          <w:color w:val="000000"/>
        </w:rPr>
      </w:pPr>
      <w:r>
        <w:rPr>
          <w:color w:val="000000"/>
        </w:rPr>
        <w:t>T</w:t>
      </w:r>
      <w:r w:rsidR="0086756A">
        <w:rPr>
          <w:color w:val="000000"/>
        </w:rPr>
        <w:t xml:space="preserve">ext paging </w:t>
      </w:r>
      <w:r w:rsidR="001E4FE9">
        <w:rPr>
          <w:color w:val="000000"/>
        </w:rPr>
        <w:t>behaviors</w:t>
      </w:r>
      <w:r w:rsidR="00664692">
        <w:rPr>
          <w:color w:val="000000"/>
        </w:rPr>
        <w:t xml:space="preserve"> </w:t>
      </w:r>
      <w:r>
        <w:rPr>
          <w:color w:val="000000"/>
        </w:rPr>
        <w:t xml:space="preserve">provide a reflection of </w:t>
      </w:r>
      <w:r w:rsidR="001E4FE9">
        <w:rPr>
          <w:color w:val="000000"/>
        </w:rPr>
        <w:t>real-world provider-to-provider communication</w:t>
      </w:r>
      <w:r>
        <w:rPr>
          <w:color w:val="000000"/>
        </w:rPr>
        <w:t xml:space="preserve"> outside of formal documentation</w:t>
      </w:r>
      <w:r w:rsidR="001E4FE9">
        <w:rPr>
          <w:color w:val="000000"/>
        </w:rPr>
        <w:t xml:space="preserve">. </w:t>
      </w:r>
      <w:r w:rsidR="00664692">
        <w:rPr>
          <w:color w:val="000000"/>
        </w:rPr>
        <w:t xml:space="preserve">. By applying a high-throughput method of </w:t>
      </w:r>
      <w:r w:rsidR="00664692" w:rsidRPr="000A52E1">
        <w:rPr>
          <w:color w:val="000000"/>
        </w:rPr>
        <w:t xml:space="preserve">assessing medication naming sentiment, we show that there is significant variability in preference of brand name versus generic name usage for common drugs in the inpatient setting. </w:t>
      </w:r>
      <w:r w:rsidR="00483DEF" w:rsidRPr="000A52E1">
        <w:rPr>
          <w:color w:val="000000"/>
        </w:rPr>
        <w:t>Implicit in this result is that for certain drugs, the use of the brand name overwhelmingl</w:t>
      </w:r>
      <w:r w:rsidR="009321C3">
        <w:rPr>
          <w:color w:val="000000"/>
        </w:rPr>
        <w:t xml:space="preserve">y outweighs generic name usage—in </w:t>
      </w:r>
      <w:r w:rsidR="00483DEF" w:rsidRPr="000A52E1">
        <w:rPr>
          <w:color w:val="000000"/>
        </w:rPr>
        <w:t>some cases, by nearl</w:t>
      </w:r>
      <w:r w:rsidR="008C1640">
        <w:rPr>
          <w:color w:val="000000"/>
        </w:rPr>
        <w:t xml:space="preserve">y 100 to 1. </w:t>
      </w:r>
      <w:r w:rsidR="007D0031">
        <w:rPr>
          <w:color w:val="000000"/>
        </w:rPr>
        <w:t>These</w:t>
      </w:r>
      <w:r w:rsidR="008C1640">
        <w:rPr>
          <w:color w:val="000000"/>
        </w:rPr>
        <w:t xml:space="preserve"> observations</w:t>
      </w:r>
      <w:r w:rsidR="007D0031">
        <w:rPr>
          <w:color w:val="000000"/>
        </w:rPr>
        <w:t xml:space="preserve"> suggest</w:t>
      </w:r>
      <w:r w:rsidR="008C1640">
        <w:rPr>
          <w:color w:val="000000"/>
        </w:rPr>
        <w:t xml:space="preserve"> that the propagation of </w:t>
      </w:r>
      <w:r w:rsidR="00483DEF" w:rsidRPr="000A52E1">
        <w:rPr>
          <w:color w:val="000000"/>
        </w:rPr>
        <w:t>brand names in academic medical centers come</w:t>
      </w:r>
      <w:r w:rsidR="007D0031">
        <w:rPr>
          <w:color w:val="000000"/>
        </w:rPr>
        <w:t>s</w:t>
      </w:r>
      <w:r w:rsidR="00483DEF" w:rsidRPr="000A52E1">
        <w:rPr>
          <w:color w:val="000000"/>
        </w:rPr>
        <w:t xml:space="preserve"> from many avenues, including from other members of the multidisciplinary treatment team. </w:t>
      </w:r>
      <w:r w:rsidR="008C1640">
        <w:rPr>
          <w:color w:val="000000"/>
        </w:rPr>
        <w:t xml:space="preserve">There </w:t>
      </w:r>
      <w:r w:rsidR="007D0031">
        <w:rPr>
          <w:color w:val="000000"/>
        </w:rPr>
        <w:t xml:space="preserve">therefore </w:t>
      </w:r>
      <w:r w:rsidR="008C1640">
        <w:rPr>
          <w:color w:val="000000"/>
        </w:rPr>
        <w:t>appear</w:t>
      </w:r>
      <w:r w:rsidR="00FE6135" w:rsidRPr="000A52E1">
        <w:rPr>
          <w:color w:val="000000"/>
        </w:rPr>
        <w:t xml:space="preserve"> to be variable community standards for medication name usage across different medical professions. We also found a preference for medication names with fewer syllables, although this effect </w:t>
      </w:r>
      <w:r w:rsidR="009321C3">
        <w:rPr>
          <w:color w:val="000000"/>
        </w:rPr>
        <w:t>may</w:t>
      </w:r>
      <w:r w:rsidR="00FE6135" w:rsidRPr="000A52E1">
        <w:rPr>
          <w:color w:val="000000"/>
        </w:rPr>
        <w:t xml:space="preserve"> be confounded by the space-limited </w:t>
      </w:r>
      <w:r w:rsidR="00A91B3F" w:rsidRPr="000A52E1">
        <w:rPr>
          <w:color w:val="000000"/>
        </w:rPr>
        <w:t xml:space="preserve">context of text pages. </w:t>
      </w:r>
    </w:p>
    <w:p w:rsidR="00483DEF" w:rsidRPr="008C1640" w:rsidRDefault="007D0031" w:rsidP="00483DEF">
      <w:pPr>
        <w:pStyle w:val="NormalWeb"/>
        <w:spacing w:before="0" w:beforeAutospacing="0" w:after="160" w:afterAutospacing="0"/>
        <w:rPr>
          <w:color w:val="000000"/>
        </w:rPr>
      </w:pPr>
      <w:r>
        <w:rPr>
          <w:color w:val="000000"/>
        </w:rPr>
        <w:lastRenderedPageBreak/>
        <w:t xml:space="preserve">While our analysis is limited to one institution, it draws on the depth of over one million text pages. </w:t>
      </w:r>
      <w:r w:rsidR="00664692">
        <w:rPr>
          <w:color w:val="000000"/>
        </w:rPr>
        <w:t>As</w:t>
      </w:r>
      <w:r w:rsidR="00483DEF" w:rsidRPr="000A52E1">
        <w:rPr>
          <w:color w:val="000000"/>
        </w:rPr>
        <w:t xml:space="preserve"> the medical field continues to value the usage of generic drug names and the economic impact of this usage, we collectively have a long way to go</w:t>
      </w:r>
      <w:r w:rsidR="008C1640">
        <w:rPr>
          <w:color w:val="000000"/>
        </w:rPr>
        <w:t xml:space="preserve"> toward</w:t>
      </w:r>
      <w:r w:rsidR="000A52E1">
        <w:rPr>
          <w:color w:val="000000"/>
        </w:rPr>
        <w:t xml:space="preserve"> minimizing the use of pharmaceutical trade names</w:t>
      </w:r>
      <w:r w:rsidR="00483DEF" w:rsidRPr="000A52E1">
        <w:rPr>
          <w:color w:val="000000"/>
        </w:rPr>
        <w:t>.</w:t>
      </w:r>
    </w:p>
    <w:p w:rsidR="00483DEF" w:rsidRPr="000A52E1" w:rsidRDefault="00483DEF" w:rsidP="00483DEF">
      <w:pPr>
        <w:spacing w:after="240"/>
        <w:rPr>
          <w:rFonts w:ascii="Times New Roman" w:hAnsi="Times New Roman" w:cs="Times New Roman"/>
          <w:sz w:val="24"/>
          <w:szCs w:val="24"/>
        </w:rPr>
      </w:pPr>
    </w:p>
    <w:p w:rsidR="00483DEF" w:rsidRPr="002B4379" w:rsidRDefault="00483DEF" w:rsidP="00483DEF">
      <w:pPr>
        <w:spacing w:after="240"/>
        <w:rPr>
          <w:rFonts w:ascii="Times New Roman" w:hAnsi="Times New Roman" w:cs="Times New Roman"/>
          <w:b/>
          <w:sz w:val="24"/>
          <w:szCs w:val="24"/>
        </w:rPr>
      </w:pPr>
    </w:p>
    <w:p w:rsidR="007F2649" w:rsidRPr="002B4379" w:rsidRDefault="0045605F" w:rsidP="000A52E1">
      <w:pPr>
        <w:pStyle w:val="NormalWeb"/>
        <w:spacing w:before="0" w:beforeAutospacing="0" w:after="160" w:afterAutospacing="0"/>
        <w:rPr>
          <w:b/>
          <w:color w:val="000000"/>
        </w:rPr>
      </w:pPr>
      <w:r w:rsidRPr="002B4379">
        <w:rPr>
          <w:b/>
          <w:color w:val="000000"/>
        </w:rPr>
        <w:t>References</w:t>
      </w:r>
    </w:p>
    <w:p w:rsidR="000A52E1" w:rsidRPr="000A52E1" w:rsidRDefault="00BB363F" w:rsidP="000A52E1">
      <w:pPr>
        <w:pStyle w:val="Bibliography"/>
        <w:rPr>
          <w:rFonts w:ascii="Times New Roman" w:hAnsi="Times New Roman" w:cs="Times New Roman"/>
          <w:sz w:val="24"/>
          <w:szCs w:val="24"/>
        </w:rPr>
      </w:pPr>
      <w:r w:rsidRPr="000A52E1">
        <w:rPr>
          <w:rFonts w:ascii="Times New Roman" w:hAnsi="Times New Roman" w:cs="Times New Roman"/>
          <w:sz w:val="24"/>
          <w:szCs w:val="24"/>
        </w:rPr>
        <w:fldChar w:fldCharType="begin"/>
      </w:r>
      <w:r w:rsidR="000A52E1" w:rsidRPr="000A52E1">
        <w:rPr>
          <w:rFonts w:ascii="Times New Roman" w:hAnsi="Times New Roman" w:cs="Times New Roman"/>
          <w:sz w:val="24"/>
          <w:szCs w:val="24"/>
        </w:rPr>
        <w:instrText xml:space="preserve"> ADDIN ZOTERO_BIBL {"custom":[]} CSL_BIBLIOGRAPHY </w:instrText>
      </w:r>
      <w:r w:rsidRPr="000A52E1">
        <w:rPr>
          <w:rFonts w:ascii="Times New Roman" w:hAnsi="Times New Roman" w:cs="Times New Roman"/>
          <w:sz w:val="24"/>
          <w:szCs w:val="24"/>
        </w:rPr>
        <w:fldChar w:fldCharType="separate"/>
      </w:r>
      <w:r w:rsidR="000A52E1" w:rsidRPr="000A52E1">
        <w:rPr>
          <w:rFonts w:ascii="Times New Roman" w:hAnsi="Times New Roman" w:cs="Times New Roman"/>
          <w:sz w:val="24"/>
          <w:szCs w:val="24"/>
        </w:rPr>
        <w:t xml:space="preserve">1. </w:t>
      </w:r>
      <w:r w:rsidR="000A52E1" w:rsidRPr="000A52E1">
        <w:rPr>
          <w:rFonts w:ascii="Times New Roman" w:hAnsi="Times New Roman" w:cs="Times New Roman"/>
          <w:sz w:val="24"/>
          <w:szCs w:val="24"/>
        </w:rPr>
        <w:tab/>
        <w:t xml:space="preserve">Haas JS, Phillips KA, Gerstenberger EP, Seger AC. Potential savings from substituting generic drugs for brand-name drugs: medical expenditure panel survey, 1997-2000. </w:t>
      </w:r>
      <w:r w:rsidR="000A52E1" w:rsidRPr="000A52E1">
        <w:rPr>
          <w:rFonts w:ascii="Times New Roman" w:hAnsi="Times New Roman" w:cs="Times New Roman"/>
          <w:i/>
          <w:iCs/>
          <w:sz w:val="24"/>
          <w:szCs w:val="24"/>
        </w:rPr>
        <w:t>Ann Intern Med</w:t>
      </w:r>
      <w:r w:rsidR="000A52E1" w:rsidRPr="000A52E1">
        <w:rPr>
          <w:rFonts w:ascii="Times New Roman" w:hAnsi="Times New Roman" w:cs="Times New Roman"/>
          <w:sz w:val="24"/>
          <w:szCs w:val="24"/>
        </w:rPr>
        <w:t>. 2005;142(11):891-897.</w:t>
      </w:r>
    </w:p>
    <w:p w:rsidR="000A52E1" w:rsidRPr="000A52E1" w:rsidRDefault="000A52E1" w:rsidP="000A52E1">
      <w:pPr>
        <w:pStyle w:val="Bibliography"/>
        <w:rPr>
          <w:rFonts w:ascii="Times New Roman" w:hAnsi="Times New Roman" w:cs="Times New Roman"/>
          <w:sz w:val="24"/>
          <w:szCs w:val="24"/>
        </w:rPr>
      </w:pPr>
      <w:r w:rsidRPr="000A52E1">
        <w:rPr>
          <w:rFonts w:ascii="Times New Roman" w:hAnsi="Times New Roman" w:cs="Times New Roman"/>
          <w:sz w:val="24"/>
          <w:szCs w:val="24"/>
        </w:rPr>
        <w:t xml:space="preserve">2. </w:t>
      </w:r>
      <w:r w:rsidRPr="000A52E1">
        <w:rPr>
          <w:rFonts w:ascii="Times New Roman" w:hAnsi="Times New Roman" w:cs="Times New Roman"/>
          <w:sz w:val="24"/>
          <w:szCs w:val="24"/>
        </w:rPr>
        <w:tab/>
        <w:t xml:space="preserve">Mott DA, Cline RR. Exploring generic drug use behavior: the role of prescribers and pharmacists in the opportunity for generic drug use and generic substitution. </w:t>
      </w:r>
      <w:r w:rsidRPr="000A52E1">
        <w:rPr>
          <w:rFonts w:ascii="Times New Roman" w:hAnsi="Times New Roman" w:cs="Times New Roman"/>
          <w:i/>
          <w:iCs/>
          <w:sz w:val="24"/>
          <w:szCs w:val="24"/>
        </w:rPr>
        <w:t>Med Care</w:t>
      </w:r>
      <w:r w:rsidRPr="000A52E1">
        <w:rPr>
          <w:rFonts w:ascii="Times New Roman" w:hAnsi="Times New Roman" w:cs="Times New Roman"/>
          <w:sz w:val="24"/>
          <w:szCs w:val="24"/>
        </w:rPr>
        <w:t>. 2002;40(8):662-674. doi:10.1097/01.MLR.0000020926.85284.8E.</w:t>
      </w:r>
    </w:p>
    <w:p w:rsidR="000A52E1" w:rsidRPr="000A52E1" w:rsidRDefault="000A52E1" w:rsidP="000A52E1">
      <w:pPr>
        <w:pStyle w:val="Bibliography"/>
        <w:rPr>
          <w:rFonts w:ascii="Times New Roman" w:hAnsi="Times New Roman" w:cs="Times New Roman"/>
          <w:sz w:val="24"/>
          <w:szCs w:val="24"/>
        </w:rPr>
      </w:pPr>
      <w:r w:rsidRPr="000A52E1">
        <w:rPr>
          <w:rFonts w:ascii="Times New Roman" w:hAnsi="Times New Roman" w:cs="Times New Roman"/>
          <w:sz w:val="24"/>
          <w:szCs w:val="24"/>
        </w:rPr>
        <w:t xml:space="preserve">3. </w:t>
      </w:r>
      <w:r w:rsidRPr="000A52E1">
        <w:rPr>
          <w:rFonts w:ascii="Times New Roman" w:hAnsi="Times New Roman" w:cs="Times New Roman"/>
          <w:sz w:val="24"/>
          <w:szCs w:val="24"/>
        </w:rPr>
        <w:tab/>
        <w:t xml:space="preserve">Sierles FS, Brodkey AC, Cleary LM, et al. Medical students’ exposure to and attitudes about drug company interactions: a national survey. </w:t>
      </w:r>
      <w:r w:rsidRPr="000A52E1">
        <w:rPr>
          <w:rFonts w:ascii="Times New Roman" w:hAnsi="Times New Roman" w:cs="Times New Roman"/>
          <w:i/>
          <w:iCs/>
          <w:sz w:val="24"/>
          <w:szCs w:val="24"/>
        </w:rPr>
        <w:t>JAMA</w:t>
      </w:r>
      <w:r w:rsidRPr="000A52E1">
        <w:rPr>
          <w:rFonts w:ascii="Times New Roman" w:hAnsi="Times New Roman" w:cs="Times New Roman"/>
          <w:sz w:val="24"/>
          <w:szCs w:val="24"/>
        </w:rPr>
        <w:t>. 2005;294(9):1034-1042. doi:10.1001/jama.294.9.1034.</w:t>
      </w:r>
    </w:p>
    <w:p w:rsidR="000A52E1" w:rsidRPr="000A52E1" w:rsidRDefault="000A52E1" w:rsidP="000A52E1">
      <w:pPr>
        <w:pStyle w:val="Bibliography"/>
        <w:rPr>
          <w:rFonts w:ascii="Times New Roman" w:hAnsi="Times New Roman" w:cs="Times New Roman"/>
          <w:sz w:val="24"/>
          <w:szCs w:val="24"/>
        </w:rPr>
      </w:pPr>
      <w:r w:rsidRPr="000A52E1">
        <w:rPr>
          <w:rFonts w:ascii="Times New Roman" w:hAnsi="Times New Roman" w:cs="Times New Roman"/>
          <w:sz w:val="24"/>
          <w:szCs w:val="24"/>
        </w:rPr>
        <w:t xml:space="preserve">4. </w:t>
      </w:r>
      <w:r w:rsidRPr="000A52E1">
        <w:rPr>
          <w:rFonts w:ascii="Times New Roman" w:hAnsi="Times New Roman" w:cs="Times New Roman"/>
          <w:sz w:val="24"/>
          <w:szCs w:val="24"/>
        </w:rPr>
        <w:tab/>
        <w:t xml:space="preserve">Austad KE, Avorn J, Franklin JM, Campbell EG, Kesselheim AS. Association of marketing interactions with medical trainees’ knowledge about evidence-based prescribing: results from a national survey. </w:t>
      </w:r>
      <w:r w:rsidRPr="000A52E1">
        <w:rPr>
          <w:rFonts w:ascii="Times New Roman" w:hAnsi="Times New Roman" w:cs="Times New Roman"/>
          <w:i/>
          <w:iCs/>
          <w:sz w:val="24"/>
          <w:szCs w:val="24"/>
        </w:rPr>
        <w:t>JAMA Intern Med</w:t>
      </w:r>
      <w:r w:rsidRPr="000A52E1">
        <w:rPr>
          <w:rFonts w:ascii="Times New Roman" w:hAnsi="Times New Roman" w:cs="Times New Roman"/>
          <w:sz w:val="24"/>
          <w:szCs w:val="24"/>
        </w:rPr>
        <w:t>. 2014;174(8):1283-1290. doi:10.1001/jamainternmed.2014.2202.</w:t>
      </w:r>
    </w:p>
    <w:p w:rsidR="000A52E1" w:rsidRPr="000A52E1" w:rsidRDefault="000A52E1" w:rsidP="00ED441B">
      <w:pPr>
        <w:pStyle w:val="Bibliography"/>
        <w:rPr>
          <w:rFonts w:ascii="Times New Roman" w:hAnsi="Times New Roman" w:cs="Times New Roman"/>
          <w:sz w:val="24"/>
          <w:szCs w:val="24"/>
        </w:rPr>
      </w:pPr>
      <w:r w:rsidRPr="000A52E1">
        <w:rPr>
          <w:rFonts w:ascii="Times New Roman" w:hAnsi="Times New Roman" w:cs="Times New Roman"/>
          <w:sz w:val="24"/>
          <w:szCs w:val="24"/>
        </w:rPr>
        <w:t xml:space="preserve">5. </w:t>
      </w:r>
      <w:r w:rsidRPr="000A52E1">
        <w:rPr>
          <w:rFonts w:ascii="Times New Roman" w:hAnsi="Times New Roman" w:cs="Times New Roman"/>
          <w:sz w:val="24"/>
          <w:szCs w:val="24"/>
        </w:rPr>
        <w:tab/>
        <w:t xml:space="preserve">Obley AJ, Iossi KA, Humphrey LL. Teaching Wisely. </w:t>
      </w:r>
      <w:r w:rsidRPr="000A52E1">
        <w:rPr>
          <w:rFonts w:ascii="Times New Roman" w:hAnsi="Times New Roman" w:cs="Times New Roman"/>
          <w:i/>
          <w:iCs/>
          <w:sz w:val="24"/>
          <w:szCs w:val="24"/>
        </w:rPr>
        <w:t>J Grad Med Educ</w:t>
      </w:r>
      <w:r w:rsidRPr="000A52E1">
        <w:rPr>
          <w:rFonts w:ascii="Times New Roman" w:hAnsi="Times New Roman" w:cs="Times New Roman"/>
          <w:sz w:val="24"/>
          <w:szCs w:val="24"/>
        </w:rPr>
        <w:t>. 2014;6(3):587-588. doi:10.4300/JGME-D-14-00335.1.</w:t>
      </w:r>
    </w:p>
    <w:p w:rsidR="000A52E1" w:rsidRDefault="00BB363F" w:rsidP="000A52E1">
      <w:pPr>
        <w:pStyle w:val="NormalWeb"/>
        <w:spacing w:before="0" w:beforeAutospacing="0" w:after="160" w:afterAutospacing="0"/>
      </w:pPr>
      <w:r w:rsidRPr="000A52E1">
        <w:fldChar w:fldCharType="end"/>
      </w:r>
    </w:p>
    <w:p w:rsidR="00532936" w:rsidRDefault="00532936" w:rsidP="000A52E1">
      <w:pPr>
        <w:pStyle w:val="NormalWeb"/>
        <w:spacing w:before="0" w:beforeAutospacing="0" w:after="160" w:afterAutospacing="0"/>
      </w:pPr>
    </w:p>
    <w:p w:rsidR="00532936" w:rsidRDefault="00532936" w:rsidP="000A52E1">
      <w:pPr>
        <w:pStyle w:val="NormalWeb"/>
        <w:spacing w:before="0" w:beforeAutospacing="0" w:after="160" w:afterAutospacing="0"/>
      </w:pPr>
    </w:p>
    <w:p w:rsidR="00532936" w:rsidRDefault="00532936" w:rsidP="000A52E1">
      <w:pPr>
        <w:pStyle w:val="NormalWeb"/>
        <w:spacing w:before="0" w:beforeAutospacing="0" w:after="160" w:afterAutospacing="0"/>
      </w:pPr>
    </w:p>
    <w:p w:rsidR="00532936" w:rsidRDefault="00532936" w:rsidP="000A52E1">
      <w:pPr>
        <w:pStyle w:val="NormalWeb"/>
        <w:spacing w:before="0" w:beforeAutospacing="0" w:after="160" w:afterAutospacing="0"/>
      </w:pPr>
    </w:p>
    <w:p w:rsidR="00532936" w:rsidRDefault="00532936" w:rsidP="000A52E1">
      <w:pPr>
        <w:pStyle w:val="NormalWeb"/>
        <w:spacing w:before="0" w:beforeAutospacing="0" w:after="160" w:afterAutospacing="0"/>
      </w:pPr>
    </w:p>
    <w:p w:rsidR="00532936" w:rsidRDefault="00532936" w:rsidP="000A52E1">
      <w:pPr>
        <w:pStyle w:val="NormalWeb"/>
        <w:spacing w:before="0" w:beforeAutospacing="0" w:after="160" w:afterAutospacing="0"/>
      </w:pPr>
    </w:p>
    <w:p w:rsidR="00532936" w:rsidRDefault="00532936" w:rsidP="000A52E1">
      <w:pPr>
        <w:pStyle w:val="NormalWeb"/>
        <w:spacing w:before="0" w:beforeAutospacing="0" w:after="160" w:afterAutospacing="0"/>
      </w:pPr>
    </w:p>
    <w:p w:rsidR="00532936" w:rsidRDefault="00532936" w:rsidP="000A52E1">
      <w:pPr>
        <w:pStyle w:val="NormalWeb"/>
        <w:spacing w:before="0" w:beforeAutospacing="0" w:after="160" w:afterAutospacing="0"/>
      </w:pPr>
    </w:p>
    <w:p w:rsidR="00532936" w:rsidRDefault="00532936" w:rsidP="000A52E1">
      <w:pPr>
        <w:pStyle w:val="NormalWeb"/>
        <w:spacing w:before="0" w:beforeAutospacing="0" w:after="160" w:afterAutospacing="0"/>
      </w:pPr>
    </w:p>
    <w:p w:rsidR="00532936" w:rsidRDefault="00532936" w:rsidP="000A52E1">
      <w:pPr>
        <w:pStyle w:val="NormalWeb"/>
        <w:spacing w:before="0" w:beforeAutospacing="0" w:after="160" w:afterAutospacing="0"/>
      </w:pPr>
    </w:p>
    <w:p w:rsidR="00532936" w:rsidRDefault="00532936" w:rsidP="00532936">
      <w:pPr>
        <w:rPr>
          <w:noProof/>
        </w:rPr>
      </w:pPr>
      <w:r>
        <w:rPr>
          <w:noProof/>
        </w:rPr>
        <w:lastRenderedPageBreak/>
        <w:t>Table 1</w:t>
      </w:r>
    </w:p>
    <w:p w:rsidR="00532936" w:rsidRPr="000A52E1" w:rsidRDefault="00532936" w:rsidP="000A52E1">
      <w:pPr>
        <w:pStyle w:val="NormalWeb"/>
        <w:spacing w:before="0" w:beforeAutospacing="0" w:after="160" w:afterAutospacing="0"/>
      </w:pPr>
      <w:r>
        <w:rPr>
          <w:noProof/>
        </w:rPr>
        <w:drawing>
          <wp:inline distT="0" distB="0" distL="0" distR="0" wp14:anchorId="15F4D512" wp14:editId="6C9EDCBE">
            <wp:extent cx="5943600" cy="4222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3-Figure4-RatioOfGenericToBrandName-F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bookmarkStart w:id="0" w:name="_GoBack"/>
      <w:bookmarkEnd w:id="0"/>
    </w:p>
    <w:sectPr w:rsidR="00532936" w:rsidRPr="000A52E1" w:rsidSect="0060079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9E1" w:rsidRDefault="004669E1" w:rsidP="00036256">
      <w:pPr>
        <w:spacing w:after="0" w:line="240" w:lineRule="auto"/>
      </w:pPr>
      <w:r>
        <w:separator/>
      </w:r>
    </w:p>
  </w:endnote>
  <w:endnote w:type="continuationSeparator" w:id="0">
    <w:p w:rsidR="004669E1" w:rsidRDefault="004669E1" w:rsidP="0003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9E1" w:rsidRDefault="004669E1" w:rsidP="00036256">
      <w:pPr>
        <w:spacing w:after="0" w:line="240" w:lineRule="auto"/>
      </w:pPr>
      <w:r>
        <w:separator/>
      </w:r>
    </w:p>
  </w:footnote>
  <w:footnote w:type="continuationSeparator" w:id="0">
    <w:p w:rsidR="004669E1" w:rsidRDefault="004669E1" w:rsidP="00036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02378"/>
    <w:multiLevelType w:val="hybridMultilevel"/>
    <w:tmpl w:val="B00EA3AA"/>
    <w:lvl w:ilvl="0" w:tplc="942289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467B19"/>
    <w:multiLevelType w:val="hybridMultilevel"/>
    <w:tmpl w:val="7862EC42"/>
    <w:lvl w:ilvl="0" w:tplc="0B5AFA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256"/>
    <w:rsid w:val="00000DAC"/>
    <w:rsid w:val="00006302"/>
    <w:rsid w:val="00011A22"/>
    <w:rsid w:val="0001392C"/>
    <w:rsid w:val="0002163E"/>
    <w:rsid w:val="00033FE4"/>
    <w:rsid w:val="00036107"/>
    <w:rsid w:val="00036256"/>
    <w:rsid w:val="000403CE"/>
    <w:rsid w:val="00047F29"/>
    <w:rsid w:val="00077C7F"/>
    <w:rsid w:val="00081774"/>
    <w:rsid w:val="00082788"/>
    <w:rsid w:val="0008544F"/>
    <w:rsid w:val="00085BEF"/>
    <w:rsid w:val="00093005"/>
    <w:rsid w:val="00096E94"/>
    <w:rsid w:val="000A52E1"/>
    <w:rsid w:val="000B35B0"/>
    <w:rsid w:val="000B549D"/>
    <w:rsid w:val="000C5ECA"/>
    <w:rsid w:val="000D4247"/>
    <w:rsid w:val="000F533A"/>
    <w:rsid w:val="00114F7F"/>
    <w:rsid w:val="00115937"/>
    <w:rsid w:val="00122C52"/>
    <w:rsid w:val="00143B86"/>
    <w:rsid w:val="001A478F"/>
    <w:rsid w:val="001D63FA"/>
    <w:rsid w:val="001E378B"/>
    <w:rsid w:val="001E4FE9"/>
    <w:rsid w:val="001F433E"/>
    <w:rsid w:val="00204438"/>
    <w:rsid w:val="00206093"/>
    <w:rsid w:val="00210A49"/>
    <w:rsid w:val="00216813"/>
    <w:rsid w:val="00220EE4"/>
    <w:rsid w:val="00225F17"/>
    <w:rsid w:val="002342FD"/>
    <w:rsid w:val="00234D23"/>
    <w:rsid w:val="002367C0"/>
    <w:rsid w:val="00256D0C"/>
    <w:rsid w:val="002573CC"/>
    <w:rsid w:val="00262F10"/>
    <w:rsid w:val="002721FC"/>
    <w:rsid w:val="0027245A"/>
    <w:rsid w:val="002752BA"/>
    <w:rsid w:val="002857F9"/>
    <w:rsid w:val="0028685F"/>
    <w:rsid w:val="002957EA"/>
    <w:rsid w:val="002A0DAA"/>
    <w:rsid w:val="002B121A"/>
    <w:rsid w:val="002B4379"/>
    <w:rsid w:val="002B62F9"/>
    <w:rsid w:val="002C32BA"/>
    <w:rsid w:val="002D3680"/>
    <w:rsid w:val="002F4215"/>
    <w:rsid w:val="002F48DE"/>
    <w:rsid w:val="00300724"/>
    <w:rsid w:val="0031146C"/>
    <w:rsid w:val="00311EE7"/>
    <w:rsid w:val="00331926"/>
    <w:rsid w:val="00336F11"/>
    <w:rsid w:val="003421A9"/>
    <w:rsid w:val="00353F65"/>
    <w:rsid w:val="00362F01"/>
    <w:rsid w:val="00370E41"/>
    <w:rsid w:val="00390D1A"/>
    <w:rsid w:val="0039510D"/>
    <w:rsid w:val="003B21B1"/>
    <w:rsid w:val="003C1B0E"/>
    <w:rsid w:val="003C37F5"/>
    <w:rsid w:val="003C421A"/>
    <w:rsid w:val="003D5908"/>
    <w:rsid w:val="003D7CE5"/>
    <w:rsid w:val="003E05C5"/>
    <w:rsid w:val="003E7193"/>
    <w:rsid w:val="00414301"/>
    <w:rsid w:val="004241C3"/>
    <w:rsid w:val="00433246"/>
    <w:rsid w:val="00446B0C"/>
    <w:rsid w:val="00450399"/>
    <w:rsid w:val="00450894"/>
    <w:rsid w:val="0045605F"/>
    <w:rsid w:val="004607B1"/>
    <w:rsid w:val="00462AAA"/>
    <w:rsid w:val="004669E1"/>
    <w:rsid w:val="004677B3"/>
    <w:rsid w:val="004737A1"/>
    <w:rsid w:val="00476403"/>
    <w:rsid w:val="0048057F"/>
    <w:rsid w:val="00483DEF"/>
    <w:rsid w:val="004B5BFC"/>
    <w:rsid w:val="004C656D"/>
    <w:rsid w:val="004F367E"/>
    <w:rsid w:val="00510DB1"/>
    <w:rsid w:val="005168F1"/>
    <w:rsid w:val="00525FB2"/>
    <w:rsid w:val="00532936"/>
    <w:rsid w:val="00540913"/>
    <w:rsid w:val="005456AB"/>
    <w:rsid w:val="00555513"/>
    <w:rsid w:val="00556504"/>
    <w:rsid w:val="005572E7"/>
    <w:rsid w:val="0057003D"/>
    <w:rsid w:val="00573FC1"/>
    <w:rsid w:val="005825E9"/>
    <w:rsid w:val="00585482"/>
    <w:rsid w:val="00590F8C"/>
    <w:rsid w:val="005B655F"/>
    <w:rsid w:val="005C4125"/>
    <w:rsid w:val="005C7D7D"/>
    <w:rsid w:val="005D617D"/>
    <w:rsid w:val="0060079F"/>
    <w:rsid w:val="00601B3C"/>
    <w:rsid w:val="00607E27"/>
    <w:rsid w:val="006134B7"/>
    <w:rsid w:val="00622956"/>
    <w:rsid w:val="00630252"/>
    <w:rsid w:val="00635A36"/>
    <w:rsid w:val="00637D32"/>
    <w:rsid w:val="00642BFF"/>
    <w:rsid w:val="00650A5D"/>
    <w:rsid w:val="00664692"/>
    <w:rsid w:val="006737C9"/>
    <w:rsid w:val="0068633C"/>
    <w:rsid w:val="00690D76"/>
    <w:rsid w:val="00694D9B"/>
    <w:rsid w:val="006A674D"/>
    <w:rsid w:val="006D4E48"/>
    <w:rsid w:val="006E0E0D"/>
    <w:rsid w:val="006E6B6C"/>
    <w:rsid w:val="006F312E"/>
    <w:rsid w:val="00713FE2"/>
    <w:rsid w:val="00714DAC"/>
    <w:rsid w:val="00717C53"/>
    <w:rsid w:val="007211DE"/>
    <w:rsid w:val="00723AF7"/>
    <w:rsid w:val="007277E3"/>
    <w:rsid w:val="0073047E"/>
    <w:rsid w:val="007548FE"/>
    <w:rsid w:val="007622C0"/>
    <w:rsid w:val="00771BD0"/>
    <w:rsid w:val="007823F3"/>
    <w:rsid w:val="007858AF"/>
    <w:rsid w:val="0079108D"/>
    <w:rsid w:val="007A6E0C"/>
    <w:rsid w:val="007D0031"/>
    <w:rsid w:val="007F01F3"/>
    <w:rsid w:val="007F2649"/>
    <w:rsid w:val="00806F78"/>
    <w:rsid w:val="008131D7"/>
    <w:rsid w:val="00813DA8"/>
    <w:rsid w:val="0082635E"/>
    <w:rsid w:val="0083106E"/>
    <w:rsid w:val="00842469"/>
    <w:rsid w:val="00843BCB"/>
    <w:rsid w:val="0086756A"/>
    <w:rsid w:val="008701D1"/>
    <w:rsid w:val="00872481"/>
    <w:rsid w:val="00881A9A"/>
    <w:rsid w:val="008930F1"/>
    <w:rsid w:val="008B56FA"/>
    <w:rsid w:val="008B5E47"/>
    <w:rsid w:val="008C0B08"/>
    <w:rsid w:val="008C1640"/>
    <w:rsid w:val="008C5A6B"/>
    <w:rsid w:val="008D2D67"/>
    <w:rsid w:val="008D52FC"/>
    <w:rsid w:val="008E51D7"/>
    <w:rsid w:val="008E6C9B"/>
    <w:rsid w:val="008F2247"/>
    <w:rsid w:val="00900E27"/>
    <w:rsid w:val="009321C3"/>
    <w:rsid w:val="00936421"/>
    <w:rsid w:val="00954472"/>
    <w:rsid w:val="00992633"/>
    <w:rsid w:val="009A4F98"/>
    <w:rsid w:val="009A6FB4"/>
    <w:rsid w:val="009B7156"/>
    <w:rsid w:val="009C0EB2"/>
    <w:rsid w:val="009D25FC"/>
    <w:rsid w:val="009D63D3"/>
    <w:rsid w:val="00A078CB"/>
    <w:rsid w:val="00A14262"/>
    <w:rsid w:val="00A35302"/>
    <w:rsid w:val="00A4135C"/>
    <w:rsid w:val="00A53F39"/>
    <w:rsid w:val="00A90873"/>
    <w:rsid w:val="00A91B3F"/>
    <w:rsid w:val="00A9274C"/>
    <w:rsid w:val="00A936FF"/>
    <w:rsid w:val="00AB4DA8"/>
    <w:rsid w:val="00AB6923"/>
    <w:rsid w:val="00AC3CDF"/>
    <w:rsid w:val="00AD4ABC"/>
    <w:rsid w:val="00AE02FE"/>
    <w:rsid w:val="00AE5284"/>
    <w:rsid w:val="00AE705A"/>
    <w:rsid w:val="00B0176D"/>
    <w:rsid w:val="00B41FC6"/>
    <w:rsid w:val="00B45122"/>
    <w:rsid w:val="00B4776E"/>
    <w:rsid w:val="00B720C8"/>
    <w:rsid w:val="00B7295B"/>
    <w:rsid w:val="00B7445D"/>
    <w:rsid w:val="00BA4719"/>
    <w:rsid w:val="00BB0EF4"/>
    <w:rsid w:val="00BB363F"/>
    <w:rsid w:val="00BC3F1B"/>
    <w:rsid w:val="00BD200E"/>
    <w:rsid w:val="00BE1EA0"/>
    <w:rsid w:val="00BE2098"/>
    <w:rsid w:val="00BE4FFA"/>
    <w:rsid w:val="00BE7710"/>
    <w:rsid w:val="00C072D0"/>
    <w:rsid w:val="00C273F5"/>
    <w:rsid w:val="00C45869"/>
    <w:rsid w:val="00C46944"/>
    <w:rsid w:val="00C55D49"/>
    <w:rsid w:val="00C67C22"/>
    <w:rsid w:val="00C950F0"/>
    <w:rsid w:val="00CA2F1C"/>
    <w:rsid w:val="00CC12B3"/>
    <w:rsid w:val="00CC1D37"/>
    <w:rsid w:val="00CC5BDB"/>
    <w:rsid w:val="00CD1ECA"/>
    <w:rsid w:val="00CD76DB"/>
    <w:rsid w:val="00CE3D8F"/>
    <w:rsid w:val="00CF0D1E"/>
    <w:rsid w:val="00CF515E"/>
    <w:rsid w:val="00D04A43"/>
    <w:rsid w:val="00D1536D"/>
    <w:rsid w:val="00D20934"/>
    <w:rsid w:val="00D21FDD"/>
    <w:rsid w:val="00D22036"/>
    <w:rsid w:val="00D24AF9"/>
    <w:rsid w:val="00D709E9"/>
    <w:rsid w:val="00D74D50"/>
    <w:rsid w:val="00D7589D"/>
    <w:rsid w:val="00D90D53"/>
    <w:rsid w:val="00D92638"/>
    <w:rsid w:val="00D947DC"/>
    <w:rsid w:val="00D975B6"/>
    <w:rsid w:val="00DA6924"/>
    <w:rsid w:val="00DA6DEC"/>
    <w:rsid w:val="00DC5BEB"/>
    <w:rsid w:val="00DD3192"/>
    <w:rsid w:val="00DE413E"/>
    <w:rsid w:val="00DF2483"/>
    <w:rsid w:val="00DF55F2"/>
    <w:rsid w:val="00DF629F"/>
    <w:rsid w:val="00E01499"/>
    <w:rsid w:val="00E07E7B"/>
    <w:rsid w:val="00E155E9"/>
    <w:rsid w:val="00E251F0"/>
    <w:rsid w:val="00E341DC"/>
    <w:rsid w:val="00E4754D"/>
    <w:rsid w:val="00E500DB"/>
    <w:rsid w:val="00E5027C"/>
    <w:rsid w:val="00E5319B"/>
    <w:rsid w:val="00E607BC"/>
    <w:rsid w:val="00E62CB4"/>
    <w:rsid w:val="00E93110"/>
    <w:rsid w:val="00E932F0"/>
    <w:rsid w:val="00E95638"/>
    <w:rsid w:val="00EB2753"/>
    <w:rsid w:val="00EC6B6E"/>
    <w:rsid w:val="00ED441B"/>
    <w:rsid w:val="00ED56A9"/>
    <w:rsid w:val="00EE74F0"/>
    <w:rsid w:val="00EF1BF0"/>
    <w:rsid w:val="00F104DF"/>
    <w:rsid w:val="00F20A52"/>
    <w:rsid w:val="00F31915"/>
    <w:rsid w:val="00F45620"/>
    <w:rsid w:val="00F601B8"/>
    <w:rsid w:val="00F63C10"/>
    <w:rsid w:val="00F733CB"/>
    <w:rsid w:val="00F918EA"/>
    <w:rsid w:val="00F946C0"/>
    <w:rsid w:val="00F95BBF"/>
    <w:rsid w:val="00FA5FA7"/>
    <w:rsid w:val="00FB3E83"/>
    <w:rsid w:val="00FC1D4F"/>
    <w:rsid w:val="00FD3F4F"/>
    <w:rsid w:val="00FE0977"/>
    <w:rsid w:val="00FE32E4"/>
    <w:rsid w:val="00FE6135"/>
    <w:rsid w:val="00FF5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4A0788-7B7E-401F-AEEB-2A2CC905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2E7"/>
  </w:style>
  <w:style w:type="paragraph" w:styleId="Heading1">
    <w:name w:val="heading 1"/>
    <w:basedOn w:val="Normal"/>
    <w:link w:val="Heading1Char"/>
    <w:uiPriority w:val="9"/>
    <w:qFormat/>
    <w:rsid w:val="00CE3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56"/>
  </w:style>
  <w:style w:type="paragraph" w:styleId="Footer">
    <w:name w:val="footer"/>
    <w:basedOn w:val="Normal"/>
    <w:link w:val="FooterChar"/>
    <w:uiPriority w:val="99"/>
    <w:unhideWhenUsed/>
    <w:rsid w:val="000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56"/>
  </w:style>
  <w:style w:type="paragraph" w:customStyle="1" w:styleId="para">
    <w:name w:val="para"/>
    <w:basedOn w:val="Normal"/>
    <w:rsid w:val="000362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6256"/>
    <w:rPr>
      <w:b/>
      <w:bCs/>
    </w:rPr>
  </w:style>
  <w:style w:type="character" w:customStyle="1" w:styleId="apple-converted-space">
    <w:name w:val="apple-converted-space"/>
    <w:basedOn w:val="DefaultParagraphFont"/>
    <w:rsid w:val="00036256"/>
  </w:style>
  <w:style w:type="character" w:styleId="Emphasis">
    <w:name w:val="Emphasis"/>
    <w:basedOn w:val="DefaultParagraphFont"/>
    <w:uiPriority w:val="20"/>
    <w:qFormat/>
    <w:rsid w:val="00036256"/>
    <w:rPr>
      <w:i/>
      <w:iCs/>
    </w:rPr>
  </w:style>
  <w:style w:type="paragraph" w:styleId="ListParagraph">
    <w:name w:val="List Paragraph"/>
    <w:basedOn w:val="Normal"/>
    <w:uiPriority w:val="34"/>
    <w:qFormat/>
    <w:rsid w:val="008930F1"/>
    <w:pPr>
      <w:ind w:left="720"/>
      <w:contextualSpacing/>
    </w:pPr>
  </w:style>
  <w:style w:type="character" w:customStyle="1" w:styleId="nlmsource">
    <w:name w:val="nlm_source"/>
    <w:basedOn w:val="DefaultParagraphFont"/>
    <w:rsid w:val="00000DAC"/>
  </w:style>
  <w:style w:type="character" w:styleId="Hyperlink">
    <w:name w:val="Hyperlink"/>
    <w:basedOn w:val="DefaultParagraphFont"/>
    <w:uiPriority w:val="99"/>
    <w:unhideWhenUsed/>
    <w:rsid w:val="00036107"/>
    <w:rPr>
      <w:color w:val="0563C1" w:themeColor="hyperlink"/>
      <w:u w:val="single"/>
    </w:rPr>
  </w:style>
  <w:style w:type="character" w:customStyle="1" w:styleId="Heading1Char">
    <w:name w:val="Heading 1 Char"/>
    <w:basedOn w:val="DefaultParagraphFont"/>
    <w:link w:val="Heading1"/>
    <w:uiPriority w:val="9"/>
    <w:rsid w:val="00CE3D8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60079F"/>
  </w:style>
  <w:style w:type="character" w:styleId="CommentReference">
    <w:name w:val="annotation reference"/>
    <w:basedOn w:val="DefaultParagraphFont"/>
    <w:uiPriority w:val="99"/>
    <w:semiHidden/>
    <w:unhideWhenUsed/>
    <w:rsid w:val="00585482"/>
    <w:rPr>
      <w:sz w:val="16"/>
      <w:szCs w:val="16"/>
    </w:rPr>
  </w:style>
  <w:style w:type="paragraph" w:styleId="CommentText">
    <w:name w:val="annotation text"/>
    <w:basedOn w:val="Normal"/>
    <w:link w:val="CommentTextChar"/>
    <w:uiPriority w:val="99"/>
    <w:semiHidden/>
    <w:unhideWhenUsed/>
    <w:rsid w:val="00585482"/>
    <w:pPr>
      <w:spacing w:line="240" w:lineRule="auto"/>
    </w:pPr>
    <w:rPr>
      <w:sz w:val="20"/>
      <w:szCs w:val="20"/>
    </w:rPr>
  </w:style>
  <w:style w:type="character" w:customStyle="1" w:styleId="CommentTextChar">
    <w:name w:val="Comment Text Char"/>
    <w:basedOn w:val="DefaultParagraphFont"/>
    <w:link w:val="CommentText"/>
    <w:uiPriority w:val="99"/>
    <w:semiHidden/>
    <w:rsid w:val="00585482"/>
    <w:rPr>
      <w:sz w:val="20"/>
      <w:szCs w:val="20"/>
    </w:rPr>
  </w:style>
  <w:style w:type="paragraph" w:styleId="CommentSubject">
    <w:name w:val="annotation subject"/>
    <w:basedOn w:val="CommentText"/>
    <w:next w:val="CommentText"/>
    <w:link w:val="CommentSubjectChar"/>
    <w:uiPriority w:val="99"/>
    <w:semiHidden/>
    <w:unhideWhenUsed/>
    <w:rsid w:val="00585482"/>
    <w:rPr>
      <w:b/>
      <w:bCs/>
    </w:rPr>
  </w:style>
  <w:style w:type="character" w:customStyle="1" w:styleId="CommentSubjectChar">
    <w:name w:val="Comment Subject Char"/>
    <w:basedOn w:val="CommentTextChar"/>
    <w:link w:val="CommentSubject"/>
    <w:uiPriority w:val="99"/>
    <w:semiHidden/>
    <w:rsid w:val="00585482"/>
    <w:rPr>
      <w:b/>
      <w:bCs/>
      <w:sz w:val="20"/>
      <w:szCs w:val="20"/>
    </w:rPr>
  </w:style>
  <w:style w:type="paragraph" w:styleId="BalloonText">
    <w:name w:val="Balloon Text"/>
    <w:basedOn w:val="Normal"/>
    <w:link w:val="BalloonTextChar"/>
    <w:uiPriority w:val="99"/>
    <w:semiHidden/>
    <w:unhideWhenUsed/>
    <w:rsid w:val="00585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482"/>
    <w:rPr>
      <w:rFonts w:ascii="Segoe UI" w:hAnsi="Segoe UI" w:cs="Segoe UI"/>
      <w:sz w:val="18"/>
      <w:szCs w:val="18"/>
    </w:rPr>
  </w:style>
  <w:style w:type="character" w:styleId="HTMLCite">
    <w:name w:val="HTML Cite"/>
    <w:basedOn w:val="DefaultParagraphFont"/>
    <w:uiPriority w:val="99"/>
    <w:semiHidden/>
    <w:unhideWhenUsed/>
    <w:rsid w:val="00E251F0"/>
    <w:rPr>
      <w:i/>
      <w:iCs/>
    </w:rPr>
  </w:style>
  <w:style w:type="character" w:customStyle="1" w:styleId="reference-accessdate">
    <w:name w:val="reference-accessdate"/>
    <w:basedOn w:val="DefaultParagraphFont"/>
    <w:rsid w:val="00E251F0"/>
  </w:style>
  <w:style w:type="character" w:styleId="FollowedHyperlink">
    <w:name w:val="FollowedHyperlink"/>
    <w:basedOn w:val="DefaultParagraphFont"/>
    <w:uiPriority w:val="99"/>
    <w:semiHidden/>
    <w:unhideWhenUsed/>
    <w:rsid w:val="00E01499"/>
    <w:rPr>
      <w:color w:val="954F72" w:themeColor="followedHyperlink"/>
      <w:u w:val="single"/>
    </w:rPr>
  </w:style>
  <w:style w:type="paragraph" w:styleId="FootnoteText">
    <w:name w:val="footnote text"/>
    <w:basedOn w:val="Normal"/>
    <w:link w:val="FootnoteTextChar"/>
    <w:uiPriority w:val="99"/>
    <w:semiHidden/>
    <w:unhideWhenUsed/>
    <w:rsid w:val="00673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7C9"/>
    <w:rPr>
      <w:sz w:val="20"/>
      <w:szCs w:val="20"/>
    </w:rPr>
  </w:style>
  <w:style w:type="character" w:styleId="FootnoteReference">
    <w:name w:val="footnote reference"/>
    <w:basedOn w:val="DefaultParagraphFont"/>
    <w:uiPriority w:val="99"/>
    <w:semiHidden/>
    <w:unhideWhenUsed/>
    <w:rsid w:val="006737C9"/>
    <w:rPr>
      <w:vertAlign w:val="superscript"/>
    </w:rPr>
  </w:style>
  <w:style w:type="paragraph" w:styleId="EndnoteText">
    <w:name w:val="endnote text"/>
    <w:basedOn w:val="Normal"/>
    <w:link w:val="EndnoteTextChar"/>
    <w:uiPriority w:val="99"/>
    <w:semiHidden/>
    <w:unhideWhenUsed/>
    <w:rsid w:val="00673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7C9"/>
    <w:rPr>
      <w:sz w:val="20"/>
      <w:szCs w:val="20"/>
    </w:rPr>
  </w:style>
  <w:style w:type="character" w:styleId="EndnoteReference">
    <w:name w:val="endnote reference"/>
    <w:basedOn w:val="DefaultParagraphFont"/>
    <w:uiPriority w:val="99"/>
    <w:semiHidden/>
    <w:unhideWhenUsed/>
    <w:rsid w:val="006737C9"/>
    <w:rPr>
      <w:vertAlign w:val="superscript"/>
    </w:rPr>
  </w:style>
  <w:style w:type="paragraph" w:styleId="Bibliography">
    <w:name w:val="Bibliography"/>
    <w:basedOn w:val="Normal"/>
    <w:next w:val="Normal"/>
    <w:uiPriority w:val="37"/>
    <w:unhideWhenUsed/>
    <w:rsid w:val="006737C9"/>
    <w:pPr>
      <w:tabs>
        <w:tab w:val="left" w:pos="504"/>
      </w:tabs>
      <w:spacing w:after="240" w:line="240" w:lineRule="auto"/>
      <w:ind w:left="504" w:hanging="504"/>
    </w:pPr>
  </w:style>
  <w:style w:type="paragraph" w:styleId="Revision">
    <w:name w:val="Revision"/>
    <w:hidden/>
    <w:uiPriority w:val="99"/>
    <w:semiHidden/>
    <w:rsid w:val="002342FD"/>
    <w:pPr>
      <w:spacing w:after="0" w:line="240" w:lineRule="auto"/>
    </w:pPr>
  </w:style>
  <w:style w:type="paragraph" w:styleId="NormalWeb">
    <w:name w:val="Normal (Web)"/>
    <w:basedOn w:val="Normal"/>
    <w:uiPriority w:val="99"/>
    <w:unhideWhenUsed/>
    <w:rsid w:val="00CF0D1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483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2693">
      <w:bodyDiv w:val="1"/>
      <w:marLeft w:val="0"/>
      <w:marRight w:val="0"/>
      <w:marTop w:val="0"/>
      <w:marBottom w:val="0"/>
      <w:divBdr>
        <w:top w:val="none" w:sz="0" w:space="0" w:color="auto"/>
        <w:left w:val="none" w:sz="0" w:space="0" w:color="auto"/>
        <w:bottom w:val="none" w:sz="0" w:space="0" w:color="auto"/>
        <w:right w:val="none" w:sz="0" w:space="0" w:color="auto"/>
      </w:divBdr>
    </w:div>
    <w:div w:id="248775407">
      <w:bodyDiv w:val="1"/>
      <w:marLeft w:val="0"/>
      <w:marRight w:val="0"/>
      <w:marTop w:val="0"/>
      <w:marBottom w:val="0"/>
      <w:divBdr>
        <w:top w:val="none" w:sz="0" w:space="0" w:color="auto"/>
        <w:left w:val="none" w:sz="0" w:space="0" w:color="auto"/>
        <w:bottom w:val="none" w:sz="0" w:space="0" w:color="auto"/>
        <w:right w:val="none" w:sz="0" w:space="0" w:color="auto"/>
      </w:divBdr>
    </w:div>
    <w:div w:id="295375870">
      <w:bodyDiv w:val="1"/>
      <w:marLeft w:val="0"/>
      <w:marRight w:val="0"/>
      <w:marTop w:val="0"/>
      <w:marBottom w:val="0"/>
      <w:divBdr>
        <w:top w:val="none" w:sz="0" w:space="0" w:color="auto"/>
        <w:left w:val="none" w:sz="0" w:space="0" w:color="auto"/>
        <w:bottom w:val="none" w:sz="0" w:space="0" w:color="auto"/>
        <w:right w:val="none" w:sz="0" w:space="0" w:color="auto"/>
      </w:divBdr>
    </w:div>
    <w:div w:id="501894408">
      <w:bodyDiv w:val="1"/>
      <w:marLeft w:val="0"/>
      <w:marRight w:val="0"/>
      <w:marTop w:val="0"/>
      <w:marBottom w:val="0"/>
      <w:divBdr>
        <w:top w:val="none" w:sz="0" w:space="0" w:color="auto"/>
        <w:left w:val="none" w:sz="0" w:space="0" w:color="auto"/>
        <w:bottom w:val="none" w:sz="0" w:space="0" w:color="auto"/>
        <w:right w:val="none" w:sz="0" w:space="0" w:color="auto"/>
      </w:divBdr>
    </w:div>
    <w:div w:id="1040083058">
      <w:bodyDiv w:val="1"/>
      <w:marLeft w:val="0"/>
      <w:marRight w:val="0"/>
      <w:marTop w:val="0"/>
      <w:marBottom w:val="0"/>
      <w:divBdr>
        <w:top w:val="none" w:sz="0" w:space="0" w:color="auto"/>
        <w:left w:val="none" w:sz="0" w:space="0" w:color="auto"/>
        <w:bottom w:val="none" w:sz="0" w:space="0" w:color="auto"/>
        <w:right w:val="none" w:sz="0" w:space="0" w:color="auto"/>
      </w:divBdr>
      <w:divsChild>
        <w:div w:id="73094984">
          <w:marLeft w:val="0"/>
          <w:marRight w:val="0"/>
          <w:marTop w:val="0"/>
          <w:marBottom w:val="0"/>
          <w:divBdr>
            <w:top w:val="none" w:sz="0" w:space="0" w:color="auto"/>
            <w:left w:val="none" w:sz="0" w:space="0" w:color="auto"/>
            <w:bottom w:val="none" w:sz="0" w:space="0" w:color="auto"/>
            <w:right w:val="none" w:sz="0" w:space="0" w:color="auto"/>
          </w:divBdr>
        </w:div>
        <w:div w:id="355886528">
          <w:marLeft w:val="60"/>
          <w:marRight w:val="0"/>
          <w:marTop w:val="0"/>
          <w:marBottom w:val="0"/>
          <w:divBdr>
            <w:top w:val="none" w:sz="0" w:space="0" w:color="auto"/>
            <w:left w:val="none" w:sz="0" w:space="0" w:color="auto"/>
            <w:bottom w:val="none" w:sz="0" w:space="0" w:color="auto"/>
            <w:right w:val="none" w:sz="0" w:space="0" w:color="auto"/>
          </w:divBdr>
        </w:div>
        <w:div w:id="699208822">
          <w:marLeft w:val="0"/>
          <w:marRight w:val="0"/>
          <w:marTop w:val="0"/>
          <w:marBottom w:val="0"/>
          <w:divBdr>
            <w:top w:val="none" w:sz="0" w:space="0" w:color="auto"/>
            <w:left w:val="none" w:sz="0" w:space="0" w:color="auto"/>
            <w:bottom w:val="none" w:sz="0" w:space="0" w:color="auto"/>
            <w:right w:val="none" w:sz="0" w:space="0" w:color="auto"/>
          </w:divBdr>
        </w:div>
        <w:div w:id="104472241">
          <w:marLeft w:val="60"/>
          <w:marRight w:val="0"/>
          <w:marTop w:val="0"/>
          <w:marBottom w:val="0"/>
          <w:divBdr>
            <w:top w:val="none" w:sz="0" w:space="0" w:color="auto"/>
            <w:left w:val="none" w:sz="0" w:space="0" w:color="auto"/>
            <w:bottom w:val="none" w:sz="0" w:space="0" w:color="auto"/>
            <w:right w:val="none" w:sz="0" w:space="0" w:color="auto"/>
          </w:divBdr>
        </w:div>
        <w:div w:id="1918321903">
          <w:marLeft w:val="0"/>
          <w:marRight w:val="0"/>
          <w:marTop w:val="0"/>
          <w:marBottom w:val="0"/>
          <w:divBdr>
            <w:top w:val="none" w:sz="0" w:space="0" w:color="auto"/>
            <w:left w:val="none" w:sz="0" w:space="0" w:color="auto"/>
            <w:bottom w:val="none" w:sz="0" w:space="0" w:color="auto"/>
            <w:right w:val="none" w:sz="0" w:space="0" w:color="auto"/>
          </w:divBdr>
        </w:div>
        <w:div w:id="566696006">
          <w:marLeft w:val="60"/>
          <w:marRight w:val="0"/>
          <w:marTop w:val="0"/>
          <w:marBottom w:val="0"/>
          <w:divBdr>
            <w:top w:val="none" w:sz="0" w:space="0" w:color="auto"/>
            <w:left w:val="none" w:sz="0" w:space="0" w:color="auto"/>
            <w:bottom w:val="none" w:sz="0" w:space="0" w:color="auto"/>
            <w:right w:val="none" w:sz="0" w:space="0" w:color="auto"/>
          </w:divBdr>
        </w:div>
        <w:div w:id="1019896068">
          <w:marLeft w:val="0"/>
          <w:marRight w:val="0"/>
          <w:marTop w:val="0"/>
          <w:marBottom w:val="0"/>
          <w:divBdr>
            <w:top w:val="none" w:sz="0" w:space="0" w:color="auto"/>
            <w:left w:val="none" w:sz="0" w:space="0" w:color="auto"/>
            <w:bottom w:val="none" w:sz="0" w:space="0" w:color="auto"/>
            <w:right w:val="none" w:sz="0" w:space="0" w:color="auto"/>
          </w:divBdr>
        </w:div>
        <w:div w:id="2058355885">
          <w:marLeft w:val="60"/>
          <w:marRight w:val="0"/>
          <w:marTop w:val="0"/>
          <w:marBottom w:val="0"/>
          <w:divBdr>
            <w:top w:val="none" w:sz="0" w:space="0" w:color="auto"/>
            <w:left w:val="none" w:sz="0" w:space="0" w:color="auto"/>
            <w:bottom w:val="none" w:sz="0" w:space="0" w:color="auto"/>
            <w:right w:val="none" w:sz="0" w:space="0" w:color="auto"/>
          </w:divBdr>
        </w:div>
        <w:div w:id="1623271229">
          <w:marLeft w:val="0"/>
          <w:marRight w:val="0"/>
          <w:marTop w:val="0"/>
          <w:marBottom w:val="0"/>
          <w:divBdr>
            <w:top w:val="none" w:sz="0" w:space="0" w:color="auto"/>
            <w:left w:val="none" w:sz="0" w:space="0" w:color="auto"/>
            <w:bottom w:val="none" w:sz="0" w:space="0" w:color="auto"/>
            <w:right w:val="none" w:sz="0" w:space="0" w:color="auto"/>
          </w:divBdr>
        </w:div>
        <w:div w:id="1892299909">
          <w:marLeft w:val="0"/>
          <w:marRight w:val="0"/>
          <w:marTop w:val="0"/>
          <w:marBottom w:val="0"/>
          <w:divBdr>
            <w:top w:val="none" w:sz="0" w:space="0" w:color="auto"/>
            <w:left w:val="none" w:sz="0" w:space="0" w:color="auto"/>
            <w:bottom w:val="none" w:sz="0" w:space="0" w:color="auto"/>
            <w:right w:val="none" w:sz="0" w:space="0" w:color="auto"/>
          </w:divBdr>
        </w:div>
        <w:div w:id="1618101061">
          <w:marLeft w:val="0"/>
          <w:marRight w:val="0"/>
          <w:marTop w:val="0"/>
          <w:marBottom w:val="0"/>
          <w:divBdr>
            <w:top w:val="none" w:sz="0" w:space="0" w:color="auto"/>
            <w:left w:val="none" w:sz="0" w:space="0" w:color="auto"/>
            <w:bottom w:val="none" w:sz="0" w:space="0" w:color="auto"/>
            <w:right w:val="none" w:sz="0" w:space="0" w:color="auto"/>
          </w:divBdr>
        </w:div>
        <w:div w:id="1174955378">
          <w:marLeft w:val="0"/>
          <w:marRight w:val="0"/>
          <w:marTop w:val="0"/>
          <w:marBottom w:val="0"/>
          <w:divBdr>
            <w:top w:val="none" w:sz="0" w:space="0" w:color="auto"/>
            <w:left w:val="none" w:sz="0" w:space="0" w:color="auto"/>
            <w:bottom w:val="none" w:sz="0" w:space="0" w:color="auto"/>
            <w:right w:val="none" w:sz="0" w:space="0" w:color="auto"/>
          </w:divBdr>
        </w:div>
        <w:div w:id="1656104634">
          <w:marLeft w:val="0"/>
          <w:marRight w:val="0"/>
          <w:marTop w:val="0"/>
          <w:marBottom w:val="0"/>
          <w:divBdr>
            <w:top w:val="none" w:sz="0" w:space="0" w:color="auto"/>
            <w:left w:val="none" w:sz="0" w:space="0" w:color="auto"/>
            <w:bottom w:val="none" w:sz="0" w:space="0" w:color="auto"/>
            <w:right w:val="none" w:sz="0" w:space="0" w:color="auto"/>
          </w:divBdr>
        </w:div>
        <w:div w:id="935598243">
          <w:marLeft w:val="0"/>
          <w:marRight w:val="0"/>
          <w:marTop w:val="0"/>
          <w:marBottom w:val="0"/>
          <w:divBdr>
            <w:top w:val="none" w:sz="0" w:space="0" w:color="auto"/>
            <w:left w:val="none" w:sz="0" w:space="0" w:color="auto"/>
            <w:bottom w:val="none" w:sz="0" w:space="0" w:color="auto"/>
            <w:right w:val="none" w:sz="0" w:space="0" w:color="auto"/>
          </w:divBdr>
        </w:div>
      </w:divsChild>
    </w:div>
    <w:div w:id="11420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E6FDA-26D5-4828-98A0-635D2045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2</cp:revision>
  <dcterms:created xsi:type="dcterms:W3CDTF">2017-10-30T15:28:00Z</dcterms:created>
  <dcterms:modified xsi:type="dcterms:W3CDTF">2017-10-30T15:28:00Z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zotero-version="5.0.17"&gt;&lt;session id="vQtmljaj"/&gt;&lt;style id="http://www.zotero.org/styles/jama"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