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HW1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YOUZHE DOU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What are the various IC foundries that offer their services through MOSIS?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They are GlobalFoundries, TSMC, ams AG, ON Semi, AIM Photonics and imec-ePIXfab.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 What are the feature sizes of the available fabrication processes?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240" w:lineRule="auto"/>
        <w:contextualSpacing w:val="0"/>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sz w:val="24"/>
            <w:szCs w:val="24"/>
            <w:rtl w:val="0"/>
          </w:rPr>
          <w:t xml:space="preserve">GlobalFoundries</w:t>
        </w:r>
      </w:hyperlink>
      <w:r w:rsidDel="00000000" w:rsidR="00000000" w:rsidRPr="00000000">
        <w:rPr>
          <w:rFonts w:ascii="Times New Roman" w:cs="Times New Roman" w:eastAsia="Times New Roman" w:hAnsi="Times New Roman"/>
          <w:sz w:val="24"/>
          <w:szCs w:val="24"/>
          <w:rtl w:val="0"/>
        </w:rPr>
        <w:t xml:space="preserve"> featured processes: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240" w:lineRule="auto"/>
        <w:ind w:left="5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CMOS:</w:t>
      </w:r>
      <w:hyperlink r:id="rId6">
        <w:r w:rsidDel="00000000" w:rsidR="00000000" w:rsidRPr="00000000">
          <w:rPr>
            <w:rFonts w:ascii="Times New Roman" w:cs="Times New Roman" w:eastAsia="Times New Roman" w:hAnsi="Times New Roman"/>
            <w:sz w:val="24"/>
            <w:szCs w:val="24"/>
            <w:rtl w:val="0"/>
          </w:rPr>
          <w:t xml:space="preserve">14 nm</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28 nm</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40 nm</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sz w:val="24"/>
            <w:szCs w:val="24"/>
            <w:rtl w:val="0"/>
          </w:rPr>
          <w:t xml:space="preserve">65 nm</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sz w:val="24"/>
            <w:szCs w:val="24"/>
            <w:rtl w:val="0"/>
          </w:rPr>
          <w:t xml:space="preserve">0.13 µm</w:t>
        </w:r>
      </w:hyperlink>
      <w:r w:rsidDel="00000000" w:rsidR="00000000" w:rsidRPr="00000000">
        <w:rPr>
          <w:rFonts w:ascii="Times New Roman" w:cs="Times New Roman" w:eastAsia="Times New Roman" w:hAnsi="Times New Roman"/>
          <w:sz w:val="24"/>
          <w:szCs w:val="24"/>
          <w:rtl w:val="0"/>
        </w:rPr>
        <w:t xml:space="preserve"> and </w:t>
      </w:r>
      <w:r w:rsidDel="00000000" w:rsidR="00000000" w:rsidRPr="00000000">
        <w:fldChar w:fldCharType="begin"/>
        <w:instrText xml:space="preserve"> HYPERLINK "https://www.mosis.com/vendors/view/global-foundries/018" </w:instrText>
        <w:fldChar w:fldCharType="separate"/>
      </w:r>
      <w:r w:rsidDel="00000000" w:rsidR="00000000" w:rsidRPr="00000000">
        <w:rPr>
          <w:rFonts w:ascii="Times New Roman" w:cs="Times New Roman" w:eastAsia="Times New Roman" w:hAnsi="Times New Roman"/>
          <w:sz w:val="24"/>
          <w:szCs w:val="24"/>
          <w:rtl w:val="0"/>
        </w:rPr>
        <w:t xml:space="preserve">0.18  µm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240" w:lineRule="auto"/>
        <w:contextualSpacing w:val="0"/>
        <w:rPr>
          <w:rFonts w:ascii="Times New Roman" w:cs="Times New Roman" w:eastAsia="Times New Roman" w:hAnsi="Times New Roman"/>
          <w:sz w:val="24"/>
          <w:szCs w:val="24"/>
        </w:rPr>
      </w:pPr>
      <w:r w:rsidDel="00000000" w:rsidR="00000000" w:rsidRPr="00000000">
        <w:fldChar w:fldCharType="end"/>
      </w:r>
      <w:hyperlink r:id="rId11">
        <w:r w:rsidDel="00000000" w:rsidR="00000000" w:rsidRPr="00000000">
          <w:rPr>
            <w:rFonts w:ascii="Times New Roman" w:cs="Times New Roman" w:eastAsia="Times New Roman" w:hAnsi="Times New Roman"/>
            <w:sz w:val="24"/>
            <w:szCs w:val="24"/>
            <w:rtl w:val="0"/>
          </w:rPr>
          <w:t xml:space="preserve">TSMC</w:t>
        </w:r>
      </w:hyperlink>
      <w:r w:rsidDel="00000000" w:rsidR="00000000" w:rsidRPr="00000000">
        <w:rPr>
          <w:rFonts w:ascii="Times New Roman" w:cs="Times New Roman" w:eastAsia="Times New Roman" w:hAnsi="Times New Roman"/>
          <w:sz w:val="24"/>
          <w:szCs w:val="24"/>
          <w:rtl w:val="0"/>
        </w:rPr>
        <w:t xml:space="preserve"> featured processes: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240" w:lineRule="auto"/>
        <w:ind w:left="520" w:firstLine="0"/>
        <w:contextualSpacing w:val="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28 nm</w:t>
        </w:r>
      </w:hyperlink>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sz w:val="24"/>
            <w:szCs w:val="24"/>
            <w:rtl w:val="0"/>
          </w:rPr>
          <w:t xml:space="preserve">40</w:t>
        </w:r>
      </w:hyperlink>
      <w:r w:rsidDel="00000000" w:rsidR="00000000" w:rsidRPr="00000000">
        <w:rPr>
          <w:rFonts w:ascii="Times New Roman" w:cs="Times New Roman" w:eastAsia="Times New Roman" w:hAnsi="Times New Roman"/>
          <w:sz w:val="24"/>
          <w:szCs w:val="24"/>
          <w:rtl w:val="0"/>
        </w:rPr>
        <w:t xml:space="preserve"> / </w:t>
      </w:r>
      <w:hyperlink r:id="rId14">
        <w:r w:rsidDel="00000000" w:rsidR="00000000" w:rsidRPr="00000000">
          <w:rPr>
            <w:rFonts w:ascii="Times New Roman" w:cs="Times New Roman" w:eastAsia="Times New Roman" w:hAnsi="Times New Roman"/>
            <w:sz w:val="24"/>
            <w:szCs w:val="24"/>
            <w:rtl w:val="0"/>
          </w:rPr>
          <w:t xml:space="preserve">45 nm</w:t>
        </w:r>
      </w:hyperlink>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sz w:val="24"/>
            <w:szCs w:val="24"/>
            <w:rtl w:val="0"/>
          </w:rPr>
          <w:t xml:space="preserve">65 nm</w:t>
        </w:r>
      </w:hyperlink>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sz w:val="24"/>
            <w:szCs w:val="24"/>
            <w:rtl w:val="0"/>
          </w:rPr>
          <w:t xml:space="preserve">90 nm</w:t>
        </w:r>
      </w:hyperlink>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sz w:val="24"/>
            <w:szCs w:val="24"/>
            <w:rtl w:val="0"/>
          </w:rPr>
          <w:t xml:space="preserve">130 nm</w:t>
        </w:r>
      </w:hyperlink>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sz w:val="24"/>
            <w:szCs w:val="24"/>
            <w:rtl w:val="0"/>
          </w:rPr>
          <w:t xml:space="preserve">180 nm</w:t>
        </w:r>
      </w:hyperlink>
      <w:r w:rsidDel="00000000" w:rsidR="00000000" w:rsidRPr="00000000">
        <w:rPr>
          <w:rFonts w:ascii="Times New Roman" w:cs="Times New Roman" w:eastAsia="Times New Roman" w:hAnsi="Times New Roman"/>
          <w:sz w:val="24"/>
          <w:szCs w:val="24"/>
          <w:rtl w:val="0"/>
        </w:rPr>
        <w:t xml:space="preserve"> and </w:t>
      </w:r>
      <w:hyperlink r:id="rId19">
        <w:r w:rsidDel="00000000" w:rsidR="00000000" w:rsidRPr="00000000">
          <w:rPr>
            <w:rFonts w:ascii="Times New Roman" w:cs="Times New Roman" w:eastAsia="Times New Roman" w:hAnsi="Times New Roman"/>
            <w:sz w:val="24"/>
            <w:szCs w:val="24"/>
            <w:rtl w:val="0"/>
          </w:rPr>
          <w:t xml:space="preserve">350 nm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240" w:lineRule="auto"/>
        <w:contextualSpacing w:val="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sz w:val="24"/>
            <w:szCs w:val="24"/>
            <w:rtl w:val="0"/>
          </w:rPr>
          <w:t xml:space="preserve">ams AG</w:t>
        </w:r>
      </w:hyperlink>
      <w:r w:rsidDel="00000000" w:rsidR="00000000" w:rsidRPr="00000000">
        <w:rPr>
          <w:rFonts w:ascii="Times New Roman" w:cs="Times New Roman" w:eastAsia="Times New Roman" w:hAnsi="Times New Roman"/>
          <w:sz w:val="24"/>
          <w:szCs w:val="24"/>
          <w:rtl w:val="0"/>
        </w:rPr>
        <w:t xml:space="preserve"> featured processes: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240" w:lineRule="auto"/>
        <w:ind w:left="5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 µm in both </w:t>
      </w:r>
      <w:hyperlink r:id="rId21">
        <w:r w:rsidDel="00000000" w:rsidR="00000000" w:rsidRPr="00000000">
          <w:rPr>
            <w:rFonts w:ascii="Times New Roman" w:cs="Times New Roman" w:eastAsia="Times New Roman" w:hAnsi="Times New Roman"/>
            <w:sz w:val="24"/>
            <w:szCs w:val="24"/>
            <w:rtl w:val="0"/>
          </w:rPr>
          <w:t xml:space="preserve">CMOS</w:t>
        </w:r>
      </w:hyperlink>
      <w:r w:rsidDel="00000000" w:rsidR="00000000" w:rsidRPr="00000000">
        <w:rPr>
          <w:rFonts w:ascii="Times New Roman" w:cs="Times New Roman" w:eastAsia="Times New Roman" w:hAnsi="Times New Roman"/>
          <w:sz w:val="24"/>
          <w:szCs w:val="24"/>
          <w:rtl w:val="0"/>
        </w:rPr>
        <w:t xml:space="preserve"> and </w:t>
      </w:r>
      <w:hyperlink r:id="rId22">
        <w:r w:rsidDel="00000000" w:rsidR="00000000" w:rsidRPr="00000000">
          <w:rPr>
            <w:rFonts w:ascii="Times New Roman" w:cs="Times New Roman" w:eastAsia="Times New Roman" w:hAnsi="Times New Roman"/>
            <w:sz w:val="24"/>
            <w:szCs w:val="24"/>
            <w:rtl w:val="0"/>
          </w:rPr>
          <w:t xml:space="preserve">HV CMOS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240" w:lineRule="auto"/>
        <w:ind w:left="520" w:firstLine="0"/>
        <w:contextualSpacing w:val="0"/>
        <w:rPr>
          <w:rFonts w:ascii="Times New Roman" w:cs="Times New Roman" w:eastAsia="Times New Roman" w:hAnsi="Times New Roman"/>
          <w:sz w:val="24"/>
          <w:szCs w:val="24"/>
        </w:rPr>
      </w:pPr>
      <w:r w:rsidDel="00000000" w:rsidR="00000000" w:rsidRPr="00000000">
        <w:fldChar w:fldCharType="begin"/>
        <w:instrText xml:space="preserve"> HYPERLINK "https://www.mosis.com/vendors/view/ams/c35b_compare" </w:instrText>
        <w:fldChar w:fldCharType="separate"/>
      </w:r>
      <w:r w:rsidDel="00000000" w:rsidR="00000000" w:rsidRPr="00000000">
        <w:rPr>
          <w:rFonts w:ascii="Times New Roman" w:cs="Times New Roman" w:eastAsia="Times New Roman" w:hAnsi="Times New Roman"/>
          <w:sz w:val="24"/>
          <w:szCs w:val="24"/>
          <w:rtl w:val="0"/>
        </w:rPr>
        <w:t xml:space="preserve">0.35 µm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240" w:lineRule="auto"/>
        <w:contextualSpacing w:val="0"/>
        <w:rPr>
          <w:rFonts w:ascii="Times New Roman" w:cs="Times New Roman" w:eastAsia="Times New Roman" w:hAnsi="Times New Roman"/>
          <w:sz w:val="24"/>
          <w:szCs w:val="24"/>
        </w:rPr>
      </w:pPr>
      <w:r w:rsidDel="00000000" w:rsidR="00000000" w:rsidRPr="00000000">
        <w:fldChar w:fldCharType="end"/>
      </w:r>
      <w:hyperlink r:id="rId23">
        <w:r w:rsidDel="00000000" w:rsidR="00000000" w:rsidRPr="00000000">
          <w:rPr>
            <w:rFonts w:ascii="Times New Roman" w:cs="Times New Roman" w:eastAsia="Times New Roman" w:hAnsi="Times New Roman"/>
            <w:sz w:val="24"/>
            <w:szCs w:val="24"/>
            <w:rtl w:val="0"/>
          </w:rPr>
          <w:t xml:space="preserve">ON Semi</w:t>
        </w:r>
      </w:hyperlink>
      <w:r w:rsidDel="00000000" w:rsidR="00000000" w:rsidRPr="00000000">
        <w:rPr>
          <w:rFonts w:ascii="Times New Roman" w:cs="Times New Roman" w:eastAsia="Times New Roman" w:hAnsi="Times New Roman"/>
          <w:sz w:val="24"/>
          <w:szCs w:val="24"/>
          <w:rtl w:val="0"/>
        </w:rPr>
        <w:t xml:space="preserve"> featured CMOS processes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240" w:lineRule="auto"/>
        <w:ind w:left="520" w:firstLine="0"/>
        <w:contextualSpacing w:val="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sz w:val="24"/>
            <w:szCs w:val="24"/>
            <w:rtl w:val="0"/>
          </w:rPr>
          <w:t xml:space="preserve">I3T80 (0.35 µm)</w:t>
        </w:r>
      </w:hyperlink>
      <w:r w:rsidDel="00000000" w:rsidR="00000000" w:rsidRPr="00000000">
        <w:rPr>
          <w:rFonts w:ascii="Times New Roman" w:cs="Times New Roman" w:eastAsia="Times New Roman" w:hAnsi="Times New Roman"/>
          <w:sz w:val="24"/>
          <w:szCs w:val="24"/>
          <w:rtl w:val="0"/>
        </w:rPr>
        <w:t xml:space="preserve">, </w:t>
      </w:r>
      <w:hyperlink r:id="rId25">
        <w:r w:rsidDel="00000000" w:rsidR="00000000" w:rsidRPr="00000000">
          <w:rPr>
            <w:rFonts w:ascii="Times New Roman" w:cs="Times New Roman" w:eastAsia="Times New Roman" w:hAnsi="Times New Roman"/>
            <w:sz w:val="24"/>
            <w:szCs w:val="24"/>
            <w:rtl w:val="0"/>
          </w:rPr>
          <w:t xml:space="preserve">C5 (0.5 µm)</w:t>
        </w:r>
      </w:hyperlink>
      <w:r w:rsidDel="00000000" w:rsidR="00000000" w:rsidRPr="00000000">
        <w:rPr>
          <w:rFonts w:ascii="Times New Roman" w:cs="Times New Roman" w:eastAsia="Times New Roman" w:hAnsi="Times New Roman"/>
          <w:sz w:val="24"/>
          <w:szCs w:val="24"/>
          <w:rtl w:val="0"/>
        </w:rPr>
        <w:t xml:space="preserve">, and </w:t>
      </w:r>
      <w:hyperlink r:id="rId26">
        <w:r w:rsidDel="00000000" w:rsidR="00000000" w:rsidRPr="00000000">
          <w:rPr>
            <w:rFonts w:ascii="Times New Roman" w:cs="Times New Roman" w:eastAsia="Times New Roman" w:hAnsi="Times New Roman"/>
            <w:sz w:val="24"/>
            <w:szCs w:val="24"/>
            <w:rtl w:val="0"/>
          </w:rPr>
          <w:t xml:space="preserve">I2T100 (0.7 µm)</w:t>
        </w:r>
      </w:hyperlink>
      <w:r w:rsidDel="00000000" w:rsidR="00000000" w:rsidRPr="00000000">
        <w:rPr>
          <w:rFonts w:ascii="Times New Roman" w:cs="Times New Roman" w:eastAsia="Times New Roman" w:hAnsi="Times New Roman"/>
          <w:sz w:val="24"/>
          <w:szCs w:val="24"/>
          <w:rtl w:val="0"/>
        </w:rPr>
        <w:t xml:space="preserve"> CMOS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For question (c), use the following processes only:</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ON (0.5um CMOS)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AMS (0.18um CMOS)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GlobalFoundries (0.18um HV CMOS)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TSMC (90nm Mixed Signal G CMOS)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 Assuming that each transistor occupies an area of 12L x 16L, where L is (feature size)/2. How many transistors can be placed in each 5mm x 5mm chip offered by MOSIS.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0.5um=0.0005mm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Row: 5/(12*0.0005/2)=1666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Column:  5/(16*0.0005/2)=1250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of transistors can be put on the 5mm*5mm chip= 1666*1250=2082500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AMS &amp; GlobalFoundries: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0.18um=0.00018mm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Row: 5/(12*0.00018/2)=4629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Column:  5/(16*0.00018/2)=3472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of transistors can be put on the 5mm*5mm chip= 3472*4629=16071888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TSMC: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90nm=0.00009mm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Row: 5/(12*0.00009/2)=9259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Column:  5/(16*0.00009/2)=6944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of transistors can be put on the 5mm*5mm chip= 9259*6944=64294496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 What is the value of COX, mobility and threshold voltage for the NMOS and PMOS transistors in the ON Semiconductor 0.5um run (wafer electrical tests sheet given below). Determine the capacitance between two 1mm long conductors, implemented with minimum width Poly1 and Metal3, drawn directly on top of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NMOS: 57.2*⅖=22.92 ua/v^3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PMOS: -18.9*⅖=-7.56 ua/v^3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Mobility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NMOS: 464.63 cm^2/vs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PMOS: 153.26 cm^2/vs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Threshold Voltage: unit: v</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PMOS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Capacitance: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1mm=1000um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9*1000*1000=9*10^6 aF</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osis.com/vendors/view/ams" TargetMode="External"/><Relationship Id="rId22" Type="http://schemas.openxmlformats.org/officeDocument/2006/relationships/hyperlink" Target="https://www.mosis.com/vendors/view/ams/h18" TargetMode="External"/><Relationship Id="rId21" Type="http://schemas.openxmlformats.org/officeDocument/2006/relationships/hyperlink" Target="https://www.mosis.com/vendors/view/ams/c18" TargetMode="External"/><Relationship Id="rId24" Type="http://schemas.openxmlformats.org/officeDocument/2006/relationships/hyperlink" Target="https://www.mosis.com/vendors/view/on-semiconductor/i3t80" TargetMode="External"/><Relationship Id="rId23" Type="http://schemas.openxmlformats.org/officeDocument/2006/relationships/hyperlink" Target="https://www.mosis.com/vendors/view/on-semiconducto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mosis.com/vendors/view/global-foundries/n65" TargetMode="External"/><Relationship Id="rId26" Type="http://schemas.openxmlformats.org/officeDocument/2006/relationships/hyperlink" Target="https://www.mosis.com/vendors/view/on-semiconductor/i2t100" TargetMode="External"/><Relationship Id="rId25" Type="http://schemas.openxmlformats.org/officeDocument/2006/relationships/hyperlink" Target="https://www.mosis.com/vendors/view/on-semiconductor/c5" TargetMode="External"/><Relationship Id="rId5" Type="http://schemas.openxmlformats.org/officeDocument/2006/relationships/hyperlink" Target="https://www.mosis.com/vendors/view/global-foundries" TargetMode="External"/><Relationship Id="rId6" Type="http://schemas.openxmlformats.org/officeDocument/2006/relationships/hyperlink" Target="https://www.mosis.com/vendors/view/global-foundries/014" TargetMode="External"/><Relationship Id="rId7" Type="http://schemas.openxmlformats.org/officeDocument/2006/relationships/hyperlink" Target="https://www.mosis.com/vendors/view/global-foundries/028" TargetMode="External"/><Relationship Id="rId8" Type="http://schemas.openxmlformats.org/officeDocument/2006/relationships/hyperlink" Target="https://www.mosis.com/vendors/view/global-foundries/040" TargetMode="External"/><Relationship Id="rId11" Type="http://schemas.openxmlformats.org/officeDocument/2006/relationships/hyperlink" Target="https://www.mosis.com/vendors/view/tsmc" TargetMode="External"/><Relationship Id="rId10" Type="http://schemas.openxmlformats.org/officeDocument/2006/relationships/hyperlink" Target="https://www.mosis.com/vendors/view/global-foundries/013" TargetMode="External"/><Relationship Id="rId13" Type="http://schemas.openxmlformats.org/officeDocument/2006/relationships/hyperlink" Target="https://www.mosis.com/vendors/view/tsmc/40nm" TargetMode="External"/><Relationship Id="rId12" Type="http://schemas.openxmlformats.org/officeDocument/2006/relationships/hyperlink" Target="https://www.mosis.com/vendors/view/tsmc/28nm" TargetMode="External"/><Relationship Id="rId15" Type="http://schemas.openxmlformats.org/officeDocument/2006/relationships/hyperlink" Target="https://www.mosis.com/vendors/view/tsmc/65nm" TargetMode="External"/><Relationship Id="rId14" Type="http://schemas.openxmlformats.org/officeDocument/2006/relationships/hyperlink" Target="https://www.mosis.com/vendors/view/tsmc/45nm" TargetMode="External"/><Relationship Id="rId17" Type="http://schemas.openxmlformats.org/officeDocument/2006/relationships/hyperlink" Target="https://www.mosis.com/vendors/view/tsmc/013-cr" TargetMode="External"/><Relationship Id="rId16" Type="http://schemas.openxmlformats.org/officeDocument/2006/relationships/hyperlink" Target="https://www.mosis.com/vendors/view/tsmc/90nm" TargetMode="External"/><Relationship Id="rId19" Type="http://schemas.openxmlformats.org/officeDocument/2006/relationships/hyperlink" Target="https://www.mosis.com/vendors/view/tsmc/035" TargetMode="External"/><Relationship Id="rId18" Type="http://schemas.openxmlformats.org/officeDocument/2006/relationships/hyperlink" Target="https://www.mosis.com/vendors/view/tsmc/018" TargetMode="External"/></Relationships>
</file>