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8"/>
          <w:szCs w:val="28"/>
        </w:rPr>
      </w:pPr>
      <w:r w:rsidDel="00000000" w:rsidR="00000000" w:rsidRPr="00000000">
        <w:rPr>
          <w:sz w:val="28"/>
          <w:szCs w:val="28"/>
          <w:rtl w:val="0"/>
        </w:rPr>
        <w:t xml:space="preserve">CAD of Digital VLSI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sz w:val="24"/>
          <w:szCs w:val="24"/>
        </w:rPr>
      </w:pPr>
      <w:r w:rsidDel="00000000" w:rsidR="00000000" w:rsidRPr="00000000">
        <w:rPr>
          <w:sz w:val="24"/>
          <w:szCs w:val="24"/>
          <w:rtl w:val="0"/>
        </w:rPr>
        <w:t xml:space="preserve">Homework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Youzhe Dou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894356" cy="4602081"/>
            <wp:effectExtent b="0" l="0" r="0" t="0"/>
            <wp:docPr id="2"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894356" cy="460208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Figure 1 NMOS W=L=10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692807" cy="4410199"/>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92807" cy="441019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Figure  2 PMOS W=L=10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756298" cy="4471988"/>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56298" cy="4471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Figure 3 NMOS W=L=500 nm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875306" cy="4551936"/>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875306" cy="455193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Figure 4 PMOS W=L=500 nm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sz w:val="20"/>
          <w:szCs w:val="20"/>
          <w:rtl w:val="0"/>
        </w:rPr>
        <w:t xml:space="preserve">From the four graphs above, we can see that short channel effect has significant effect on NMOS. When the feature size decreases, corresponding current become smaller. However, the result is not so significant with PMOS.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0"/>
          <w:szCs w:val="20"/>
        </w:rPr>
      </w:pPr>
      <w:r w:rsidDel="00000000" w:rsidR="00000000" w:rsidRPr="00000000">
        <w:rPr>
          <w:b w:val="1"/>
          <w:sz w:val="20"/>
          <w:szCs w:val="20"/>
          <w:rtl w:val="0"/>
        </w:rPr>
        <w:t xml:space="preserve">Part 2 5um NMOS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3767818" cy="3043238"/>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767818" cy="30432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Layout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4834236" cy="284321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34236" cy="28432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LVS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Pr>
        <w:drawing>
          <wp:inline distB="114300" distT="114300" distL="114300" distR="114300">
            <wp:extent cx="5943600" cy="10160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DRC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6.png"/><Relationship Id="rId9" Type="http://schemas.openxmlformats.org/officeDocument/2006/relationships/image" Target="media/image14.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3.png"/></Relationships>
</file>