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A3A56">
      <w:pPr>
        <w:rPr>
          <w:rFonts w:hint="default" w:ascii="Times New Roman Regular" w:hAnsi="Times New Roman Regular" w:eastAsia="宋体" w:cs="Times New Roman Regular"/>
        </w:rPr>
      </w:pPr>
    </w:p>
    <w:p w14:paraId="2EC8E508">
      <w:pPr>
        <w:rPr>
          <w:rFonts w:hint="default" w:ascii="Times New Roman Regular" w:hAnsi="Times New Roman Regular" w:eastAsia="宋体" w:cs="Times New Roman Regular"/>
          <w:b/>
          <w:bCs/>
          <w:sz w:val="28"/>
          <w:szCs w:val="28"/>
        </w:rPr>
      </w:pPr>
      <w:r>
        <w:rPr>
          <w:rFonts w:hint="default" w:ascii="Times New Roman Regular" w:hAnsi="Times New Roman Regular" w:eastAsia="宋体" w:cs="Times New Roman Regular"/>
          <w:b/>
          <w:bCs/>
          <w:sz w:val="28"/>
          <w:szCs w:val="28"/>
        </w:rPr>
        <w:t>石榴</w:t>
      </w:r>
      <w:r>
        <w:rPr>
          <w:rFonts w:hint="eastAsia" w:ascii="Times New Roman Regular" w:hAnsi="Times New Roman Regular" w:eastAsia="宋体" w:cs="Times New Roman Regular"/>
          <w:b/>
          <w:bCs/>
          <w:sz w:val="28"/>
          <w:szCs w:val="28"/>
          <w:lang w:val="en-US" w:eastAsia="zh-CN"/>
        </w:rPr>
        <w:t>APP</w:t>
      </w:r>
      <w:r>
        <w:rPr>
          <w:rFonts w:hint="default" w:ascii="Times New Roman Regular" w:hAnsi="Times New Roman Regular" w:eastAsia="宋体" w:cs="Times New Roman Regular"/>
          <w:b/>
          <w:bCs/>
          <w:sz w:val="28"/>
          <w:szCs w:val="28"/>
        </w:rPr>
        <w:t>智能病历库系统建设项目立项书（修订版）</w:t>
      </w:r>
    </w:p>
    <w:p w14:paraId="1B5A1F03">
      <w:pPr>
        <w:rPr>
          <w:rFonts w:hint="default" w:ascii="Times New Roman Regular" w:hAnsi="Times New Roman Regular" w:eastAsia="宋体" w:cs="Times New Roman Regular"/>
        </w:rPr>
      </w:pPr>
    </w:p>
    <w:p w14:paraId="5CA383B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一、项目背景</w:t>
      </w:r>
    </w:p>
    <w:p w14:paraId="10432CA6">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肿瘤患者诊疗过程复杂、病程长，且常合并多种慢性疾病。临床实践中，大量病历资料以纸质、影像、语音及非结构化文本形式存在，信息分散、难以统一管理，特别是肿瘤合并共病患者的诊疗信息更为碎片化，制约了临床决策效率、科研质量及临床试验筛查能力。</w:t>
      </w:r>
    </w:p>
    <w:p w14:paraId="329B2250">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为解决上述问题，在原有立项方案基础上，进一步强化病例库建设理念，拟建设“石榴app智能病历库系统”，通过多模态采集与人工智能结构化技术，构建以肿瘤患者纵向病程为核心、兼顾共病信息的智能病例库，为临床、科研及项目管理提供高质量数据底座。</w:t>
      </w:r>
    </w:p>
    <w:p w14:paraId="256436D9">
      <w:pPr>
        <w:rPr>
          <w:rFonts w:hint="default" w:ascii="Times New Roman Regular" w:hAnsi="Times New Roman Regular" w:eastAsia="宋体" w:cs="Times New Roman Regular"/>
        </w:rPr>
      </w:pPr>
    </w:p>
    <w:p w14:paraId="1D23CFC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二、项目目标</w:t>
      </w:r>
    </w:p>
    <w:p w14:paraId="65AA33F8">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 构建院级智能病例库，实现多模态临床资料的集中存储与统一索引。</w:t>
      </w:r>
    </w:p>
    <w:p w14:paraId="1571E8E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 建立AI结构化抽取体系，自动识别诊断、分期、治疗史、用药方案及共病相关信息。</w:t>
      </w:r>
    </w:p>
    <w:p w14:paraId="0AA70A68">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3. 形成患者纵向连续的时间线病程，实现跨时间、跨来源病例资料的自动续接。</w:t>
      </w:r>
    </w:p>
    <w:p w14:paraId="19BCF64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 在病例库设计阶段即支持肿瘤患者共病信息的结构化采集与持续更新。</w:t>
      </w:r>
    </w:p>
    <w:p w14:paraId="55F7E2BE">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 支持疾病多标签归类，实现病例的快速检索、筛选与队列构建。</w:t>
      </w:r>
    </w:p>
    <w:p w14:paraId="4291A2A6">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6. 与YABY系统实现“小丫筛查”联动，为临床试验与真实世界研究提供候选病例支持。</w:t>
      </w:r>
    </w:p>
    <w:p w14:paraId="55DF7C9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7. 构建可脱敏、可复用的科研数据资产。</w:t>
      </w:r>
    </w:p>
    <w:p w14:paraId="448E969C">
      <w:pPr>
        <w:rPr>
          <w:rFonts w:hint="default" w:ascii="Times New Roman Regular" w:hAnsi="Times New Roman Regular" w:eastAsia="宋体" w:cs="Times New Roman Regular"/>
        </w:rPr>
      </w:pPr>
    </w:p>
    <w:p w14:paraId="25847186">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三、建设内容</w:t>
      </w:r>
    </w:p>
    <w:p w14:paraId="52B0877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（一）多模态病例采集模块</w:t>
      </w:r>
    </w:p>
    <w:p w14:paraId="058C37E4">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支持拍照、语音、PDF及电子文档上传，完整保留原始病历资料，实现真实世界病例的连续采集。</w:t>
      </w:r>
    </w:p>
    <w:p w14:paraId="5D40E27C">
      <w:pPr>
        <w:rPr>
          <w:rFonts w:hint="default" w:ascii="Times New Roman Regular" w:hAnsi="Times New Roman Regular" w:eastAsia="宋体" w:cs="Times New Roman Regular"/>
        </w:rPr>
      </w:pPr>
    </w:p>
    <w:p w14:paraId="0D22CD0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（二）AI结构化抽取与标准化模块</w:t>
      </w:r>
    </w:p>
    <w:p w14:paraId="0C6908F7">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通过OCR/ASR及大模型技术，对非结构化文本进行纠错、归一与解析，自动形成标准化的诊断、分期、治疗线数、用药组合及共病信息结构。</w:t>
      </w:r>
    </w:p>
    <w:p w14:paraId="15FD403C">
      <w:pPr>
        <w:rPr>
          <w:rFonts w:hint="default" w:ascii="Times New Roman Regular" w:hAnsi="Times New Roman Regular" w:eastAsia="宋体" w:cs="Times New Roman Regular"/>
        </w:rPr>
      </w:pPr>
    </w:p>
    <w:p w14:paraId="4080C291">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（三）纵向时间线与病例续接模块</w:t>
      </w:r>
    </w:p>
    <w:p w14:paraId="2A4B758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支持同一患者跨时间、跨来源病例资料的自动识别与续接，形成完整纵向病例库，并支持任意时间点病程回溯。</w:t>
      </w:r>
    </w:p>
    <w:p w14:paraId="7A767788">
      <w:pPr>
        <w:rPr>
          <w:rFonts w:hint="default" w:ascii="Times New Roman Regular" w:hAnsi="Times New Roman Regular" w:eastAsia="宋体" w:cs="Times New Roman Regular"/>
        </w:rPr>
      </w:pPr>
    </w:p>
    <w:p w14:paraId="5B864312">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（四）共病结构化支持模块</w:t>
      </w:r>
    </w:p>
    <w:p w14:paraId="6D23F2D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在病例库架构中内建共病信息结构，支持代谢性疾病、心血管疾病、慢性器官功能损害及营养状态等信息的记录与更新。</w:t>
      </w:r>
    </w:p>
    <w:p w14:paraId="49569D6A">
      <w:pPr>
        <w:rPr>
          <w:rFonts w:hint="default" w:ascii="Times New Roman Regular" w:hAnsi="Times New Roman Regular" w:eastAsia="宋体" w:cs="Times New Roman Regular"/>
        </w:rPr>
      </w:pPr>
    </w:p>
    <w:p w14:paraId="65AF182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（五）多标签病例索引与检索模块</w:t>
      </w:r>
    </w:p>
    <w:p w14:paraId="64FE45CD">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基于诊断、部位、共病及治疗特征，自动形成多层多标签病例索引，支持灵活组合检索。</w:t>
      </w:r>
    </w:p>
    <w:p w14:paraId="5887685B">
      <w:pPr>
        <w:rPr>
          <w:rFonts w:hint="default" w:ascii="Times New Roman Regular" w:hAnsi="Times New Roman Regular" w:eastAsia="宋体" w:cs="Times New Roman Regular"/>
        </w:rPr>
      </w:pPr>
    </w:p>
    <w:p w14:paraId="0BE6E54A">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（六）石榴app与YABY联动模块</w:t>
      </w:r>
    </w:p>
    <w:p w14:paraId="0F4E40DD">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通过患者快照接口，为YABY“小丫筛查”提供结构化病例信息；对筛查所需但缺失的字段，回写石榴app形成补录闭环。</w:t>
      </w:r>
    </w:p>
    <w:p w14:paraId="62B92D61">
      <w:pPr>
        <w:rPr>
          <w:rFonts w:hint="default" w:ascii="Times New Roman Regular" w:hAnsi="Times New Roman Regular" w:eastAsia="宋体" w:cs="Times New Roman Regular"/>
        </w:rPr>
      </w:pPr>
    </w:p>
    <w:p w14:paraId="1645B55A">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（七）科研数据管理模块</w:t>
      </w:r>
    </w:p>
    <w:p w14:paraId="77C7259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在保留原始资料可追溯性的同时，形成脱敏的结构化科研数据，支持队列构建与统计分析。</w:t>
      </w:r>
    </w:p>
    <w:p w14:paraId="1318B4E7">
      <w:pPr>
        <w:rPr>
          <w:rFonts w:hint="default" w:ascii="Times New Roman Regular" w:hAnsi="Times New Roman Regular" w:eastAsia="宋体" w:cs="Times New Roman Regular"/>
        </w:rPr>
      </w:pPr>
    </w:p>
    <w:p w14:paraId="7AF571A7">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四、项目优势（病例库建设视角）</w:t>
      </w:r>
    </w:p>
    <w:p w14:paraId="1B47A260">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 真实连续：以真实临床过程为基础，病例来源真实、时间连续、可追溯。</w:t>
      </w:r>
    </w:p>
    <w:p w14:paraId="150607E4">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 结构先行：病例库在设计阶段即支持肿瘤及共病信息的结构化建模。</w:t>
      </w:r>
    </w:p>
    <w:p w14:paraId="70E5B51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3. 多模态高吞吐：支持图片、语音及非规范文本直接入库，降低采集门槛。</w:t>
      </w:r>
    </w:p>
    <w:p w14:paraId="67C61487">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 AI自动建库：利用人工智能实现治疗史、线数及共病信息的自动标准化。</w:t>
      </w:r>
    </w:p>
    <w:p w14:paraId="4716956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5. 自动续接：避免重复建档，形成完整纵向病例库。</w:t>
      </w:r>
    </w:p>
    <w:p w14:paraId="24A456D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6. 双层架构：原始资料与结构化事实并存，兼顾可追溯性与可用性。</w:t>
      </w:r>
    </w:p>
    <w:p w14:paraId="6B41587E">
      <w:pPr>
        <w:rPr>
          <w:rFonts w:hint="default" w:ascii="Times New Roman Regular" w:hAnsi="Times New Roman Regular" w:eastAsia="宋体" w:cs="Times New Roman Regular"/>
        </w:rPr>
      </w:pPr>
    </w:p>
    <w:p w14:paraId="3FBFBD31">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五、建设方案与路径</w:t>
      </w:r>
    </w:p>
    <w:p w14:paraId="1312CD5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第一阶段（3个月）：完成多模态采集、基础OCR/ASR、初步结构化抽取及时间线构建。</w:t>
      </w:r>
    </w:p>
    <w:p w14:paraId="5C36C34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第二阶段（6–9个月）：强化治疗史与共病结构化能力，完善多标签索引及“小丫筛查”闭环。</w:t>
      </w:r>
    </w:p>
    <w:p w14:paraId="4373FE34">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第三阶段（12–18个月）：形成稳定科研数据资产，支持多中心推广应用。</w:t>
      </w:r>
    </w:p>
    <w:p w14:paraId="6DC8A848">
      <w:pPr>
        <w:rPr>
          <w:rFonts w:hint="default" w:ascii="Times New Roman Regular" w:hAnsi="Times New Roman Regular" w:eastAsia="宋体" w:cs="Times New Roman Regular"/>
        </w:rPr>
      </w:pPr>
    </w:p>
    <w:p w14:paraId="637B431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六、预期效果</w:t>
      </w:r>
    </w:p>
    <w:p w14:paraId="3ECE53D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 病例结构化率达到80%–95%。</w:t>
      </w:r>
    </w:p>
    <w:p w14:paraId="53EFC474">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2. 显著提升病例检索与筛查效率。</w:t>
      </w:r>
    </w:p>
    <w:p w14:paraId="3C86171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3. 为肿瘤共病研究及临床试验提供高质量病例库。</w:t>
      </w:r>
    </w:p>
    <w:p w14:paraId="40CE408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4. 形成可复制、可推广的智能病例库建设模式。</w:t>
      </w:r>
    </w:p>
    <w:p w14:paraId="25B60E04">
      <w:pPr>
        <w:rPr>
          <w:rFonts w:hint="default" w:ascii="Times New Roman Regular" w:hAnsi="Times New Roman Regular" w:eastAsia="宋体" w:cs="Times New Roman Regular"/>
        </w:rPr>
      </w:pPr>
    </w:p>
    <w:p w14:paraId="0CB68ED8">
      <w:pPr>
        <w:ind w:firstLine="440" w:firstLineChars="200"/>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石榴app智能病历库将实现从“资料汇集”向“结构化病例资产”的升级，为肿瘤及共病患者的临床管理、科研及项目筛查提供长期支撑。</w:t>
      </w:r>
    </w:p>
    <w:p w14:paraId="051FB922">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br w:type="page"/>
      </w:r>
    </w:p>
    <w:p w14:paraId="7A414EDD">
      <w:pPr>
        <w:rPr>
          <w:rFonts w:hint="default" w:ascii="Times New Roman Regular" w:hAnsi="Times New Roman Regular" w:eastAsia="宋体" w:cs="Times New Roman Regular"/>
          <w:sz w:val="24"/>
          <w:szCs w:val="24"/>
        </w:rPr>
      </w:pPr>
    </w:p>
    <w:p w14:paraId="379C978F">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数据安全与隐私保护说明</w:t>
      </w:r>
    </w:p>
    <w:p w14:paraId="5F1F19AA">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一、总体安全原则</w:t>
      </w:r>
    </w:p>
    <w:p w14:paraId="6F856BA5">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石榴app智能病历库系统在建设过程中，将数据安全、患者隐私保护及人工智能合规使用作为系统设计的前置条件，遵循“制度约束优先、技术手段兜底、权限分级可控、全程操作可追溯”的总体原则，确保医疗数据在采集、处理、存储、分析及使用全过程中的安全性与合规性。</w:t>
      </w:r>
    </w:p>
    <w:p w14:paraId="4E4BBA68">
      <w:pPr>
        <w:rPr>
          <w:rFonts w:hint="default" w:ascii="Times New Roman Regular" w:hAnsi="Times New Roman Regular" w:eastAsia="宋体" w:cs="Times New Roman Regular"/>
          <w:sz w:val="24"/>
          <w:szCs w:val="24"/>
        </w:rPr>
      </w:pPr>
    </w:p>
    <w:p w14:paraId="7546B975">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二、云服务与人工智能（AI）安全性说明</w:t>
      </w:r>
    </w:p>
    <w:p w14:paraId="164C2A0B">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1. 云服务合规性</w:t>
      </w:r>
    </w:p>
    <w:p w14:paraId="68F62A0E">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系统采用签署严格保密协议的云服务环境，云服务提供方需符合国家关于医疗健康数据、网络安全与信息保护的相关法律法规要求。所有数据存储与计算资源仅限于本项目授权用途，云服务方不具备数据使用、分析或转移权限。</w:t>
      </w:r>
    </w:p>
    <w:p w14:paraId="2C48932F">
      <w:pPr>
        <w:rPr>
          <w:rFonts w:hint="default" w:ascii="Times New Roman Regular" w:hAnsi="Times New Roman Regular" w:eastAsia="宋体" w:cs="Times New Roman Regular"/>
          <w:sz w:val="24"/>
          <w:szCs w:val="24"/>
        </w:rPr>
      </w:pPr>
    </w:p>
    <w:p w14:paraId="3ADE53AF">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2. AI 调用安全边界</w:t>
      </w:r>
    </w:p>
    <w:p w14:paraId="2FFF6EA0">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石榴app中涉及的人工智能能力仅作为“数据处理与结构化工具”使用，其核心原则包括：</w:t>
      </w:r>
    </w:p>
    <w:p w14:paraId="34A7D02E">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（1）AI 不参与任何临床决策，不替代医生判断；</w:t>
      </w:r>
    </w:p>
    <w:p w14:paraId="29686E0B">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（2）AI 不保留、不训练、不外传任何患者原始数据；</w:t>
      </w:r>
    </w:p>
    <w:p w14:paraId="17CB96D6">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（3）AI 调用过程严格限定在封闭计算环境中，禁止将患者可识别信息暴露至公共模型或非授权环境。</w:t>
      </w:r>
    </w:p>
    <w:p w14:paraId="3F9D3C5E">
      <w:pPr>
        <w:rPr>
          <w:rFonts w:hint="default" w:ascii="Times New Roman Regular" w:hAnsi="Times New Roman Regular" w:eastAsia="宋体" w:cs="Times New Roman Regular"/>
          <w:sz w:val="24"/>
          <w:szCs w:val="24"/>
        </w:rPr>
      </w:pPr>
    </w:p>
    <w:p w14:paraId="485F21FF">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3. AI 数据最小化原则</w:t>
      </w:r>
    </w:p>
    <w:p w14:paraId="0548C5D4">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在调用 AI 进行结构化解析、信息抽取或文本理解时，系统仅向 AI 模块提供完成任务所必需的最小数据单元，避免整体病历或完整身份信息的无控制暴露。</w:t>
      </w:r>
    </w:p>
    <w:p w14:paraId="0C68E9A8">
      <w:pPr>
        <w:rPr>
          <w:rFonts w:hint="default" w:ascii="Times New Roman Regular" w:hAnsi="Times New Roman Regular" w:eastAsia="宋体" w:cs="Times New Roman Regular"/>
          <w:sz w:val="24"/>
          <w:szCs w:val="24"/>
        </w:rPr>
      </w:pPr>
    </w:p>
    <w:p w14:paraId="4604619C">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三、脱敏数据存储与“沙盒化”管理机制</w:t>
      </w:r>
    </w:p>
    <w:p w14:paraId="16B7D593">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1. 原始数据与脱敏数据分层存储</w:t>
      </w:r>
    </w:p>
    <w:p w14:paraId="0CDD389F">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系统采用“双层数据架构”：</w:t>
      </w:r>
    </w:p>
    <w:p w14:paraId="78E2CBB0">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原始病历资料（图片、文档、语音等）在加密环境中独立存储，用于临床溯源与审核；</w:t>
      </w:r>
    </w:p>
    <w:p w14:paraId="348A2202">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脱敏后的结构化数据用于统计分析、科研建库及模型研究。</w:t>
      </w:r>
    </w:p>
    <w:p w14:paraId="7BAAEC37">
      <w:pPr>
        <w:rPr>
          <w:rFonts w:hint="default" w:ascii="Times New Roman Regular" w:hAnsi="Times New Roman Regular" w:eastAsia="宋体" w:cs="Times New Roman Regular"/>
          <w:sz w:val="24"/>
          <w:szCs w:val="24"/>
        </w:rPr>
      </w:pPr>
    </w:p>
    <w:p w14:paraId="56039397">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两类数据在物理与逻辑层面相互隔离，防止通过单一入口还原患者身份。</w:t>
      </w:r>
    </w:p>
    <w:p w14:paraId="2B5C1FC4">
      <w:pPr>
        <w:rPr>
          <w:rFonts w:hint="default" w:ascii="Times New Roman Regular" w:hAnsi="Times New Roman Regular" w:eastAsia="宋体" w:cs="Times New Roman Regular"/>
          <w:sz w:val="24"/>
          <w:szCs w:val="24"/>
        </w:rPr>
      </w:pPr>
    </w:p>
    <w:p w14:paraId="1AC8BCDB">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2. 脱敏数据沙盒（Sandbox）机制</w:t>
      </w:r>
    </w:p>
    <w:p w14:paraId="3F9E216E">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科研与分析所使用的脱敏数据均在受控“数据沙盒”环境中运行：</w:t>
      </w:r>
    </w:p>
    <w:p w14:paraId="271E8BA1">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沙盒环境与生产环境物理或逻辑隔离；</w:t>
      </w:r>
    </w:p>
    <w:p w14:paraId="0A61474C">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不允许直接访问原始病历文件；</w:t>
      </w:r>
    </w:p>
    <w:p w14:paraId="7D87BAEC">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不允许通过外部接口反向导出患者可识别信息；</w:t>
      </w:r>
    </w:p>
    <w:p w14:paraId="03DC8C0A">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所有操作均纳入日志审计。</w:t>
      </w:r>
    </w:p>
    <w:p w14:paraId="7CBD9618">
      <w:pPr>
        <w:rPr>
          <w:rFonts w:hint="default" w:ascii="Times New Roman Regular" w:hAnsi="Times New Roman Regular" w:eastAsia="宋体" w:cs="Times New Roman Regular"/>
          <w:sz w:val="24"/>
          <w:szCs w:val="24"/>
        </w:rPr>
      </w:pPr>
    </w:p>
    <w:p w14:paraId="787698B5">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3. 沙盒数据溯源与审计</w:t>
      </w:r>
    </w:p>
    <w:p w14:paraId="5FCB8EAA">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每一条进入沙盒的数据均保留完整的溯源信息，包括：</w:t>
      </w:r>
    </w:p>
    <w:p w14:paraId="7644DEB6">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数据来源事件（但不包含直接身份标识）；</w:t>
      </w:r>
    </w:p>
    <w:p w14:paraId="6F999300">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脱敏规则与处理时间；</w:t>
      </w:r>
    </w:p>
    <w:p w14:paraId="763E54B7">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使用人、使用目的及使用范围。</w:t>
      </w:r>
    </w:p>
    <w:p w14:paraId="3227601E">
      <w:pPr>
        <w:rPr>
          <w:rFonts w:hint="default" w:ascii="Times New Roman Regular" w:hAnsi="Times New Roman Regular" w:eastAsia="宋体" w:cs="Times New Roman Regular"/>
          <w:sz w:val="24"/>
          <w:szCs w:val="24"/>
        </w:rPr>
      </w:pPr>
    </w:p>
    <w:p w14:paraId="6F1DE675">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系统支持在必要情况下进行数据使用路径回溯，满足科研审计、伦理审查及监管要求。</w:t>
      </w:r>
    </w:p>
    <w:p w14:paraId="79FDFC93">
      <w:pPr>
        <w:rPr>
          <w:rFonts w:hint="default" w:ascii="Times New Roman Regular" w:hAnsi="Times New Roman Regular" w:eastAsia="宋体" w:cs="Times New Roman Regular"/>
          <w:sz w:val="24"/>
          <w:szCs w:val="24"/>
        </w:rPr>
      </w:pPr>
    </w:p>
    <w:p w14:paraId="487B9623">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四、权限控制与操作审计</w:t>
      </w:r>
    </w:p>
    <w:p w14:paraId="3E813958">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系统采用分级权限与最小授权原则：</w:t>
      </w:r>
    </w:p>
    <w:p w14:paraId="4A8F103E">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不同角色仅可访问与其职责相符的数据层级；</w:t>
      </w:r>
    </w:p>
    <w:p w14:paraId="496D615D">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原始数据、结构化数据、脱敏数据分别设置访问权限；</w:t>
      </w:r>
    </w:p>
    <w:p w14:paraId="5E187863">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所有数据访问、AI 调用、导出与修改行为均自动记录日志，确保可追溯、可审计。</w:t>
      </w:r>
    </w:p>
    <w:p w14:paraId="3A18FDB5">
      <w:pPr>
        <w:rPr>
          <w:rFonts w:hint="default" w:ascii="Times New Roman Regular" w:hAnsi="Times New Roman Regular" w:eastAsia="宋体" w:cs="Times New Roman Regular"/>
          <w:sz w:val="24"/>
          <w:szCs w:val="24"/>
        </w:rPr>
      </w:pPr>
    </w:p>
    <w:p w14:paraId="6605696B">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五、科研导出与对外使用安全</w:t>
      </w:r>
    </w:p>
    <w:p w14:paraId="7E97CFA4">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科研数据导出需经过授权审批流程，导出内容默认不包含任何可直接识别患者身份的信息。禁止未经审批的数据复制、外传或二次分发，确保科研使用与临床数据安全边界清晰。</w:t>
      </w:r>
    </w:p>
    <w:p w14:paraId="3E839559">
      <w:pPr>
        <w:rPr>
          <w:rFonts w:hint="default" w:ascii="Times New Roman Regular" w:hAnsi="Times New Roman Regular" w:eastAsia="宋体" w:cs="Times New Roman Regular"/>
          <w:sz w:val="24"/>
          <w:szCs w:val="24"/>
        </w:rPr>
      </w:pPr>
    </w:p>
    <w:p w14:paraId="526857D5">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六、持续安全治理</w:t>
      </w:r>
    </w:p>
    <w:p w14:paraId="3D5C9C1B">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项目运行期间，将持续开展：</w:t>
      </w:r>
    </w:p>
    <w:p w14:paraId="1A454D3A">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数据安全风险评估；</w:t>
      </w:r>
    </w:p>
    <w:p w14:paraId="585B15F2">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权限与日志定期审计；</w:t>
      </w:r>
    </w:p>
    <w:p w14:paraId="7949DD3B">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AI 模块合规性复核；</w:t>
      </w:r>
    </w:p>
    <w:p w14:paraId="602BAD93">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安全策略动态更新。</w:t>
      </w:r>
    </w:p>
    <w:p w14:paraId="62C9B822">
      <w:pPr>
        <w:rPr>
          <w:rFonts w:hint="default" w:ascii="Times New Roman Regular" w:hAnsi="Times New Roman Regular" w:eastAsia="宋体" w:cs="Times New Roman Regular"/>
          <w:sz w:val="24"/>
          <w:szCs w:val="24"/>
        </w:rPr>
      </w:pPr>
    </w:p>
    <w:p w14:paraId="2A522C59">
      <w:pPr>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通过制度管理与技术防护相结合，确保石榴app智能病历库系统在长期运行中的安全性、稳定性与合规性。石榴app智能病历库在云服务与AI使用过程中，坚持“数据不出域、模型不留数、脱敏进沙盒、使用可溯源”的安全原则，构建符合医疗行业要求的高安全级数据管理体系。</w:t>
      </w:r>
    </w:p>
    <w:p w14:paraId="247753CD">
      <w:pPr>
        <w:rPr>
          <w:rFonts w:hint="default" w:ascii="Times New Roman Regular" w:hAnsi="Times New Roman Regular" w:eastAsia="宋体" w:cs="Times New Roman Regular"/>
          <w:sz w:val="24"/>
          <w:szCs w:val="24"/>
        </w:rPr>
      </w:pPr>
    </w:p>
    <w:p w14:paraId="6F7ECAA7">
      <w:pPr>
        <w:rPr>
          <w:rFonts w:hint="default" w:ascii="Times New Roman Regular" w:hAnsi="Times New Roman Regular" w:eastAsia="宋体" w:cs="Times New Roman Regular"/>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Miss Sweetie">
    <w:panose1 w:val="02000503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汉仪颜楷简">
    <w:panose1 w:val="00020600040101010101"/>
    <w:charset w:val="86"/>
    <w:family w:val="auto"/>
    <w:pitch w:val="default"/>
    <w:sig w:usb0="800000EF" w:usb1="0A417C9A" w:usb2="00000016"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FC0ABA"/>
    <w:rsid w:val="DF7FA6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申威</cp:lastModifiedBy>
  <dcterms:modified xsi:type="dcterms:W3CDTF">2025-12-22T20:31:13Z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1649290BDF96B5D0AE3949692C2B8960_42</vt:lpwstr>
  </property>
</Properties>
</file>