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592F0" w14:textId="77777777" w:rsidR="001C4FDB" w:rsidRPr="0008690D" w:rsidRDefault="001C4FDB" w:rsidP="001C4FDB">
      <w:pPr>
        <w:pStyle w:val="Caption"/>
        <w:keepNext/>
      </w:pPr>
      <w:r w:rsidRPr="0008690D">
        <w:t xml:space="preserve">Appendix </w:t>
      </w:r>
      <w:r w:rsidRPr="0008690D">
        <w:fldChar w:fldCharType="begin"/>
      </w:r>
      <w:r w:rsidRPr="0008690D">
        <w:instrText xml:space="preserve"> SEQ Appendix \* ARABIC </w:instrText>
      </w:r>
      <w:r w:rsidRPr="0008690D">
        <w:fldChar w:fldCharType="separate"/>
      </w:r>
      <w:r w:rsidRPr="0008690D">
        <w:rPr>
          <w:noProof/>
        </w:rPr>
        <w:t>1</w:t>
      </w:r>
      <w:r w:rsidRPr="0008690D">
        <w:fldChar w:fldCharType="end"/>
      </w:r>
      <w:r w:rsidRPr="0008690D">
        <w:t>: Variables’ description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5"/>
        <w:gridCol w:w="1176"/>
        <w:gridCol w:w="5979"/>
      </w:tblGrid>
      <w:tr w:rsidR="001C4FDB" w:rsidRPr="0008690D" w14:paraId="7B58750A" w14:textId="77777777" w:rsidTr="008749CD">
        <w:tc>
          <w:tcPr>
            <w:tcW w:w="1178" w:type="pct"/>
            <w:tcBorders>
              <w:top w:val="single" w:sz="4" w:space="0" w:color="auto"/>
              <w:bottom w:val="single" w:sz="4" w:space="0" w:color="auto"/>
            </w:tcBorders>
          </w:tcPr>
          <w:p w14:paraId="49A2D302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t>Financial group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85DB0E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Variable</w:t>
            </w:r>
          </w:p>
        </w:tc>
        <w:tc>
          <w:tcPr>
            <w:tcW w:w="319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8316E11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rFonts w:cs="Times New Roman"/>
                <w:szCs w:val="24"/>
              </w:rPr>
              <w:t>Description</w:t>
            </w:r>
          </w:p>
        </w:tc>
      </w:tr>
      <w:tr w:rsidR="001C4FDB" w:rsidRPr="0008690D" w14:paraId="68D60735" w14:textId="77777777" w:rsidTr="008749CD">
        <w:tc>
          <w:tcPr>
            <w:tcW w:w="1178" w:type="pct"/>
            <w:vMerge w:val="restart"/>
            <w:tcBorders>
              <w:top w:val="single" w:sz="4" w:space="0" w:color="auto"/>
            </w:tcBorders>
          </w:tcPr>
          <w:p w14:paraId="0B8EEBEF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t>Liquidity</w:t>
            </w:r>
          </w:p>
        </w:tc>
        <w:tc>
          <w:tcPr>
            <w:tcW w:w="628" w:type="pct"/>
            <w:tcBorders>
              <w:top w:val="single" w:sz="4" w:space="0" w:color="auto"/>
            </w:tcBorders>
            <w:vAlign w:val="bottom"/>
          </w:tcPr>
          <w:p w14:paraId="04FDE780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X1</w:t>
            </w:r>
          </w:p>
        </w:tc>
        <w:tc>
          <w:tcPr>
            <w:tcW w:w="3194" w:type="pct"/>
            <w:tcBorders>
              <w:top w:val="single" w:sz="4" w:space="0" w:color="auto"/>
            </w:tcBorders>
            <w:vAlign w:val="bottom"/>
          </w:tcPr>
          <w:p w14:paraId="1BA6CB68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Current Ratio</w:t>
            </w:r>
          </w:p>
        </w:tc>
      </w:tr>
      <w:tr w:rsidR="001C4FDB" w:rsidRPr="0008690D" w14:paraId="50DAB349" w14:textId="77777777" w:rsidTr="008749CD">
        <w:tc>
          <w:tcPr>
            <w:tcW w:w="1178" w:type="pct"/>
            <w:vMerge/>
          </w:tcPr>
          <w:p w14:paraId="75DF5F75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155DF83A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X2</w:t>
            </w:r>
          </w:p>
        </w:tc>
        <w:tc>
          <w:tcPr>
            <w:tcW w:w="3194" w:type="pct"/>
            <w:vAlign w:val="bottom"/>
          </w:tcPr>
          <w:p w14:paraId="51089220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Quick Ratio</w:t>
            </w:r>
          </w:p>
        </w:tc>
      </w:tr>
      <w:tr w:rsidR="001C4FDB" w:rsidRPr="0008690D" w14:paraId="43E157BE" w14:textId="77777777" w:rsidTr="008749CD">
        <w:tc>
          <w:tcPr>
            <w:tcW w:w="1178" w:type="pct"/>
            <w:vMerge/>
          </w:tcPr>
          <w:p w14:paraId="711CD34E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79E344BA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X3</w:t>
            </w:r>
          </w:p>
        </w:tc>
        <w:tc>
          <w:tcPr>
            <w:tcW w:w="3194" w:type="pct"/>
            <w:vAlign w:val="bottom"/>
          </w:tcPr>
          <w:p w14:paraId="1ED09B45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Interest Expense to Total Revenue</w:t>
            </w:r>
          </w:p>
        </w:tc>
      </w:tr>
      <w:tr w:rsidR="001C4FDB" w:rsidRPr="0008690D" w14:paraId="16212553" w14:textId="77777777" w:rsidTr="008749CD">
        <w:tc>
          <w:tcPr>
            <w:tcW w:w="1178" w:type="pct"/>
            <w:vMerge/>
          </w:tcPr>
          <w:p w14:paraId="36EFFE46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2FFA8CA3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X4</w:t>
            </w:r>
          </w:p>
        </w:tc>
        <w:tc>
          <w:tcPr>
            <w:tcW w:w="3194" w:type="pct"/>
            <w:vAlign w:val="bottom"/>
          </w:tcPr>
          <w:p w14:paraId="39F20E73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Total Liability to Total Assests</w:t>
            </w:r>
          </w:p>
        </w:tc>
      </w:tr>
      <w:tr w:rsidR="001C4FDB" w:rsidRPr="0008690D" w14:paraId="6FEED1B1" w14:textId="77777777" w:rsidTr="008749CD">
        <w:tc>
          <w:tcPr>
            <w:tcW w:w="1178" w:type="pct"/>
            <w:vMerge/>
          </w:tcPr>
          <w:p w14:paraId="10A1A8F0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24DAB31D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X5</w:t>
            </w:r>
          </w:p>
        </w:tc>
        <w:tc>
          <w:tcPr>
            <w:tcW w:w="3194" w:type="pct"/>
            <w:vAlign w:val="bottom"/>
          </w:tcPr>
          <w:p w14:paraId="751634A7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Working Capital to Total Assets</w:t>
            </w:r>
          </w:p>
        </w:tc>
      </w:tr>
      <w:tr w:rsidR="001C4FDB" w:rsidRPr="0008690D" w14:paraId="14B9D605" w14:textId="77777777" w:rsidTr="008749CD">
        <w:tc>
          <w:tcPr>
            <w:tcW w:w="1178" w:type="pct"/>
            <w:vMerge/>
          </w:tcPr>
          <w:p w14:paraId="37EF6A36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76CA7DA5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X6</w:t>
            </w:r>
          </w:p>
        </w:tc>
        <w:tc>
          <w:tcPr>
            <w:tcW w:w="3194" w:type="pct"/>
            <w:vAlign w:val="bottom"/>
          </w:tcPr>
          <w:p w14:paraId="51430F96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Current Assets to Total Assets</w:t>
            </w:r>
          </w:p>
        </w:tc>
      </w:tr>
      <w:tr w:rsidR="001C4FDB" w:rsidRPr="0008690D" w14:paraId="6B78226A" w14:textId="77777777" w:rsidTr="008749CD">
        <w:tc>
          <w:tcPr>
            <w:tcW w:w="1178" w:type="pct"/>
            <w:vMerge/>
          </w:tcPr>
          <w:p w14:paraId="38544034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132FE22F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X7</w:t>
            </w:r>
          </w:p>
        </w:tc>
        <w:tc>
          <w:tcPr>
            <w:tcW w:w="3194" w:type="pct"/>
            <w:vAlign w:val="bottom"/>
          </w:tcPr>
          <w:p w14:paraId="2F04F001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Cash to Total Assests</w:t>
            </w:r>
          </w:p>
        </w:tc>
      </w:tr>
      <w:tr w:rsidR="001C4FDB" w:rsidRPr="0008690D" w14:paraId="524D7CE8" w14:textId="77777777" w:rsidTr="008749CD">
        <w:tc>
          <w:tcPr>
            <w:tcW w:w="1178" w:type="pct"/>
            <w:vMerge/>
          </w:tcPr>
          <w:p w14:paraId="7ACD245B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2AF8ADF9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X8</w:t>
            </w:r>
          </w:p>
        </w:tc>
        <w:tc>
          <w:tcPr>
            <w:tcW w:w="3194" w:type="pct"/>
            <w:vAlign w:val="bottom"/>
          </w:tcPr>
          <w:p w14:paraId="2136E720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Quick Assets to Total Assets</w:t>
            </w:r>
          </w:p>
        </w:tc>
      </w:tr>
      <w:tr w:rsidR="001C4FDB" w:rsidRPr="0008690D" w14:paraId="372BA48C" w14:textId="77777777" w:rsidTr="008749CD">
        <w:tc>
          <w:tcPr>
            <w:tcW w:w="1178" w:type="pct"/>
            <w:vMerge/>
          </w:tcPr>
          <w:p w14:paraId="01BDB8A9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6661DFD8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X9</w:t>
            </w:r>
          </w:p>
        </w:tc>
        <w:tc>
          <w:tcPr>
            <w:tcW w:w="3194" w:type="pct"/>
            <w:vAlign w:val="bottom"/>
          </w:tcPr>
          <w:p w14:paraId="53D54101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Quick Assets to Current Liability</w:t>
            </w:r>
          </w:p>
        </w:tc>
      </w:tr>
      <w:tr w:rsidR="001C4FDB" w:rsidRPr="0008690D" w14:paraId="61420450" w14:textId="77777777" w:rsidTr="008749CD">
        <w:tc>
          <w:tcPr>
            <w:tcW w:w="1178" w:type="pct"/>
            <w:vMerge/>
          </w:tcPr>
          <w:p w14:paraId="205458E4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5EE2E7FC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X10</w:t>
            </w:r>
          </w:p>
        </w:tc>
        <w:tc>
          <w:tcPr>
            <w:tcW w:w="3194" w:type="pct"/>
            <w:vAlign w:val="bottom"/>
          </w:tcPr>
          <w:p w14:paraId="41EAA17D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Cash to Current Liability</w:t>
            </w:r>
          </w:p>
        </w:tc>
      </w:tr>
      <w:tr w:rsidR="001C4FDB" w:rsidRPr="0008690D" w14:paraId="33C07A51" w14:textId="77777777" w:rsidTr="008749CD">
        <w:tc>
          <w:tcPr>
            <w:tcW w:w="1178" w:type="pct"/>
            <w:vMerge/>
          </w:tcPr>
          <w:p w14:paraId="3CAC4AFA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38C53176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X11</w:t>
            </w:r>
          </w:p>
        </w:tc>
        <w:tc>
          <w:tcPr>
            <w:tcW w:w="3194" w:type="pct"/>
            <w:vAlign w:val="bottom"/>
          </w:tcPr>
          <w:p w14:paraId="00075124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Current Liability to Total Assests</w:t>
            </w:r>
          </w:p>
        </w:tc>
      </w:tr>
      <w:tr w:rsidR="001C4FDB" w:rsidRPr="0008690D" w14:paraId="22D17040" w14:textId="77777777" w:rsidTr="008749CD">
        <w:tc>
          <w:tcPr>
            <w:tcW w:w="1178" w:type="pct"/>
            <w:vMerge/>
          </w:tcPr>
          <w:p w14:paraId="7A213DA8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68474167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X12</w:t>
            </w:r>
          </w:p>
        </w:tc>
        <w:tc>
          <w:tcPr>
            <w:tcW w:w="3194" w:type="pct"/>
            <w:vAlign w:val="bottom"/>
          </w:tcPr>
          <w:p w14:paraId="10A4F180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Inventory to Working Capital</w:t>
            </w:r>
          </w:p>
        </w:tc>
      </w:tr>
      <w:tr w:rsidR="001C4FDB" w:rsidRPr="0008690D" w14:paraId="0DE4CC13" w14:textId="77777777" w:rsidTr="008749CD">
        <w:tc>
          <w:tcPr>
            <w:tcW w:w="1178" w:type="pct"/>
            <w:vMerge/>
          </w:tcPr>
          <w:p w14:paraId="57CC1C4B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4C66494E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X13</w:t>
            </w:r>
          </w:p>
        </w:tc>
        <w:tc>
          <w:tcPr>
            <w:tcW w:w="3194" w:type="pct"/>
            <w:vAlign w:val="bottom"/>
          </w:tcPr>
          <w:p w14:paraId="0B1709EF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Inventory to Current Liability</w:t>
            </w:r>
          </w:p>
        </w:tc>
      </w:tr>
      <w:tr w:rsidR="001C4FDB" w:rsidRPr="0008690D" w14:paraId="0279C238" w14:textId="77777777" w:rsidTr="008749CD">
        <w:tc>
          <w:tcPr>
            <w:tcW w:w="1178" w:type="pct"/>
            <w:vMerge/>
          </w:tcPr>
          <w:p w14:paraId="1D75BBDD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48B4C149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X14</w:t>
            </w:r>
          </w:p>
        </w:tc>
        <w:tc>
          <w:tcPr>
            <w:tcW w:w="3194" w:type="pct"/>
            <w:vAlign w:val="bottom"/>
          </w:tcPr>
          <w:p w14:paraId="5967E99B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Inventory to Total Assets</w:t>
            </w:r>
          </w:p>
        </w:tc>
      </w:tr>
      <w:tr w:rsidR="001C4FDB" w:rsidRPr="0008690D" w14:paraId="0C6B04AC" w14:textId="77777777" w:rsidTr="008749CD">
        <w:tc>
          <w:tcPr>
            <w:tcW w:w="1178" w:type="pct"/>
            <w:vMerge/>
          </w:tcPr>
          <w:p w14:paraId="141C88D5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25BA067C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X15</w:t>
            </w:r>
          </w:p>
        </w:tc>
        <w:tc>
          <w:tcPr>
            <w:tcW w:w="3194" w:type="pct"/>
            <w:vAlign w:val="bottom"/>
          </w:tcPr>
          <w:p w14:paraId="6C9788E1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Working Capital to Equity</w:t>
            </w:r>
          </w:p>
        </w:tc>
      </w:tr>
      <w:tr w:rsidR="001C4FDB" w:rsidRPr="0008690D" w14:paraId="02DD7ACF" w14:textId="77777777" w:rsidTr="008749CD">
        <w:tc>
          <w:tcPr>
            <w:tcW w:w="1178" w:type="pct"/>
            <w:vMerge/>
          </w:tcPr>
          <w:p w14:paraId="009EE160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6A38DDC3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X16</w:t>
            </w:r>
          </w:p>
        </w:tc>
        <w:tc>
          <w:tcPr>
            <w:tcW w:w="3194" w:type="pct"/>
            <w:vAlign w:val="bottom"/>
          </w:tcPr>
          <w:p w14:paraId="22A08365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Long-Term Liability to Current Assets</w:t>
            </w:r>
          </w:p>
        </w:tc>
      </w:tr>
      <w:tr w:rsidR="001C4FDB" w:rsidRPr="0008690D" w14:paraId="0AB1F540" w14:textId="77777777" w:rsidTr="008749CD">
        <w:tc>
          <w:tcPr>
            <w:tcW w:w="1178" w:type="pct"/>
            <w:vMerge/>
            <w:tcBorders>
              <w:bottom w:val="single" w:sz="4" w:space="0" w:color="auto"/>
            </w:tcBorders>
          </w:tcPr>
          <w:p w14:paraId="05BD04C2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tcBorders>
              <w:bottom w:val="single" w:sz="4" w:space="0" w:color="auto"/>
            </w:tcBorders>
            <w:vAlign w:val="bottom"/>
          </w:tcPr>
          <w:p w14:paraId="3F6C4ABD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X17</w:t>
            </w:r>
          </w:p>
        </w:tc>
        <w:tc>
          <w:tcPr>
            <w:tcW w:w="3194" w:type="pct"/>
            <w:tcBorders>
              <w:bottom w:val="single" w:sz="4" w:space="0" w:color="auto"/>
            </w:tcBorders>
            <w:vAlign w:val="bottom"/>
          </w:tcPr>
          <w:p w14:paraId="387C1156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Current Liability to Current Assets</w:t>
            </w:r>
          </w:p>
        </w:tc>
      </w:tr>
      <w:tr w:rsidR="001C4FDB" w:rsidRPr="0008690D" w14:paraId="118036D3" w14:textId="77777777" w:rsidTr="008749CD">
        <w:tc>
          <w:tcPr>
            <w:tcW w:w="1178" w:type="pct"/>
            <w:vMerge w:val="restart"/>
            <w:tcBorders>
              <w:top w:val="single" w:sz="4" w:space="0" w:color="auto"/>
            </w:tcBorders>
          </w:tcPr>
          <w:p w14:paraId="681A4607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t>Capital Structure</w:t>
            </w:r>
          </w:p>
        </w:tc>
        <w:tc>
          <w:tcPr>
            <w:tcW w:w="628" w:type="pct"/>
            <w:tcBorders>
              <w:top w:val="single" w:sz="4" w:space="0" w:color="auto"/>
            </w:tcBorders>
            <w:vAlign w:val="bottom"/>
          </w:tcPr>
          <w:p w14:paraId="52FD7A12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X18</w:t>
            </w:r>
          </w:p>
        </w:tc>
        <w:tc>
          <w:tcPr>
            <w:tcW w:w="3194" w:type="pct"/>
            <w:tcBorders>
              <w:top w:val="single" w:sz="4" w:space="0" w:color="auto"/>
            </w:tcBorders>
            <w:vAlign w:val="bottom"/>
          </w:tcPr>
          <w:p w14:paraId="6140E439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Equity to Total Assets</w:t>
            </w:r>
          </w:p>
        </w:tc>
      </w:tr>
      <w:tr w:rsidR="001C4FDB" w:rsidRPr="0008690D" w14:paraId="5FD5333F" w14:textId="77777777" w:rsidTr="008749CD">
        <w:tc>
          <w:tcPr>
            <w:tcW w:w="1178" w:type="pct"/>
            <w:vMerge/>
          </w:tcPr>
          <w:p w14:paraId="7EC40781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4160CB50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X19</w:t>
            </w:r>
          </w:p>
        </w:tc>
        <w:tc>
          <w:tcPr>
            <w:tcW w:w="3194" w:type="pct"/>
            <w:vAlign w:val="bottom"/>
          </w:tcPr>
          <w:p w14:paraId="396481D2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Total Liability to Total Assets</w:t>
            </w:r>
          </w:p>
        </w:tc>
      </w:tr>
      <w:tr w:rsidR="001C4FDB" w:rsidRPr="0008690D" w14:paraId="1C845503" w14:textId="77777777" w:rsidTr="008749CD">
        <w:tc>
          <w:tcPr>
            <w:tcW w:w="1178" w:type="pct"/>
            <w:vMerge/>
          </w:tcPr>
          <w:p w14:paraId="111BEF8D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77C1AAC4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X20</w:t>
            </w:r>
          </w:p>
        </w:tc>
        <w:tc>
          <w:tcPr>
            <w:tcW w:w="3194" w:type="pct"/>
            <w:vAlign w:val="bottom"/>
          </w:tcPr>
          <w:p w14:paraId="5BC12A65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(Long-term Liability + Equity) to Fixed Assets</w:t>
            </w:r>
          </w:p>
        </w:tc>
      </w:tr>
      <w:tr w:rsidR="001C4FDB" w:rsidRPr="0008690D" w14:paraId="36F0766E" w14:textId="77777777" w:rsidTr="008749CD">
        <w:tc>
          <w:tcPr>
            <w:tcW w:w="1178" w:type="pct"/>
            <w:vMerge/>
          </w:tcPr>
          <w:p w14:paraId="1BBE1248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65D024DA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X21</w:t>
            </w:r>
          </w:p>
        </w:tc>
        <w:tc>
          <w:tcPr>
            <w:tcW w:w="3194" w:type="pct"/>
            <w:vAlign w:val="bottom"/>
          </w:tcPr>
          <w:p w14:paraId="7D22B115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Current Liability to Total Liability</w:t>
            </w:r>
          </w:p>
        </w:tc>
      </w:tr>
      <w:tr w:rsidR="001C4FDB" w:rsidRPr="0008690D" w14:paraId="376A7382" w14:textId="77777777" w:rsidTr="008749CD">
        <w:tc>
          <w:tcPr>
            <w:tcW w:w="1178" w:type="pct"/>
            <w:vMerge/>
          </w:tcPr>
          <w:p w14:paraId="41FC20EB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0087B1BD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X22</w:t>
            </w:r>
          </w:p>
        </w:tc>
        <w:tc>
          <w:tcPr>
            <w:tcW w:w="3194" w:type="pct"/>
            <w:vAlign w:val="bottom"/>
          </w:tcPr>
          <w:p w14:paraId="70BA5562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Current Liability to Equity</w:t>
            </w:r>
          </w:p>
        </w:tc>
      </w:tr>
      <w:tr w:rsidR="001C4FDB" w:rsidRPr="0008690D" w14:paraId="6B96B6D3" w14:textId="77777777" w:rsidTr="008749CD">
        <w:tc>
          <w:tcPr>
            <w:tcW w:w="1178" w:type="pct"/>
            <w:vMerge/>
          </w:tcPr>
          <w:p w14:paraId="09DE1E9E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29494574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X23</w:t>
            </w:r>
          </w:p>
        </w:tc>
        <w:tc>
          <w:tcPr>
            <w:tcW w:w="3194" w:type="pct"/>
            <w:vAlign w:val="bottom"/>
          </w:tcPr>
          <w:p w14:paraId="7AFA3380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Equity to Long-term Liability</w:t>
            </w:r>
          </w:p>
        </w:tc>
      </w:tr>
      <w:tr w:rsidR="001C4FDB" w:rsidRPr="0008690D" w14:paraId="6245BB7B" w14:textId="77777777" w:rsidTr="008749CD">
        <w:tc>
          <w:tcPr>
            <w:tcW w:w="1178" w:type="pct"/>
            <w:vMerge/>
          </w:tcPr>
          <w:p w14:paraId="0FF0AA47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1EC10F61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X24</w:t>
            </w:r>
          </w:p>
        </w:tc>
        <w:tc>
          <w:tcPr>
            <w:tcW w:w="3194" w:type="pct"/>
            <w:vAlign w:val="bottom"/>
          </w:tcPr>
          <w:p w14:paraId="6F77CECF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Total Liability to Equity</w:t>
            </w:r>
          </w:p>
        </w:tc>
      </w:tr>
      <w:tr w:rsidR="001C4FDB" w:rsidRPr="0008690D" w14:paraId="3AA8CBCD" w14:textId="77777777" w:rsidTr="008749CD">
        <w:tc>
          <w:tcPr>
            <w:tcW w:w="1178" w:type="pct"/>
            <w:vMerge/>
          </w:tcPr>
          <w:p w14:paraId="28364742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45588631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X25</w:t>
            </w:r>
          </w:p>
        </w:tc>
        <w:tc>
          <w:tcPr>
            <w:tcW w:w="3194" w:type="pct"/>
            <w:vAlign w:val="bottom"/>
          </w:tcPr>
          <w:p w14:paraId="7020F01F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Degree Of Financial Leverage</w:t>
            </w:r>
          </w:p>
        </w:tc>
      </w:tr>
      <w:tr w:rsidR="001C4FDB" w:rsidRPr="0008690D" w14:paraId="33FF4F66" w14:textId="77777777" w:rsidTr="008749CD">
        <w:tc>
          <w:tcPr>
            <w:tcW w:w="1178" w:type="pct"/>
            <w:vMerge/>
          </w:tcPr>
          <w:p w14:paraId="789F38BB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0F506628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X26</w:t>
            </w:r>
          </w:p>
        </w:tc>
        <w:tc>
          <w:tcPr>
            <w:tcW w:w="3194" w:type="pct"/>
            <w:vAlign w:val="bottom"/>
          </w:tcPr>
          <w:p w14:paraId="1A6BC8B4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Interest Coverage Ratio</w:t>
            </w:r>
          </w:p>
        </w:tc>
      </w:tr>
      <w:tr w:rsidR="001C4FDB" w:rsidRPr="0008690D" w14:paraId="45D08001" w14:textId="77777777" w:rsidTr="008749CD">
        <w:tc>
          <w:tcPr>
            <w:tcW w:w="1178" w:type="pct"/>
            <w:tcBorders>
              <w:bottom w:val="single" w:sz="4" w:space="0" w:color="auto"/>
            </w:tcBorders>
          </w:tcPr>
          <w:p w14:paraId="6495C3C2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tcBorders>
              <w:bottom w:val="single" w:sz="4" w:space="0" w:color="auto"/>
            </w:tcBorders>
            <w:vAlign w:val="bottom"/>
          </w:tcPr>
          <w:p w14:paraId="6083E329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</w:p>
        </w:tc>
        <w:tc>
          <w:tcPr>
            <w:tcW w:w="3194" w:type="pct"/>
            <w:tcBorders>
              <w:bottom w:val="single" w:sz="4" w:space="0" w:color="auto"/>
            </w:tcBorders>
            <w:vAlign w:val="bottom"/>
          </w:tcPr>
          <w:p w14:paraId="3EAE7522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Profitability</w:t>
            </w:r>
          </w:p>
        </w:tc>
      </w:tr>
      <w:tr w:rsidR="001C4FDB" w:rsidRPr="0008690D" w14:paraId="01EAECCE" w14:textId="77777777" w:rsidTr="008749CD">
        <w:tc>
          <w:tcPr>
            <w:tcW w:w="1178" w:type="pct"/>
            <w:vMerge w:val="restart"/>
            <w:tcBorders>
              <w:top w:val="single" w:sz="4" w:space="0" w:color="auto"/>
            </w:tcBorders>
          </w:tcPr>
          <w:p w14:paraId="6ACB7A5B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t>Profitability</w:t>
            </w:r>
          </w:p>
        </w:tc>
        <w:tc>
          <w:tcPr>
            <w:tcW w:w="628" w:type="pct"/>
            <w:tcBorders>
              <w:top w:val="single" w:sz="4" w:space="0" w:color="auto"/>
            </w:tcBorders>
            <w:vAlign w:val="bottom"/>
          </w:tcPr>
          <w:p w14:paraId="1B21E6A7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X27</w:t>
            </w:r>
          </w:p>
        </w:tc>
        <w:tc>
          <w:tcPr>
            <w:tcW w:w="3194" w:type="pct"/>
            <w:tcBorders>
              <w:top w:val="single" w:sz="4" w:space="0" w:color="auto"/>
            </w:tcBorders>
            <w:vAlign w:val="bottom"/>
          </w:tcPr>
          <w:p w14:paraId="7E9A563A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Return On Assets (ROA)</w:t>
            </w:r>
          </w:p>
        </w:tc>
      </w:tr>
      <w:tr w:rsidR="001C4FDB" w:rsidRPr="0008690D" w14:paraId="02762660" w14:textId="77777777" w:rsidTr="008749CD">
        <w:tc>
          <w:tcPr>
            <w:tcW w:w="1178" w:type="pct"/>
            <w:vMerge/>
          </w:tcPr>
          <w:p w14:paraId="2C8B4685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761D322F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X28</w:t>
            </w:r>
          </w:p>
        </w:tc>
        <w:tc>
          <w:tcPr>
            <w:tcW w:w="3194" w:type="pct"/>
            <w:vAlign w:val="bottom"/>
          </w:tcPr>
          <w:p w14:paraId="591B2C0F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Return On Equity (ROE)</w:t>
            </w:r>
          </w:p>
        </w:tc>
      </w:tr>
      <w:tr w:rsidR="001C4FDB" w:rsidRPr="0008690D" w14:paraId="4E3E629A" w14:textId="77777777" w:rsidTr="008749CD">
        <w:tc>
          <w:tcPr>
            <w:tcW w:w="1178" w:type="pct"/>
            <w:vMerge/>
          </w:tcPr>
          <w:p w14:paraId="09AAEC12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7D2F350C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X29</w:t>
            </w:r>
          </w:p>
        </w:tc>
        <w:tc>
          <w:tcPr>
            <w:tcW w:w="3194" w:type="pct"/>
            <w:vAlign w:val="bottom"/>
          </w:tcPr>
          <w:p w14:paraId="1712FB46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Gross Profit to Net Sales</w:t>
            </w:r>
          </w:p>
        </w:tc>
      </w:tr>
      <w:tr w:rsidR="001C4FDB" w:rsidRPr="0008690D" w14:paraId="39753C63" w14:textId="77777777" w:rsidTr="008749CD">
        <w:tc>
          <w:tcPr>
            <w:tcW w:w="1178" w:type="pct"/>
            <w:vMerge/>
          </w:tcPr>
          <w:p w14:paraId="4A59944C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699B0617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X30</w:t>
            </w:r>
          </w:p>
        </w:tc>
        <w:tc>
          <w:tcPr>
            <w:tcW w:w="3194" w:type="pct"/>
            <w:vAlign w:val="bottom"/>
          </w:tcPr>
          <w:p w14:paraId="7B45A26D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Operating Income to Net Sales</w:t>
            </w:r>
          </w:p>
        </w:tc>
      </w:tr>
      <w:tr w:rsidR="001C4FDB" w:rsidRPr="0008690D" w14:paraId="24357642" w14:textId="77777777" w:rsidTr="008749CD">
        <w:tc>
          <w:tcPr>
            <w:tcW w:w="1178" w:type="pct"/>
            <w:vMerge/>
          </w:tcPr>
          <w:p w14:paraId="619A877E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004CCB56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X31</w:t>
            </w:r>
          </w:p>
        </w:tc>
        <w:tc>
          <w:tcPr>
            <w:tcW w:w="3194" w:type="pct"/>
            <w:vAlign w:val="bottom"/>
          </w:tcPr>
          <w:p w14:paraId="1D215E90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Pre-tax Income to Net Sales</w:t>
            </w:r>
          </w:p>
        </w:tc>
      </w:tr>
      <w:tr w:rsidR="001C4FDB" w:rsidRPr="0008690D" w14:paraId="239A6E3E" w14:textId="77777777" w:rsidTr="008749CD">
        <w:tc>
          <w:tcPr>
            <w:tcW w:w="1178" w:type="pct"/>
            <w:vMerge/>
          </w:tcPr>
          <w:p w14:paraId="32068FD4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40C8874A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X32</w:t>
            </w:r>
          </w:p>
        </w:tc>
        <w:tc>
          <w:tcPr>
            <w:tcW w:w="3194" w:type="pct"/>
            <w:vAlign w:val="bottom"/>
          </w:tcPr>
          <w:p w14:paraId="67FB0277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Net Income to Net Sales</w:t>
            </w:r>
          </w:p>
        </w:tc>
      </w:tr>
      <w:tr w:rsidR="001C4FDB" w:rsidRPr="0008690D" w14:paraId="764A2098" w14:textId="77777777" w:rsidTr="008749CD">
        <w:tc>
          <w:tcPr>
            <w:tcW w:w="1178" w:type="pct"/>
            <w:vMerge/>
          </w:tcPr>
          <w:p w14:paraId="76840049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410BE076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X33</w:t>
            </w:r>
          </w:p>
        </w:tc>
        <w:tc>
          <w:tcPr>
            <w:tcW w:w="3194" w:type="pct"/>
            <w:vAlign w:val="bottom"/>
          </w:tcPr>
          <w:p w14:paraId="7FAEF717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EPS to Net Income</w:t>
            </w:r>
          </w:p>
        </w:tc>
      </w:tr>
      <w:tr w:rsidR="001C4FDB" w:rsidRPr="0008690D" w14:paraId="66C588E7" w14:textId="77777777" w:rsidTr="008749CD">
        <w:tc>
          <w:tcPr>
            <w:tcW w:w="1178" w:type="pct"/>
            <w:vMerge/>
          </w:tcPr>
          <w:p w14:paraId="14D14F26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3CD615E2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X34</w:t>
            </w:r>
          </w:p>
        </w:tc>
        <w:tc>
          <w:tcPr>
            <w:tcW w:w="3194" w:type="pct"/>
            <w:vAlign w:val="bottom"/>
          </w:tcPr>
          <w:p w14:paraId="7C1257F7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Retained Earnings to Total Assets</w:t>
            </w:r>
          </w:p>
        </w:tc>
      </w:tr>
      <w:tr w:rsidR="001C4FDB" w:rsidRPr="0008690D" w14:paraId="2E92328A" w14:textId="77777777" w:rsidTr="008749CD">
        <w:tc>
          <w:tcPr>
            <w:tcW w:w="1178" w:type="pct"/>
            <w:vMerge/>
          </w:tcPr>
          <w:p w14:paraId="4321EE98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07CB0D8C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X35</w:t>
            </w:r>
          </w:p>
        </w:tc>
        <w:tc>
          <w:tcPr>
            <w:tcW w:w="3194" w:type="pct"/>
            <w:vAlign w:val="bottom"/>
          </w:tcPr>
          <w:p w14:paraId="13D35C8C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Total Income to Total Expenses</w:t>
            </w:r>
          </w:p>
        </w:tc>
      </w:tr>
      <w:tr w:rsidR="001C4FDB" w:rsidRPr="0008690D" w14:paraId="50E42518" w14:textId="77777777" w:rsidTr="008749CD">
        <w:tc>
          <w:tcPr>
            <w:tcW w:w="1178" w:type="pct"/>
            <w:vMerge/>
          </w:tcPr>
          <w:p w14:paraId="39A99D24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3AFE5315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X36</w:t>
            </w:r>
          </w:p>
        </w:tc>
        <w:tc>
          <w:tcPr>
            <w:tcW w:w="3194" w:type="pct"/>
            <w:vAlign w:val="bottom"/>
          </w:tcPr>
          <w:p w14:paraId="49C620C6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Net Income to Total Assets</w:t>
            </w:r>
          </w:p>
        </w:tc>
      </w:tr>
      <w:tr w:rsidR="001C4FDB" w:rsidRPr="0008690D" w14:paraId="4D41D549" w14:textId="77777777" w:rsidTr="008749CD">
        <w:tc>
          <w:tcPr>
            <w:tcW w:w="1178" w:type="pct"/>
            <w:vMerge/>
          </w:tcPr>
          <w:p w14:paraId="5B6FE967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6F59EC88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X37</w:t>
            </w:r>
          </w:p>
        </w:tc>
        <w:tc>
          <w:tcPr>
            <w:tcW w:w="3194" w:type="pct"/>
            <w:vAlign w:val="bottom"/>
          </w:tcPr>
          <w:p w14:paraId="67D40E9F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Gross Profit to Sales</w:t>
            </w:r>
          </w:p>
        </w:tc>
      </w:tr>
      <w:tr w:rsidR="001C4FDB" w:rsidRPr="0008690D" w14:paraId="75416060" w14:textId="77777777" w:rsidTr="008749CD">
        <w:tc>
          <w:tcPr>
            <w:tcW w:w="1178" w:type="pct"/>
            <w:vMerge/>
          </w:tcPr>
          <w:p w14:paraId="71A01E18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26AF70FC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X38</w:t>
            </w:r>
          </w:p>
        </w:tc>
        <w:tc>
          <w:tcPr>
            <w:tcW w:w="3194" w:type="pct"/>
            <w:vAlign w:val="bottom"/>
          </w:tcPr>
          <w:p w14:paraId="338E4D89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Net Income to Stockholders' Equity</w:t>
            </w:r>
          </w:p>
        </w:tc>
      </w:tr>
      <w:tr w:rsidR="001C4FDB" w:rsidRPr="0008690D" w14:paraId="544B3D82" w14:textId="77777777" w:rsidTr="008749CD">
        <w:tc>
          <w:tcPr>
            <w:tcW w:w="1178" w:type="pct"/>
            <w:tcBorders>
              <w:bottom w:val="single" w:sz="4" w:space="0" w:color="auto"/>
            </w:tcBorders>
          </w:tcPr>
          <w:p w14:paraId="681B3A62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tcBorders>
              <w:bottom w:val="single" w:sz="4" w:space="0" w:color="auto"/>
            </w:tcBorders>
            <w:vAlign w:val="bottom"/>
          </w:tcPr>
          <w:p w14:paraId="779BB703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</w:p>
        </w:tc>
        <w:tc>
          <w:tcPr>
            <w:tcW w:w="3194" w:type="pct"/>
            <w:tcBorders>
              <w:bottom w:val="single" w:sz="4" w:space="0" w:color="auto"/>
            </w:tcBorders>
            <w:vAlign w:val="bottom"/>
          </w:tcPr>
          <w:p w14:paraId="2BC8E022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Turnover Ratio</w:t>
            </w:r>
          </w:p>
        </w:tc>
      </w:tr>
      <w:tr w:rsidR="001C4FDB" w:rsidRPr="0008690D" w14:paraId="111BEDDD" w14:textId="77777777" w:rsidTr="008749CD">
        <w:tc>
          <w:tcPr>
            <w:tcW w:w="1178" w:type="pct"/>
            <w:vMerge w:val="restart"/>
            <w:tcBorders>
              <w:top w:val="single" w:sz="4" w:space="0" w:color="auto"/>
            </w:tcBorders>
          </w:tcPr>
          <w:p w14:paraId="6583972A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t>Turnover Ratios</w:t>
            </w:r>
          </w:p>
        </w:tc>
        <w:tc>
          <w:tcPr>
            <w:tcW w:w="628" w:type="pct"/>
            <w:tcBorders>
              <w:top w:val="single" w:sz="4" w:space="0" w:color="auto"/>
            </w:tcBorders>
            <w:vAlign w:val="bottom"/>
          </w:tcPr>
          <w:p w14:paraId="044B1887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X39</w:t>
            </w:r>
          </w:p>
        </w:tc>
        <w:tc>
          <w:tcPr>
            <w:tcW w:w="3194" w:type="pct"/>
            <w:tcBorders>
              <w:top w:val="single" w:sz="4" w:space="0" w:color="auto"/>
            </w:tcBorders>
            <w:vAlign w:val="bottom"/>
          </w:tcPr>
          <w:p w14:paraId="4FF8A698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(Inventory + Account Receivables) to Equity</w:t>
            </w:r>
          </w:p>
        </w:tc>
      </w:tr>
      <w:tr w:rsidR="001C4FDB" w:rsidRPr="0008690D" w14:paraId="3CA6ECE9" w14:textId="77777777" w:rsidTr="008749CD">
        <w:tc>
          <w:tcPr>
            <w:tcW w:w="1178" w:type="pct"/>
            <w:vMerge/>
          </w:tcPr>
          <w:p w14:paraId="7780E630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270BB467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X40</w:t>
            </w:r>
          </w:p>
        </w:tc>
        <w:tc>
          <w:tcPr>
            <w:tcW w:w="3194" w:type="pct"/>
            <w:vAlign w:val="bottom"/>
          </w:tcPr>
          <w:p w14:paraId="07149BBA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Total Assets Turnover</w:t>
            </w:r>
          </w:p>
        </w:tc>
      </w:tr>
      <w:tr w:rsidR="001C4FDB" w:rsidRPr="0008690D" w14:paraId="72256ABD" w14:textId="77777777" w:rsidTr="008749CD">
        <w:tc>
          <w:tcPr>
            <w:tcW w:w="1178" w:type="pct"/>
            <w:vMerge/>
          </w:tcPr>
          <w:p w14:paraId="6ADB8547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0294DE72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X41</w:t>
            </w:r>
          </w:p>
        </w:tc>
        <w:tc>
          <w:tcPr>
            <w:tcW w:w="3194" w:type="pct"/>
            <w:vAlign w:val="bottom"/>
          </w:tcPr>
          <w:p w14:paraId="24267363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Account Receivables Turnover</w:t>
            </w:r>
          </w:p>
        </w:tc>
      </w:tr>
      <w:tr w:rsidR="001C4FDB" w:rsidRPr="0008690D" w14:paraId="3DD3EADE" w14:textId="77777777" w:rsidTr="008749CD">
        <w:tc>
          <w:tcPr>
            <w:tcW w:w="1178" w:type="pct"/>
            <w:vMerge/>
          </w:tcPr>
          <w:p w14:paraId="207CDA56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70D0CA83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X42</w:t>
            </w:r>
          </w:p>
        </w:tc>
        <w:tc>
          <w:tcPr>
            <w:tcW w:w="3194" w:type="pct"/>
            <w:vAlign w:val="bottom"/>
          </w:tcPr>
          <w:p w14:paraId="14F6096A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Account Payables Turnover</w:t>
            </w:r>
          </w:p>
        </w:tc>
      </w:tr>
      <w:tr w:rsidR="001C4FDB" w:rsidRPr="0008690D" w14:paraId="5217D4A9" w14:textId="77777777" w:rsidTr="008749CD">
        <w:tc>
          <w:tcPr>
            <w:tcW w:w="1178" w:type="pct"/>
            <w:vMerge/>
          </w:tcPr>
          <w:p w14:paraId="05E62BCE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6A2B398D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X43</w:t>
            </w:r>
          </w:p>
        </w:tc>
        <w:tc>
          <w:tcPr>
            <w:tcW w:w="3194" w:type="pct"/>
            <w:vAlign w:val="bottom"/>
          </w:tcPr>
          <w:p w14:paraId="174BCD83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Inventory Turnover</w:t>
            </w:r>
          </w:p>
        </w:tc>
      </w:tr>
      <w:tr w:rsidR="001C4FDB" w:rsidRPr="0008690D" w14:paraId="639949EB" w14:textId="77777777" w:rsidTr="008749CD">
        <w:tc>
          <w:tcPr>
            <w:tcW w:w="1178" w:type="pct"/>
            <w:vMerge/>
          </w:tcPr>
          <w:p w14:paraId="77462877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598B4B99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X44</w:t>
            </w:r>
          </w:p>
        </w:tc>
        <w:tc>
          <w:tcPr>
            <w:tcW w:w="3194" w:type="pct"/>
            <w:vAlign w:val="bottom"/>
          </w:tcPr>
          <w:p w14:paraId="4FE01BDA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Fixed Assets Turnover</w:t>
            </w:r>
          </w:p>
        </w:tc>
      </w:tr>
      <w:tr w:rsidR="001C4FDB" w:rsidRPr="0008690D" w14:paraId="001FF64F" w14:textId="77777777" w:rsidTr="008749CD">
        <w:tc>
          <w:tcPr>
            <w:tcW w:w="1178" w:type="pct"/>
            <w:vMerge/>
          </w:tcPr>
          <w:p w14:paraId="0AB5A067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74D755B3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X45</w:t>
            </w:r>
          </w:p>
        </w:tc>
        <w:tc>
          <w:tcPr>
            <w:tcW w:w="3194" w:type="pct"/>
            <w:vAlign w:val="bottom"/>
          </w:tcPr>
          <w:p w14:paraId="03FF9C68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Equity Turnover</w:t>
            </w:r>
          </w:p>
        </w:tc>
      </w:tr>
      <w:tr w:rsidR="001C4FDB" w:rsidRPr="0008690D" w14:paraId="6E4CC5EA" w14:textId="77777777" w:rsidTr="008749CD">
        <w:tc>
          <w:tcPr>
            <w:tcW w:w="1178" w:type="pct"/>
            <w:vMerge/>
          </w:tcPr>
          <w:p w14:paraId="6538F4D6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5515A22A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X46</w:t>
            </w:r>
          </w:p>
        </w:tc>
        <w:tc>
          <w:tcPr>
            <w:tcW w:w="3194" w:type="pct"/>
            <w:vAlign w:val="bottom"/>
          </w:tcPr>
          <w:p w14:paraId="39FB071D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Current Assets to Sales</w:t>
            </w:r>
          </w:p>
        </w:tc>
      </w:tr>
      <w:tr w:rsidR="001C4FDB" w:rsidRPr="0008690D" w14:paraId="5CCC7223" w14:textId="77777777" w:rsidTr="008749CD">
        <w:tc>
          <w:tcPr>
            <w:tcW w:w="1178" w:type="pct"/>
            <w:vMerge/>
          </w:tcPr>
          <w:p w14:paraId="12518ECF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5DE044C8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X47</w:t>
            </w:r>
          </w:p>
        </w:tc>
        <w:tc>
          <w:tcPr>
            <w:tcW w:w="3194" w:type="pct"/>
            <w:vAlign w:val="bottom"/>
          </w:tcPr>
          <w:p w14:paraId="7FBBA596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Quick Assets to Sales</w:t>
            </w:r>
          </w:p>
        </w:tc>
      </w:tr>
      <w:tr w:rsidR="001C4FDB" w:rsidRPr="0008690D" w14:paraId="5F218307" w14:textId="77777777" w:rsidTr="008749CD">
        <w:tc>
          <w:tcPr>
            <w:tcW w:w="1178" w:type="pct"/>
            <w:vMerge/>
          </w:tcPr>
          <w:p w14:paraId="2A43924A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7D4FF819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X48</w:t>
            </w:r>
          </w:p>
        </w:tc>
        <w:tc>
          <w:tcPr>
            <w:tcW w:w="3194" w:type="pct"/>
            <w:vAlign w:val="bottom"/>
          </w:tcPr>
          <w:p w14:paraId="7FEDC167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Working Capital to Sales</w:t>
            </w:r>
          </w:p>
        </w:tc>
      </w:tr>
      <w:tr w:rsidR="001C4FDB" w:rsidRPr="0008690D" w14:paraId="488CB67A" w14:textId="77777777" w:rsidTr="008749CD">
        <w:tc>
          <w:tcPr>
            <w:tcW w:w="1178" w:type="pct"/>
            <w:vMerge/>
          </w:tcPr>
          <w:p w14:paraId="23AC9210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2E6C4695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X49</w:t>
            </w:r>
          </w:p>
        </w:tc>
        <w:tc>
          <w:tcPr>
            <w:tcW w:w="3194" w:type="pct"/>
            <w:vAlign w:val="bottom"/>
          </w:tcPr>
          <w:p w14:paraId="0ADC82A5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Cash to Sales</w:t>
            </w:r>
          </w:p>
        </w:tc>
      </w:tr>
      <w:tr w:rsidR="001C4FDB" w:rsidRPr="0008690D" w14:paraId="51AE2338" w14:textId="77777777" w:rsidTr="008749CD">
        <w:tc>
          <w:tcPr>
            <w:tcW w:w="1178" w:type="pct"/>
            <w:vMerge/>
            <w:tcBorders>
              <w:bottom w:val="single" w:sz="4" w:space="0" w:color="auto"/>
            </w:tcBorders>
          </w:tcPr>
          <w:p w14:paraId="59414B8C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tcBorders>
              <w:bottom w:val="single" w:sz="4" w:space="0" w:color="auto"/>
            </w:tcBorders>
            <w:vAlign w:val="bottom"/>
          </w:tcPr>
          <w:p w14:paraId="38FC22E9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X50</w:t>
            </w:r>
          </w:p>
        </w:tc>
        <w:tc>
          <w:tcPr>
            <w:tcW w:w="3194" w:type="pct"/>
            <w:tcBorders>
              <w:bottom w:val="single" w:sz="4" w:space="0" w:color="auto"/>
            </w:tcBorders>
            <w:vAlign w:val="bottom"/>
          </w:tcPr>
          <w:p w14:paraId="3BD41172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Cash Flow to Sales</w:t>
            </w:r>
          </w:p>
        </w:tc>
      </w:tr>
      <w:tr w:rsidR="001C4FDB" w:rsidRPr="0008690D" w14:paraId="05E5C429" w14:textId="77777777" w:rsidTr="008749CD">
        <w:tc>
          <w:tcPr>
            <w:tcW w:w="1178" w:type="pct"/>
            <w:vMerge w:val="restart"/>
            <w:tcBorders>
              <w:top w:val="single" w:sz="4" w:space="0" w:color="auto"/>
            </w:tcBorders>
          </w:tcPr>
          <w:p w14:paraId="208A0F43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t>Cash Flow Ratios</w:t>
            </w:r>
          </w:p>
        </w:tc>
        <w:tc>
          <w:tcPr>
            <w:tcW w:w="628" w:type="pct"/>
            <w:tcBorders>
              <w:top w:val="single" w:sz="4" w:space="0" w:color="auto"/>
            </w:tcBorders>
            <w:vAlign w:val="bottom"/>
          </w:tcPr>
          <w:p w14:paraId="6B7830BD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X51</w:t>
            </w:r>
          </w:p>
        </w:tc>
        <w:tc>
          <w:tcPr>
            <w:tcW w:w="3194" w:type="pct"/>
            <w:tcBorders>
              <w:top w:val="single" w:sz="4" w:space="0" w:color="auto"/>
            </w:tcBorders>
            <w:vAlign w:val="bottom"/>
          </w:tcPr>
          <w:p w14:paraId="7CF2B3B9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Cash Flow From Operating Activity to Current Liabilities</w:t>
            </w:r>
          </w:p>
        </w:tc>
      </w:tr>
      <w:tr w:rsidR="001C4FDB" w:rsidRPr="0008690D" w14:paraId="49A70413" w14:textId="77777777" w:rsidTr="008749CD">
        <w:tc>
          <w:tcPr>
            <w:tcW w:w="1178" w:type="pct"/>
            <w:vMerge/>
          </w:tcPr>
          <w:p w14:paraId="5AA3076C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3B60B2B8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X52</w:t>
            </w:r>
          </w:p>
        </w:tc>
        <w:tc>
          <w:tcPr>
            <w:tcW w:w="3194" w:type="pct"/>
            <w:vAlign w:val="bottom"/>
          </w:tcPr>
          <w:p w14:paraId="07B519AF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Cash Flow From Operating Activity  to Interest Expenses</w:t>
            </w:r>
          </w:p>
        </w:tc>
      </w:tr>
      <w:tr w:rsidR="001C4FDB" w:rsidRPr="0008690D" w14:paraId="2696ED47" w14:textId="77777777" w:rsidTr="008749CD">
        <w:tc>
          <w:tcPr>
            <w:tcW w:w="1178" w:type="pct"/>
            <w:vMerge/>
          </w:tcPr>
          <w:p w14:paraId="27541AE8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6098ED21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X53</w:t>
            </w:r>
          </w:p>
        </w:tc>
        <w:tc>
          <w:tcPr>
            <w:tcW w:w="3194" w:type="pct"/>
            <w:vAlign w:val="bottom"/>
          </w:tcPr>
          <w:p w14:paraId="65CDE354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Cash Flow to Total Assets</w:t>
            </w:r>
          </w:p>
        </w:tc>
      </w:tr>
      <w:tr w:rsidR="001C4FDB" w:rsidRPr="0008690D" w14:paraId="051F4338" w14:textId="77777777" w:rsidTr="008749CD">
        <w:tc>
          <w:tcPr>
            <w:tcW w:w="1178" w:type="pct"/>
            <w:vMerge/>
          </w:tcPr>
          <w:p w14:paraId="07197584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76BE0FAF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X54</w:t>
            </w:r>
          </w:p>
        </w:tc>
        <w:tc>
          <w:tcPr>
            <w:tcW w:w="3194" w:type="pct"/>
            <w:vAlign w:val="bottom"/>
          </w:tcPr>
          <w:p w14:paraId="746C9865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Cash Flow to Total Liability</w:t>
            </w:r>
          </w:p>
        </w:tc>
      </w:tr>
      <w:tr w:rsidR="001C4FDB" w:rsidRPr="0008690D" w14:paraId="08621E42" w14:textId="77777777" w:rsidTr="008749CD">
        <w:tc>
          <w:tcPr>
            <w:tcW w:w="1178" w:type="pct"/>
            <w:vMerge/>
            <w:tcBorders>
              <w:bottom w:val="single" w:sz="4" w:space="0" w:color="auto"/>
            </w:tcBorders>
          </w:tcPr>
          <w:p w14:paraId="1B627DCF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tcBorders>
              <w:bottom w:val="single" w:sz="4" w:space="0" w:color="auto"/>
            </w:tcBorders>
            <w:vAlign w:val="bottom"/>
          </w:tcPr>
          <w:p w14:paraId="2C812619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X55</w:t>
            </w:r>
          </w:p>
        </w:tc>
        <w:tc>
          <w:tcPr>
            <w:tcW w:w="3194" w:type="pct"/>
            <w:tcBorders>
              <w:bottom w:val="single" w:sz="4" w:space="0" w:color="auto"/>
            </w:tcBorders>
            <w:vAlign w:val="bottom"/>
          </w:tcPr>
          <w:p w14:paraId="719F53E3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Cash Flow to Equity</w:t>
            </w:r>
          </w:p>
        </w:tc>
      </w:tr>
      <w:tr w:rsidR="001C4FDB" w:rsidRPr="0008690D" w14:paraId="28752B41" w14:textId="77777777" w:rsidTr="008749CD">
        <w:tc>
          <w:tcPr>
            <w:tcW w:w="1178" w:type="pct"/>
            <w:vMerge w:val="restart"/>
            <w:tcBorders>
              <w:top w:val="single" w:sz="4" w:space="0" w:color="auto"/>
            </w:tcBorders>
          </w:tcPr>
          <w:p w14:paraId="372F87F1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t>Growth</w:t>
            </w:r>
          </w:p>
        </w:tc>
        <w:tc>
          <w:tcPr>
            <w:tcW w:w="628" w:type="pct"/>
            <w:tcBorders>
              <w:top w:val="single" w:sz="4" w:space="0" w:color="auto"/>
            </w:tcBorders>
            <w:vAlign w:val="bottom"/>
          </w:tcPr>
          <w:p w14:paraId="357F0AB5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X56</w:t>
            </w:r>
          </w:p>
        </w:tc>
        <w:tc>
          <w:tcPr>
            <w:tcW w:w="3194" w:type="pct"/>
            <w:tcBorders>
              <w:top w:val="single" w:sz="4" w:space="0" w:color="auto"/>
            </w:tcBorders>
            <w:vAlign w:val="bottom"/>
          </w:tcPr>
          <w:p w14:paraId="65CA99A5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Gross Profit Growth Rate</w:t>
            </w:r>
          </w:p>
        </w:tc>
      </w:tr>
      <w:tr w:rsidR="001C4FDB" w:rsidRPr="0008690D" w14:paraId="631ED527" w14:textId="77777777" w:rsidTr="008749CD">
        <w:tc>
          <w:tcPr>
            <w:tcW w:w="1178" w:type="pct"/>
            <w:vMerge/>
          </w:tcPr>
          <w:p w14:paraId="32092E10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2538E04D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X57</w:t>
            </w:r>
          </w:p>
        </w:tc>
        <w:tc>
          <w:tcPr>
            <w:tcW w:w="3194" w:type="pct"/>
            <w:vAlign w:val="bottom"/>
          </w:tcPr>
          <w:p w14:paraId="12019E33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Operating Income Growth</w:t>
            </w:r>
          </w:p>
        </w:tc>
      </w:tr>
      <w:tr w:rsidR="001C4FDB" w:rsidRPr="0008690D" w14:paraId="43A3C989" w14:textId="77777777" w:rsidTr="008749CD">
        <w:tc>
          <w:tcPr>
            <w:tcW w:w="1178" w:type="pct"/>
            <w:vMerge/>
          </w:tcPr>
          <w:p w14:paraId="30E43613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3DFB48E0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X58</w:t>
            </w:r>
          </w:p>
        </w:tc>
        <w:tc>
          <w:tcPr>
            <w:tcW w:w="3194" w:type="pct"/>
            <w:vAlign w:val="bottom"/>
          </w:tcPr>
          <w:p w14:paraId="6C278846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Net Income Growth</w:t>
            </w:r>
          </w:p>
        </w:tc>
      </w:tr>
      <w:tr w:rsidR="001C4FDB" w:rsidRPr="0008690D" w14:paraId="4A313A53" w14:textId="77777777" w:rsidTr="008749CD">
        <w:tc>
          <w:tcPr>
            <w:tcW w:w="1178" w:type="pct"/>
            <w:vMerge/>
          </w:tcPr>
          <w:p w14:paraId="7D775A04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66C55612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X59</w:t>
            </w:r>
          </w:p>
        </w:tc>
        <w:tc>
          <w:tcPr>
            <w:tcW w:w="3194" w:type="pct"/>
            <w:vAlign w:val="bottom"/>
          </w:tcPr>
          <w:p w14:paraId="3B83CBE1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Total Assets Growth</w:t>
            </w:r>
          </w:p>
        </w:tc>
      </w:tr>
      <w:tr w:rsidR="001C4FDB" w:rsidRPr="0008690D" w14:paraId="15E8C6F0" w14:textId="77777777" w:rsidTr="008749CD">
        <w:tc>
          <w:tcPr>
            <w:tcW w:w="1178" w:type="pct"/>
            <w:vMerge/>
          </w:tcPr>
          <w:p w14:paraId="5D9755D9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11C53B8E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X60</w:t>
            </w:r>
          </w:p>
        </w:tc>
        <w:tc>
          <w:tcPr>
            <w:tcW w:w="3194" w:type="pct"/>
            <w:vAlign w:val="bottom"/>
          </w:tcPr>
          <w:p w14:paraId="568A6245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Total Equity Growth</w:t>
            </w:r>
          </w:p>
        </w:tc>
      </w:tr>
      <w:tr w:rsidR="001C4FDB" w:rsidRPr="0008690D" w14:paraId="5EB8B79F" w14:textId="77777777" w:rsidTr="008749CD">
        <w:tc>
          <w:tcPr>
            <w:tcW w:w="1178" w:type="pct"/>
            <w:vMerge/>
          </w:tcPr>
          <w:p w14:paraId="1E249ECF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vAlign w:val="bottom"/>
          </w:tcPr>
          <w:p w14:paraId="7DED38D2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X61</w:t>
            </w:r>
          </w:p>
        </w:tc>
        <w:tc>
          <w:tcPr>
            <w:tcW w:w="3194" w:type="pct"/>
            <w:vAlign w:val="bottom"/>
          </w:tcPr>
          <w:p w14:paraId="10A9D763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ROA Growth</w:t>
            </w:r>
          </w:p>
        </w:tc>
      </w:tr>
      <w:tr w:rsidR="001C4FDB" w:rsidRPr="0008690D" w14:paraId="3EB64449" w14:textId="77777777" w:rsidTr="008749CD">
        <w:tc>
          <w:tcPr>
            <w:tcW w:w="1178" w:type="pct"/>
            <w:vMerge/>
            <w:tcBorders>
              <w:bottom w:val="single" w:sz="4" w:space="0" w:color="auto"/>
            </w:tcBorders>
          </w:tcPr>
          <w:p w14:paraId="6F69339D" w14:textId="77777777" w:rsidR="001C4FDB" w:rsidRPr="0008690D" w:rsidRDefault="001C4FDB" w:rsidP="008749CD">
            <w:pPr>
              <w:spacing w:before="0" w:after="0"/>
              <w:ind w:firstLine="0"/>
              <w:jc w:val="center"/>
              <w:rPr>
                <w:lang w:val="en-US"/>
              </w:rPr>
            </w:pPr>
          </w:p>
        </w:tc>
        <w:tc>
          <w:tcPr>
            <w:tcW w:w="628" w:type="pct"/>
            <w:tcBorders>
              <w:bottom w:val="single" w:sz="4" w:space="0" w:color="auto"/>
            </w:tcBorders>
            <w:vAlign w:val="bottom"/>
          </w:tcPr>
          <w:p w14:paraId="31EDFA9C" w14:textId="77777777" w:rsidR="001C4FDB" w:rsidRPr="0008690D" w:rsidRDefault="001C4FDB" w:rsidP="008749CD">
            <w:pPr>
              <w:spacing w:before="0" w:after="0"/>
              <w:ind w:firstLine="0"/>
              <w:jc w:val="center"/>
            </w:pPr>
            <w:r w:rsidRPr="0008690D">
              <w:rPr>
                <w:lang w:val="en-US"/>
              </w:rPr>
              <w:t>X62</w:t>
            </w:r>
          </w:p>
        </w:tc>
        <w:tc>
          <w:tcPr>
            <w:tcW w:w="3194" w:type="pct"/>
            <w:tcBorders>
              <w:bottom w:val="single" w:sz="4" w:space="0" w:color="auto"/>
            </w:tcBorders>
            <w:vAlign w:val="bottom"/>
          </w:tcPr>
          <w:p w14:paraId="11B3EDCB" w14:textId="77777777" w:rsidR="001C4FDB" w:rsidRPr="0008690D" w:rsidRDefault="001C4FDB" w:rsidP="008749CD">
            <w:pPr>
              <w:spacing w:before="0" w:after="0"/>
              <w:ind w:firstLine="0"/>
            </w:pPr>
            <w:r w:rsidRPr="0008690D">
              <w:rPr>
                <w:rFonts w:cs="Times New Roman"/>
                <w:color w:val="000000"/>
                <w:szCs w:val="24"/>
              </w:rPr>
              <w:t>ROE Growth</w:t>
            </w:r>
          </w:p>
        </w:tc>
      </w:tr>
    </w:tbl>
    <w:p w14:paraId="350AC360" w14:textId="77777777" w:rsidR="001C4FDB" w:rsidRDefault="001C4FDB"/>
    <w:sectPr w:rsidR="001C4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FDB"/>
    <w:rsid w:val="001C4FDB"/>
    <w:rsid w:val="0075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3DE0B"/>
  <w15:chartTrackingRefBased/>
  <w15:docId w15:val="{B5283418-3C4B-41E0-A68B-E044B8A81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FDB"/>
    <w:pPr>
      <w:spacing w:before="120" w:after="120" w:line="360" w:lineRule="auto"/>
      <w:ind w:firstLine="567"/>
      <w:jc w:val="both"/>
    </w:pPr>
    <w:rPr>
      <w:rFonts w:ascii="Times New Roman" w:hAnsi="Times New Roman"/>
      <w:kern w:val="0"/>
      <w:szCs w:val="22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4FDB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FDB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FDB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FDB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FDB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FDB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FDB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FDB"/>
    <w:pPr>
      <w:keepNext/>
      <w:keepLines/>
      <w:spacing w:before="0"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FDB"/>
    <w:pPr>
      <w:keepNext/>
      <w:keepLines/>
      <w:spacing w:before="0"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FDB"/>
    <w:pPr>
      <w:spacing w:before="0"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C4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FDB"/>
    <w:pPr>
      <w:numPr>
        <w:ilvl w:val="1"/>
      </w:numPr>
      <w:spacing w:before="0"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C4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FDB"/>
    <w:pPr>
      <w:spacing w:before="160" w:after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C4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FDB"/>
    <w:pPr>
      <w:spacing w:before="0" w:after="160" w:line="278" w:lineRule="auto"/>
      <w:ind w:left="720" w:firstLine="0"/>
      <w:contextualSpacing/>
      <w:jc w:val="left"/>
    </w:pPr>
    <w:rPr>
      <w:rFonts w:asciiTheme="minorHAnsi" w:hAnsiTheme="minorHAnsi"/>
      <w:kern w:val="2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C4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F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4FD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C4FDB"/>
    <w:pPr>
      <w:spacing w:line="240" w:lineRule="auto"/>
      <w:jc w:val="center"/>
    </w:pPr>
    <w:rPr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Truong</dc:creator>
  <cp:keywords/>
  <dc:description/>
  <cp:lastModifiedBy>Duong Truong</cp:lastModifiedBy>
  <cp:revision>1</cp:revision>
  <dcterms:created xsi:type="dcterms:W3CDTF">2025-06-13T01:51:00Z</dcterms:created>
  <dcterms:modified xsi:type="dcterms:W3CDTF">2025-06-13T01:51:00Z</dcterms:modified>
</cp:coreProperties>
</file>