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Веретенников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SourceCode"/>
      </w:pPr>
      <w:r>
        <w:rPr>
          <w:rStyle w:val="VerbatimChar"/>
        </w:rPr>
        <w:t xml:space="preserve">DB (define byte) — определяет переменную размером в 1 байт;</w:t>
      </w:r>
      <w:r>
        <w:br/>
      </w:r>
      <w:r>
        <w:rPr>
          <w:rStyle w:val="VerbatimChar"/>
        </w:rPr>
        <w:t xml:space="preserve">DW (define word) — определяет переменную размеров в 2 байта (слово);</w:t>
      </w:r>
      <w:r>
        <w:br/>
      </w:r>
      <w:r>
        <w:rPr>
          <w:rStyle w:val="VerbatimChar"/>
        </w:rPr>
        <w:t xml:space="preserve">DD (define double word) — определяет переменную размером в 4 байта (двойное слово);</w:t>
      </w:r>
      <w:r>
        <w:br/>
      </w:r>
      <w:r>
        <w:rPr>
          <w:rStyle w:val="VerbatimChar"/>
        </w:rPr>
        <w:t xml:space="preserve">DQ (define quad word) — определяет переменную размером в 8 байт (учетве- рённое слово);</w:t>
      </w:r>
      <w:r>
        <w:br/>
      </w:r>
      <w:r>
        <w:rPr>
          <w:rStyle w:val="VerbatimChar"/>
        </w:rPr>
        <w:t xml:space="preserve">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основы-работы-c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c Midnight Commander</w:t>
      </w:r>
    </w:p>
    <w:p>
      <w:pPr>
        <w:pStyle w:val="FirstParagraph"/>
      </w:pPr>
      <w:r>
        <w:t xml:space="preserve">Открываю Midnight Commander и перехожу в каталог созданный при выполнении лабораторной работы №4 (рис. 1).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Midnight Commander" title="" id="24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5/report/image/Вставленное%20изображение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Создаю файл lab5-1.asm, с помощью функциональной клавиши F4 открываю файл для редактирования и ввожу текст программы из листинга 5.1 (рис. 2).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Текст программы из листинга 5.1" title="" id="27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5/report/image/Вставленное%20изображение%20(2)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из листинга 5.1</w:t>
      </w:r>
    </w:p>
    <w:p>
      <w:pPr>
        <w:pStyle w:val="BodyText"/>
      </w:pPr>
      <w:r>
        <w:t xml:space="preserve">С помощью функциональной клавиши F3 открываю файл lab5-1.asm для просмотра и убеждаюсь, что файл содержит текст программы (рис. 3).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Текст программы" title="" id="30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5/report/image/Вставленное%20изображение%20(3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программы</w:t>
      </w:r>
    </w:p>
    <w:p>
      <w:pPr>
        <w:pStyle w:val="BodyText"/>
      </w:pPr>
      <w:r>
        <w:t xml:space="preserve">Транслирую текст программы lab5-1.asm в объектный файл, выполняю компоновку объектного файла и запускаю исполняемый файл (рис. 4).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Проверка работы программы" title="" id="33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5/report/image/Вставленное%20изображение%20(4)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работы программы</w:t>
      </w:r>
    </w:p>
    <w:bookmarkEnd w:id="35"/>
    <w:bookmarkStart w:id="45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Создаю копию файла lab5-1.asm с именем lab5-2.asm (рис. 5).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Файл lab5-2.asm" title="" id="37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5/report/image/Вставленное%20изображение%20(5)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lab5-2.asm</w:t>
      </w:r>
    </w:p>
    <w:p>
      <w:pPr>
        <w:pStyle w:val="BodyText"/>
      </w:pPr>
      <w:r>
        <w:t xml:space="preserve">В файле lab5-2.asm заменяю подпрограмму sprintLF на sprint и проверяю работу программы (рис. 6).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Текст программы lab5-2.asm" title="" id="40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5/report/image/Вставленное%20изображение%20(7)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программы lab5-2.asm</w:t>
      </w:r>
    </w:p>
    <w:p>
      <w:pPr>
        <w:pStyle w:val="CaptionedFigure"/>
      </w:pPr>
      <w:r>
        <w:drawing>
          <wp:inline>
            <wp:extent cx="5334000" cy="1337553"/>
            <wp:effectExtent b="0" l="0" r="0" t="0"/>
            <wp:docPr descr="Проверка работы программы" title="" id="43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5/report/image/Вставленное%20изображение%20(8)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работы программы</w:t>
      </w:r>
    </w:p>
    <w:p>
      <w:pPr>
        <w:pStyle w:val="BodyText"/>
      </w:pPr>
      <w:r>
        <w:t xml:space="preserve">Разница подпрограмм в том, что вторая вызывает ввод на той же строке.</w:t>
      </w:r>
    </w:p>
    <w:p>
      <w:pPr>
        <w:pStyle w:val="BodyText"/>
      </w:pPr>
      <w:r>
        <w:t xml:space="preserve">Далее копирую файлы в локальный репозиторий и загружаю файлы на Github.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1120 с. — (Классика Computer Science).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Веретенников Дмитрий Олегович</dc:creator>
  <dc:language>ru-RU</dc:language>
  <cp:keywords/>
  <dcterms:created xsi:type="dcterms:W3CDTF">2024-12-14T17:36:35Z</dcterms:created>
  <dcterms:modified xsi:type="dcterms:W3CDTF">2024-12-14T17:36:35Z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