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Веретенников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подпрограмм в NASM</w:t>
      </w:r>
    </w:p>
    <w:p>
      <w:pPr>
        <w:pStyle w:val="Compact"/>
        <w:numPr>
          <w:ilvl w:val="0"/>
          <w:numId w:val="1001"/>
        </w:numPr>
      </w:pPr>
      <w:r>
        <w:t xml:space="preserve">Отладка программ с помощью GDB</w:t>
      </w:r>
    </w:p>
    <w:p>
      <w:pPr>
        <w:pStyle w:val="Compact"/>
        <w:numPr>
          <w:ilvl w:val="0"/>
          <w:numId w:val="1001"/>
        </w:numPr>
      </w:pPr>
      <w:r>
        <w:t xml:space="preserve">Самостоятельное выполнение заданий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 можно разделить на четыре этапа:</w:t>
      </w:r>
    </w:p>
    <w:p>
      <w:pPr>
        <w:pStyle w:val="BodyText"/>
      </w:pPr>
      <w:r>
        <w:t xml:space="preserve">• обнаружение ошибки; • поиск её местонахождения; • определение причины ошибки; 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 вызваны нарушением ожидаемой формы или структуры языка; • семантические ошибки — являются логическими и приводят к тому, что программа запускается, отрабатывает, но не даёт желаемого результата; • ошибки в процессе выполнения — не обнаруживаются при трансляции и вызывают пре- рывание выполнения программы (например, это ошибки, связанные с переполнением 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доволь- 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 обычно проще определить причину неправильной работы программы. 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</w:p>
    <w:bookmarkEnd w:id="22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72" w:name="релази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Релазиация подпрограмм в NASM</w:t>
      </w:r>
    </w:p>
    <w:p>
      <w:pPr>
        <w:pStyle w:val="FirstParagraph"/>
      </w:pPr>
      <w:r>
        <w:t xml:space="preserve">Ввожу в файл lab9-1.asm программу из листинга 9.1, сохдаю исполняемый файл и проверяю работу программы (рис. 1).</w:t>
      </w:r>
    </w:p>
    <w:p>
      <w:pPr>
        <w:pStyle w:val="CaptionedFigure"/>
      </w:pPr>
      <w:r>
        <w:drawing>
          <wp:inline>
            <wp:extent cx="5334000" cy="4015567"/>
            <wp:effectExtent b="0" l="0" r="0" t="0"/>
            <wp:docPr descr="Создание исполняемого файла и запуск программы" title="" id="24" name="Picture"/>
            <a:graphic>
              <a:graphicData uri="http://schemas.openxmlformats.org/drawingml/2006/picture">
                <pic:pic>
                  <pic:nvPicPr>
                    <pic:cNvPr descr="/home/doveretennikov/work/study/2024-2025/Архитектура%20компьютера/arch-pc/labs/lab09/Report/image/Вставленное%20изображение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исполняемого файла и запуск программы</w:t>
      </w:r>
    </w:p>
    <w:p>
      <w:pPr>
        <w:pStyle w:val="BodyText"/>
      </w:pPr>
      <w:r>
        <w:t xml:space="preserve">Изменяю текст программы, добавив подпрограмму для вычесления выражения f(g(x)) (рис. 2).</w:t>
      </w:r>
    </w:p>
    <w:p>
      <w:pPr>
        <w:pStyle w:val="CaptionedFigure"/>
      </w:pPr>
      <w:r>
        <w:drawing>
          <wp:inline>
            <wp:extent cx="5334000" cy="7270211"/>
            <wp:effectExtent b="0" l="0" r="0" t="0"/>
            <wp:docPr descr="Изменение программы" title="" id="27" name="Picture"/>
            <a:graphic>
              <a:graphicData uri="http://schemas.openxmlformats.org/drawingml/2006/picture">
                <pic:pic>
                  <pic:nvPicPr>
                    <pic:cNvPr descr="/home/doveretennikov/work/study/2024-2025/Архитектура%20компьютера/arch-pc/labs/lab09/Report/image/Вставленное%20изображение%20(2)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70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Изменение программы</w:t>
      </w:r>
    </w:p>
    <w:p>
      <w:pPr>
        <w:pStyle w:val="BodyText"/>
      </w:pPr>
      <w:r>
        <w:t xml:space="preserve">Запускаю измененную программу и проверяю правильность ее работы (рис. 3).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Запуск программы</w:t>
            </w:r>
          </w:p>
        </w:tc>
      </w:tr>
    </w:tbl>
    <w:p>
      <w:pPr>
        <w:pStyle w:val="ImageCaption"/>
      </w:pPr>
      <w:r>
        <w:t xml:space="preserve">Рис. 3: Запуск программы</w:t>
      </w:r>
    </w:p>
    <w:bookmarkStart w:id="44" w:name="отладка-программ-с-помощью-gdb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Создаю файл lab9-2.asm ввожу в него текст из листинга 9.2, получаю исполняемый файл и загружаю файл в отладчик gdb (рис. 4).</w:t>
      </w:r>
    </w:p>
    <w:p>
      <w:pPr>
        <w:pStyle w:val="CaptionedFigure"/>
      </w:pPr>
      <w:r>
        <w:drawing>
          <wp:inline>
            <wp:extent cx="5334000" cy="4558008"/>
            <wp:effectExtent b="0" l="0" r="0" t="0"/>
            <wp:docPr descr="Получение исполняемого файл и загрузка его в отладчик gdb" title="" id="30" name="Picture"/>
            <a:graphic>
              <a:graphicData uri="http://schemas.openxmlformats.org/drawingml/2006/picture">
                <pic:pic>
                  <pic:nvPicPr>
                    <pic:cNvPr descr="/home/doveretennikov/work/study/2024-2025/Архитектура%20компьютера/arch-pc/labs/lab09/Report/image/Вставленное%20изображение%20(4)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8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Получение исполняемого файл и загрузка его в отладчик gdb</w:t>
      </w:r>
    </w:p>
    <w:p>
      <w:pPr>
        <w:pStyle w:val="CaptionedFigure"/>
      </w:pPr>
      <w:r>
        <w:drawing>
          <wp:inline>
            <wp:extent cx="5334000" cy="5778500"/>
            <wp:effectExtent b="0" l="0" r="0" t="0"/>
            <wp:docPr descr="Отладчик gdb" title="" id="33" name="Picture"/>
            <a:graphic>
              <a:graphicData uri="http://schemas.openxmlformats.org/drawingml/2006/picture">
                <pic:pic>
                  <pic:nvPicPr>
                    <pic:cNvPr descr="/home/doveretennikov/work/study/2024-2025/Архитектура%20компьютера/arch-pc/labs/lab09/Report/image/Вставленное%20изображение%20(5)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Отладчик gdb</w:t>
      </w:r>
    </w:p>
    <w:p>
      <w:pPr>
        <w:pStyle w:val="BodyText"/>
      </w:pPr>
      <w:r>
        <w:t xml:space="preserve">Устанавливаю брейкпоинт на метку _start (рис. 5).</w:t>
      </w:r>
    </w:p>
    <w:p>
      <w:pPr>
        <w:pStyle w:val="CaptionedFigure"/>
      </w:pPr>
      <w:r>
        <w:drawing>
          <wp:inline>
            <wp:extent cx="5334000" cy="5642889"/>
            <wp:effectExtent b="0" l="0" r="0" t="0"/>
            <wp:docPr descr="Установка брейкпоинта" title="" id="36" name="Picture"/>
            <a:graphic>
              <a:graphicData uri="http://schemas.openxmlformats.org/drawingml/2006/picture">
                <pic:pic>
                  <pic:nvPicPr>
                    <pic:cNvPr descr="/home/doveretennikov/work/study/2024-2025/Архитектура%20компьютера/arch-pc/labs/lab09/Report/image/Вставленное%20изображение%20(6)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брейкпоинта</w:t>
      </w:r>
    </w:p>
    <w:p>
      <w:pPr>
        <w:pStyle w:val="BodyText"/>
      </w:pPr>
      <w:r>
        <w:t xml:space="preserve">Просматриваю дисассимилированный код программы (рис. 6).</w:t>
      </w:r>
    </w:p>
    <w:p>
      <w:pPr>
        <w:pStyle w:val="BodyText"/>
      </w:pPr>
      <w:r>
        <w:t xml:space="preserve">!Дисассимилированный код программы](/home/doveretennikov/work/study/2024-2025/Архитектура компьютера/arch-pc/labs/lab09/Report/image/Вставленное изображение (7).png){#fig:007}</w:t>
      </w:r>
    </w:p>
    <w:p>
      <w:pPr>
        <w:pStyle w:val="BodyText"/>
      </w:pPr>
      <w:r>
        <w:t xml:space="preserve">Переключаюсь на отображение команд с Intel’овским синтаксисом (рис. 7).</w:t>
      </w:r>
    </w:p>
    <w:p>
      <w:pPr>
        <w:pStyle w:val="CaptionedFigure"/>
      </w:pPr>
      <w:r>
        <w:drawing>
          <wp:inline>
            <wp:extent cx="5334000" cy="3879957"/>
            <wp:effectExtent b="0" l="0" r="0" t="0"/>
            <wp:docPr descr="Переключение" title="" id="39" name="Picture"/>
            <a:graphic>
              <a:graphicData uri="http://schemas.openxmlformats.org/drawingml/2006/picture">
                <pic:pic>
                  <pic:nvPicPr>
                    <pic:cNvPr descr="/home/doveretennikov/work/study/2024-2025/Архитектура%20компьютера/arch-pc/labs/lab09/Report/image/Вставленное%20изображение%20(8)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Переключение</w:t>
      </w:r>
    </w:p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>
      <w:pPr>
        <w:pStyle w:val="BodyText"/>
      </w:pPr>
      <w:r>
        <w:t xml:space="preserve">Включаю режим псевдографики (рис. 8).</w:t>
      </w:r>
    </w:p>
    <w:p>
      <w:pPr>
        <w:pStyle w:val="CaptionedFigure"/>
      </w:pPr>
      <w:r>
        <w:drawing>
          <wp:inline>
            <wp:extent cx="5334000" cy="3879957"/>
            <wp:effectExtent b="0" l="0" r="0" t="0"/>
            <wp:docPr descr="Режим псевдографики" title="" id="42" name="Picture"/>
            <a:graphic>
              <a:graphicData uri="http://schemas.openxmlformats.org/drawingml/2006/picture">
                <pic:pic>
                  <pic:nvPicPr>
                    <pic:cNvPr descr="/home/doveretennikov/work/study/2024-2025/Архитектура%20компьютера/arch-pc/labs/lab09/Report/image/Вставленное%20изображение%20(9)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Режим псевдографики</w:t>
      </w:r>
    </w:p>
    <w:bookmarkEnd w:id="44"/>
    <w:bookmarkStart w:id="48" w:name="добавление-точек-останова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Устанавливаю еще одну точку останова по адресу интрукции и просматриваю информацию о всех установленных точках останова (рис. 9).</w:t>
      </w:r>
    </w:p>
    <w:p>
      <w:pPr>
        <w:pStyle w:val="CaptionedFigure"/>
      </w:pPr>
      <w:r>
        <w:drawing>
          <wp:inline>
            <wp:extent cx="5334000" cy="3879957"/>
            <wp:effectExtent b="0" l="0" r="0" t="0"/>
            <wp:docPr descr="Информация о точках останова" title="" id="46" name="Picture"/>
            <a:graphic>
              <a:graphicData uri="http://schemas.openxmlformats.org/drawingml/2006/picture">
                <pic:pic>
                  <pic:nvPicPr>
                    <pic:cNvPr descr="/home/doveretennikov/work/study/2024-2025/Архитектура%20компьютера/arch-pc/labs/lab09/Report/image/Вставленное%20изображение%20(11)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Информация о точках останова</w:t>
      </w:r>
    </w:p>
    <w:bookmarkEnd w:id="48"/>
    <w:bookmarkStart w:id="64" w:name="работа-с-данными-программы-в-gdb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(рис. 10).</w:t>
      </w:r>
    </w:p>
    <w:p>
      <w:pPr>
        <w:pStyle w:val="CaptionedFigure"/>
      </w:pPr>
      <w:r>
        <w:drawing>
          <wp:inline>
            <wp:extent cx="5334000" cy="3879957"/>
            <wp:effectExtent b="0" l="0" r="0" t="0"/>
            <wp:docPr descr="Содержание регистров" title="" id="50" name="Picture"/>
            <a:graphic>
              <a:graphicData uri="http://schemas.openxmlformats.org/drawingml/2006/picture">
                <pic:pic>
                  <pic:nvPicPr>
                    <pic:cNvPr descr="/home/doveretennikov/work/study/2024-2025/Архитектура%20компьютера/arch-pc/labs/lab09/Report/image/Вставленное%20изображение%20(12)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Содержание регистров</w:t>
      </w:r>
    </w:p>
    <w:p>
      <w:pPr>
        <w:pStyle w:val="BodyText"/>
      </w:pPr>
      <w:r>
        <w:t xml:space="preserve">Просматриваю значение переменной msg1 по имени и переменной msg2 по адресу (рис. 11).</w:t>
      </w:r>
    </w:p>
    <w:p>
      <w:pPr>
        <w:pStyle w:val="CaptionedFigure"/>
      </w:pPr>
      <w:r>
        <w:drawing>
          <wp:inline>
            <wp:extent cx="5334000" cy="3879957"/>
            <wp:effectExtent b="0" l="0" r="0" t="0"/>
            <wp:docPr descr="Значения переменных" title="" id="53" name="Picture"/>
            <a:graphic>
              <a:graphicData uri="http://schemas.openxmlformats.org/drawingml/2006/picture">
                <pic:pic>
                  <pic:nvPicPr>
                    <pic:cNvPr descr="/home/doveretennikov/work/study/2024-2025/Архитектура%20компьютера/arch-pc/labs/lab09/Report/image/Вставленное%20изображение%20(13)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Значения переменных</w:t>
      </w:r>
    </w:p>
    <w:p>
      <w:pPr>
        <w:pStyle w:val="BodyText"/>
      </w:pPr>
      <w:r>
        <w:t xml:space="preserve">Изменяю первый символ переменной msg1 и переменной msg2 (рис. 12).</w:t>
      </w:r>
    </w:p>
    <w:p>
      <w:pPr>
        <w:pStyle w:val="CaptionedFigure"/>
      </w:pPr>
      <w:r>
        <w:drawing>
          <wp:inline>
            <wp:extent cx="5334000" cy="3879957"/>
            <wp:effectExtent b="0" l="0" r="0" t="0"/>
            <wp:docPr descr="Изменения первых симолов переменных" title="" id="56" name="Picture"/>
            <a:graphic>
              <a:graphicData uri="http://schemas.openxmlformats.org/drawingml/2006/picture">
                <pic:pic>
                  <pic:nvPicPr>
                    <pic:cNvPr descr="/home/doveretennikov/work/study/2024-2025/Архитектура%20компьютера/arch-pc/labs/lab09/Report/image/Вставленное%20изображение%20(14)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Изменения первых симолов переменных</w:t>
      </w:r>
    </w:p>
    <w:p>
      <w:pPr>
        <w:pStyle w:val="BodyText"/>
      </w:pPr>
      <w:r>
        <w:t xml:space="preserve">Вывожу в различных форматах значение регистра ebx (рис. 13).</w:t>
      </w:r>
    </w:p>
    <w:p>
      <w:pPr>
        <w:pStyle w:val="CaptionedFigure"/>
      </w:pPr>
      <w:r>
        <w:drawing>
          <wp:inline>
            <wp:extent cx="5334000" cy="3879957"/>
            <wp:effectExtent b="0" l="0" r="0" t="0"/>
            <wp:docPr descr="Вывод ebx в разных форматах" title="" id="59" name="Picture"/>
            <a:graphic>
              <a:graphicData uri="http://schemas.openxmlformats.org/drawingml/2006/picture">
                <pic:pic>
                  <pic:nvPicPr>
                    <pic:cNvPr descr="/home/doveretennikov/work/study/2024-2025/Архитектура%20компьютера/arch-pc/labs/lab09/Report/image/Вставленное%20изображение%20(15)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ebx в разных форматах</w:t>
      </w:r>
    </w:p>
    <w:p>
      <w:pPr>
        <w:pStyle w:val="BodyText"/>
      </w:pPr>
      <w:r>
        <w:t xml:space="preserve">С помощью команды set изменяю значение регистра ebx (рис. 14).</w:t>
      </w:r>
    </w:p>
    <w:p>
      <w:pPr>
        <w:pStyle w:val="CaptionedFigure"/>
      </w:pPr>
      <w:r>
        <w:drawing>
          <wp:inline>
            <wp:extent cx="5334000" cy="3879957"/>
            <wp:effectExtent b="0" l="0" r="0" t="0"/>
            <wp:docPr descr="Изменение значения регистра ebx" title="" id="62" name="Picture"/>
            <a:graphic>
              <a:graphicData uri="http://schemas.openxmlformats.org/drawingml/2006/picture">
                <pic:pic>
                  <pic:nvPicPr>
                    <pic:cNvPr descr="/home/doveretennikov/work/study/2024-2025/Архитектура%20компьютера/arch-pc/labs/lab09/Report/image/Вставленное%20изображение%20(16)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значения регистра ebx</w:t>
      </w:r>
    </w:p>
    <w:bookmarkEnd w:id="64"/>
    <w:bookmarkStart w:id="71" w:name="X34484a9d02dddcc072527afae661c9b27116987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 в файл с именем lab9-3.asm и создаю исполняемый файл (рис. 15).</w:t>
      </w:r>
    </w:p>
    <w:p>
      <w:pPr>
        <w:pStyle w:val="CaptionedFigure"/>
      </w:pPr>
      <w:r>
        <w:drawing>
          <wp:inline>
            <wp:extent cx="5334000" cy="4015567"/>
            <wp:effectExtent b="0" l="0" r="0" t="0"/>
            <wp:docPr descr="Создание исполняемого файла" title="" id="66" name="Picture"/>
            <a:graphic>
              <a:graphicData uri="http://schemas.openxmlformats.org/drawingml/2006/picture">
                <pic:pic>
                  <pic:nvPicPr>
                    <pic:cNvPr descr="/home/doveretennikov/work/study/2024-2025/Архитектура%20компьютера/arch-pc/labs/lab09/Report/image/Вставленное%20изображение%20(17)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исполняемого файла</w:t>
      </w:r>
    </w:p>
    <w:p>
      <w:pPr>
        <w:pStyle w:val="BodyText"/>
      </w:pPr>
      <w:r>
        <w:t xml:space="preserve">Загружая исполняемый файл в отладчик указываю аргументы, далее устанавливаю точку останова перед первой инструкцией и затем просматриваю позиции стека (рис. 16).</w:t>
      </w:r>
    </w:p>
    <w:p>
      <w:pPr>
        <w:pStyle w:val="CaptionedFigure"/>
      </w:pPr>
      <w:r>
        <w:drawing>
          <wp:inline>
            <wp:extent cx="5334000" cy="5371669"/>
            <wp:effectExtent b="0" l="0" r="0" t="0"/>
            <wp:docPr descr="Загрузка файла, установка точки останова и просмотр позиции стека" title="" id="69" name="Picture"/>
            <a:graphic>
              <a:graphicData uri="http://schemas.openxmlformats.org/drawingml/2006/picture">
                <pic:pic>
                  <pic:nvPicPr>
                    <pic:cNvPr descr="/home/doveretennikov/work/study/2024-2025/Архитектура%20компьютера/arch-pc/labs/lab09/Report/image/Вставленное%20изображение%20(18)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1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Загрузка файла, установка точки останова и просмотр позиции стека</w:t>
      </w:r>
    </w:p>
    <w:bookmarkEnd w:id="71"/>
    <w:bookmarkEnd w:id="72"/>
    <w:bookmarkStart w:id="76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Изменяю программу из 8 лабораторной работы чтобы она вычисляла значения как подпрограмма (рис. 17).</w:t>
      </w:r>
    </w:p>
    <w:p>
      <w:pPr>
        <w:pStyle w:val="CaptionedFigure"/>
      </w:pPr>
      <w:r>
        <w:drawing>
          <wp:inline>
            <wp:extent cx="5334000" cy="5642889"/>
            <wp:effectExtent b="0" l="0" r="0" t="0"/>
            <wp:docPr descr="Измененная программа" title="" id="74" name="Picture"/>
            <a:graphic>
              <a:graphicData uri="http://schemas.openxmlformats.org/drawingml/2006/picture">
                <pic:pic>
                  <pic:nvPicPr>
                    <pic:cNvPr descr="/home/doveretennikov/work/study/2024-2025/Архитектура%20компьютера/arch-pc/labs/lab09/Report/image/Вставленное%20изображение%20(19)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Измененная программа</w:t>
      </w:r>
    </w:p>
    <w:bookmarkEnd w:id="76"/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Почле выполнения данной лабораторной работы я приобрел навыки написания программ с использованием подпрограмм, а так же познакомился с методами отладки при поомщи GDB и его основными возможностями.</w:t>
      </w:r>
    </w:p>
    <w:bookmarkEnd w:id="78"/>
    <w:bookmarkStart w:id="7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GDB: The GNU Project Debugger. — URL: https://www.gnu.org/software/gdb/.</w:t>
      </w:r>
    </w:p>
    <w:p>
      <w:pPr>
        <w:pStyle w:val="Compact"/>
        <w:numPr>
          <w:ilvl w:val="0"/>
          <w:numId w:val="1002"/>
        </w:numPr>
      </w:pPr>
      <w:r>
        <w:t xml:space="preserve">GNU Bash Manual. — 2016. — URL: https://www.gnu.org/software/bash/manual/.</w:t>
      </w:r>
    </w:p>
    <w:p>
      <w:pPr>
        <w:pStyle w:val="Compact"/>
        <w:numPr>
          <w:ilvl w:val="0"/>
          <w:numId w:val="1002"/>
        </w:numPr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pStyle w:val="Compact"/>
        <w:numPr>
          <w:ilvl w:val="0"/>
          <w:numId w:val="1002"/>
        </w:numPr>
      </w:pPr>
      <w:r>
        <w:t xml:space="preserve">NASM Assembly Language Tutorials. — 2021. — URL: https://asmtutor.com/.</w:t>
      </w:r>
    </w:p>
    <w:p>
      <w:pPr>
        <w:pStyle w:val="Compact"/>
        <w:numPr>
          <w:ilvl w:val="0"/>
          <w:numId w:val="1002"/>
        </w:numPr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http://www.amazon.com/Learning-</w:t>
      </w:r>
      <w:r>
        <w:t xml:space="preserve"> </w:t>
      </w:r>
      <w:r>
        <w:t xml:space="preserve">bash-Shell-Programming-Nutshell/dp/0596009658.</w:t>
      </w:r>
    </w:p>
    <w:p>
      <w:pPr>
        <w:pStyle w:val="Compact"/>
        <w:numPr>
          <w:ilvl w:val="0"/>
          <w:numId w:val="1002"/>
        </w:numPr>
      </w:pPr>
      <w:r>
        <w:t xml:space="preserve">Robbins A. Bash Pocket Reference. — O’Reilly Media, 2016. — 156 с. — ISBN 978-1491941591.</w:t>
      </w:r>
    </w:p>
    <w:p>
      <w:pPr>
        <w:pStyle w:val="Compact"/>
        <w:numPr>
          <w:ilvl w:val="0"/>
          <w:numId w:val="1002"/>
        </w:numPr>
      </w:pPr>
      <w:r>
        <w:t xml:space="preserve">The NASM documentation. — 2021. — URL: https://www.nasm.us/docs.php.</w:t>
      </w:r>
    </w:p>
    <w:p>
      <w:pPr>
        <w:pStyle w:val="Compact"/>
        <w:numPr>
          <w:ilvl w:val="0"/>
          <w:numId w:val="1002"/>
        </w:numPr>
      </w:pPr>
      <w:r>
        <w:t xml:space="preserve">Zarrelli G. Mastering Bash. — Packt Publishing, 2017. — 502 с. — ISBN 9781784396879.</w:t>
      </w:r>
    </w:p>
    <w:p>
      <w:pPr>
        <w:pStyle w:val="Compact"/>
        <w:numPr>
          <w:ilvl w:val="0"/>
          <w:numId w:val="1002"/>
        </w:numPr>
      </w:pPr>
      <w:r>
        <w:t xml:space="preserve">Колдаев В. Д., Лупин С. А. Архитектура ЭВМ. — М. : Форум, 2018.</w:t>
      </w:r>
    </w:p>
    <w:p>
      <w:pPr>
        <w:pStyle w:val="Compact"/>
        <w:numPr>
          <w:ilvl w:val="0"/>
          <w:numId w:val="1002"/>
        </w:numPr>
      </w:pPr>
      <w:r>
        <w:t xml:space="preserve">Куляс О. Л., Никитин К. А. Курс программирования на ASSEMBLER. — М. : Солон-Пресс,</w:t>
      </w:r>
    </w:p>
    <w:p>
      <w:pPr>
        <w:pStyle w:val="Compact"/>
        <w:numPr>
          <w:ilvl w:val="0"/>
          <w:numId w:val="1002"/>
        </w:numPr>
      </w:pPr>
      <w:r>
        <w:t xml:space="preserve">Новожилов О. П. Архитектура ЭВМ и систем. — М. : Юрайт, 2016.</w:t>
      </w:r>
    </w:p>
    <w:p>
      <w:pPr>
        <w:pStyle w:val="Compact"/>
        <w:numPr>
          <w:ilvl w:val="0"/>
          <w:numId w:val="1002"/>
        </w:numPr>
      </w:pPr>
      <w:r>
        <w:t xml:space="preserve">Расширенный ассемблер: NASM. — 2021. — URL: https://www.opennet.ru/docs/RUS/nasm/.</w:t>
      </w:r>
    </w:p>
    <w:p>
      <w:pPr>
        <w:pStyle w:val="Compact"/>
        <w:numPr>
          <w:ilvl w:val="0"/>
          <w:numId w:val="1002"/>
        </w:numPr>
      </w:pPr>
      <w:r>
        <w:t xml:space="preserve">Робачевский А., Немнюгин С., Стесик О. Операционная система UNIX. — 2-е изд. — БХВ-</w:t>
      </w:r>
      <w:r>
        <w:t xml:space="preserve"> </w:t>
      </w:r>
      <w:r>
        <w:t xml:space="preserve">Петербург, 2010. — 656 с. — ISBN 978-5-94157-538-1.</w:t>
      </w:r>
    </w:p>
    <w:p>
      <w:pPr>
        <w:pStyle w:val="Compact"/>
        <w:numPr>
          <w:ilvl w:val="0"/>
          <w:numId w:val="1002"/>
        </w:numPr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pStyle w:val="Compact"/>
        <w:numPr>
          <w:ilvl w:val="0"/>
          <w:numId w:val="1002"/>
        </w:numPr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pStyle w:val="Compact"/>
        <w:numPr>
          <w:ilvl w:val="0"/>
          <w:numId w:val="1002"/>
        </w:numPr>
      </w:pPr>
      <w:r>
        <w:t xml:space="preserve">Таненбаум Э., Бос Х. Современные операционные системы. — 4-е изд. — СПб. : Питер,</w:t>
      </w:r>
    </w:p>
    <w:p>
      <w:pPr>
        <w:pStyle w:val="Compact"/>
        <w:numPr>
          <w:ilvl w:val="0"/>
          <w:numId w:val="1002"/>
        </w:numPr>
      </w:pPr>
      <w:r>
        <w:t xml:space="preserve">— 1120 с. — (Классика Computer Science).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Веретенников Дмитрий Олегович</dc:creator>
  <dc:language>ru-RU</dc:language>
  <cp:keywords/>
  <dcterms:created xsi:type="dcterms:W3CDTF">2024-12-07T20:57:41Z</dcterms:created>
  <dcterms:modified xsi:type="dcterms:W3CDTF">2024-12-07T20:57:41Z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