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Веретенников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НКАбд-01-24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отчет 2 лабораторной работы.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b/>
          <w:bCs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i/>
          <w:iCs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1 This is text is both</w:t>
      </w:r>
      <w:r>
        <w:t xml:space="preserve"> </w:t>
      </w:r>
      <w:r>
        <w:rPr>
          <w:b/>
          <w:bCs/>
          <w:i/>
          <w:iCs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1 &gt; 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2</w:t>
      </w:r>
      <w:r>
        <w:t xml:space="preserve"> </w:t>
      </w:r>
      <w:r>
        <w:t xml:space="preserve">3 -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A</w:t>
      </w:r>
      <w:r>
        <w:t xml:space="preserve"> </w:t>
      </w:r>
      <w:r>
        <w:t xml:space="preserve">3 - List item B</w:t>
      </w:r>
      <w:r>
        <w:t xml:space="preserve"> </w:t>
      </w:r>
      <w:r>
        <w:t xml:space="preserve">4 - List item 2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 1. First instruction</w:t>
      </w:r>
      <w:r>
        <w:t xml:space="preserve"> </w:t>
      </w:r>
      <w:r>
        <w:t xml:space="preserve">2 1. Second instruction</w:t>
      </w:r>
      <w:r>
        <w:t xml:space="preserve"> </w:t>
      </w:r>
      <w:r>
        <w:t xml:space="preserve">3 1. Third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 1. First instruction</w:t>
      </w:r>
      <w:r>
        <w:t xml:space="preserve"> </w:t>
      </w:r>
      <w:r>
        <w:t xml:space="preserve">2 1. Sub-instruction</w:t>
      </w:r>
      <w:r>
        <w:t xml:space="preserve"> </w:t>
      </w:r>
      <w:r>
        <w:t xml:space="preserve">3 1. Sub-instruction</w:t>
      </w:r>
      <w:r>
        <w:t xml:space="preserve"> </w:t>
      </w:r>
      <w:r>
        <w:t xml:space="preserve">4 1. Second instruction</w:t>
      </w:r>
      <w:r>
        <w:t xml:space="preserve"> </w:t>
      </w: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ссылка:</w:t>
      </w:r>
      <w:r>
        <w:t xml:space="preserve"> </w:t>
      </w:r>
      <w:r>
        <w:t xml:space="preserve">1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 Общий</w:t>
      </w:r>
      <w:r>
        <w:t xml:space="preserve"> </w:t>
      </w:r>
      <w:r>
        <w:t xml:space="preserve">формат огражденных блоков кода:</w:t>
      </w:r>
      <w:r>
        <w:t xml:space="preserve"> </w:t>
      </w:r>
      <w:r>
        <w:t xml:space="preserve">1</w:t>
      </w:r>
      <w:r>
        <w:t xml:space="preserve"> </w:t>
      </w:r>
      <w:r>
        <w:rPr>
          <w:rStyle w:val="VerbatimChar"/>
        </w:rPr>
        <w:t xml:space="preserve">language 2 your code goes in here 3</w:t>
      </w:r>
      <w:r>
        <w:t xml:space="preserve"> </w:t>
      </w:r>
      <w:r>
        <w:t xml:space="preserve">Верхние и нижние индексы:</w:t>
      </w:r>
      <w:r>
        <w:t xml:space="preserve"> </w:t>
      </w:r>
      <w:r>
        <w:t xml:space="preserve">𝐻2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1 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2</w:t>
      </w:r>
      <w:r>
        <w:t xml:space="preserve"> </w:t>
      </w:r>
      <w:r>
        <w:t xml:space="preserve">10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1 2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</w:t>
      </w:r>
      <w:r>
        <w:t xml:space="preserve"> </w:t>
      </w:r>
      <w:r>
        <w:t xml:space="preserve">(𝑥) + cos2</w:t>
      </w:r>
      <w:r>
        <w:t xml:space="preserve"> </w:t>
      </w:r>
      <w:r>
        <w:t xml:space="preserve">(𝑥) = 1 запишется как</w:t>
      </w:r>
      <w:r>
        <w:t xml:space="preserve"> </w:t>
      </w:r>
      <w:r>
        <w:t xml:space="preserve">1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Выключные формулы:</w:t>
      </w:r>
      <w:r>
        <w:t xml:space="preserve"> </w:t>
      </w:r>
      <w:r>
        <w:t xml:space="preserve">sin2</w:t>
      </w:r>
      <w:r>
        <w:t xml:space="preserve"> </w:t>
      </w:r>
      <w:r>
        <w:t xml:space="preserve">(𝑥) + cos2</w:t>
      </w:r>
      <w:r>
        <w:t xml:space="preserve"> </w:t>
      </w:r>
      <w:r>
        <w:t xml:space="preserve">(𝑥) = 1</w:t>
      </w:r>
      <w:r>
        <w:t xml:space="preserve"> </w:t>
      </w:r>
      <w:r>
        <w:t xml:space="preserve">{#eq:eq:sin2+cos2} со ссылкой в тексте «Смотри формулу (1).» записывается как</w:t>
      </w:r>
      <w:r>
        <w:t xml:space="preserve"> </w:t>
      </w:r>
      <w:r>
        <w:t xml:space="preserve">1</w:t>
      </w:r>
    </w:p>
    <w:p>
      <w:pPr>
        <w:pStyle w:val="BodyText"/>
      </w:pPr>
      <w:bookmarkStart w:id="23" w:name="eq:eq:sin2+cos2"/>
      <m:oMathPara>
        <m:oMathParaPr>
          <m:jc m:val="center"/>
        </m:oMathParaPr>
        <m:oMath>
          <m:r>
            <m:t>2</m:t>
          </m:r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3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pStyle w:val="FirstParagraph"/>
      </w:pPr>
      <w:r>
        <w:t xml:space="preserve">4</w:t>
      </w:r>
      <w:r>
        <w:t xml:space="preserve"> </w:t>
      </w:r>
      <w:r>
        <w:t xml:space="preserve">5 Смотри формулу (1).</w:t>
      </w:r>
    </w:p>
    <w:bookmarkEnd w:id="24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Начинаю заполнять отчёт для 2 лабораторной работы (рис. 1).</w:t>
      </w:r>
    </w:p>
    <w:p>
      <w:pPr>
        <w:pStyle w:val="CaptionedFigure"/>
      </w:pPr>
      <w:r>
        <w:drawing>
          <wp:inline>
            <wp:extent cx="3733800" cy="2140223"/>
            <wp:effectExtent b="0" l="0" r="0" t="0"/>
            <wp:docPr descr="Рис. 1: Процесс заполнения отчёта" title="" id="26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3/report/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Процесс заполнения отчёта</w:t>
      </w:r>
    </w:p>
    <w:p>
      <w:pPr>
        <w:pStyle w:val="BodyText"/>
      </w:pPr>
      <w:r>
        <w:t xml:space="preserve">Отвечаю на контрольные вопросы (рис. 2).</w:t>
      </w:r>
    </w:p>
    <w:p>
      <w:pPr>
        <w:pStyle w:val="CaptionedFigure"/>
      </w:pPr>
      <w:r>
        <w:drawing>
          <wp:inline>
            <wp:extent cx="3733800" cy="1629561"/>
            <wp:effectExtent b="0" l="0" r="0" t="0"/>
            <wp:docPr descr="Рис. 2: Ответы на контрольные вопросы" title="" id="29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3/report/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Ответы на контрольные вопросы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выаолнения данной лабораторной работы я научился оформлять отчёты с помощью легковесного языка разметки Markdown.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Лабораторная работа № 3 ТУИС РУДН.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2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Веретенников Дмитрий Олегович НКАбд-01-24</dc:creator>
  <dc:language>ru-RU</dc:language>
  <cp:keywords/>
  <dcterms:created xsi:type="dcterms:W3CDTF">2025-03-04T16:55:55Z</dcterms:created>
  <dcterms:modified xsi:type="dcterms:W3CDTF">2025-03-04T16:55:55Z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