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3F1"/>
  <w:body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300"/>
        <w:gridCol w:w="3206"/>
      </w:tblGrid>
      <w:tr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Bdr>
                <w:bottom w:val="single" w:color="3D4349" w:sz="12" w:space="1"/>
              </w:pBdr>
              <w:bidi/>
              <w:spacing w:after="60" w:before="0" w:line="264"/>
              <w:jc w:val="right"/>
            </w:pPr>
            <w:r>
              <w:rPr>
                <w:rFonts w:ascii="Arial" w:cs="Arial" w:eastAsia="Arial" w:hAnsi="Arial"/>
                <w:color w:val="3D4349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3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bidi/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  <w:rtl/>
              </w:rPr>
              <w:t xml:space="preserve">חטיבת אלתא | מטה הנדסת איכות</w:t>
            </w:r>
          </w:p>
        </w:tc>
      </w:tr>
    </w:tbl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506"/>
      </w:tblGrid>
      <w:tr>
        <w:tc>
          <w:tcPr>
            <w:tcW w:type="dxa" w:w="105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20"/>
              <w:left w:type="dxa" w:w="0"/>
              <w:bottom w:type="dxa" w:w="40"/>
              <w:right w:type="dxa" w:w="0"/>
            </w:tcMar>
            <w:vAlign w:val="top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D4349"/>
                <w:sz w:val="136"/>
                <w:szCs w:val="136"/>
                <w:rtl/>
              </w:rPr>
              <w:t xml:space="preserve">ניוזלטר איכות</w:t>
            </w:r>
          </w:p>
        </w:tc>
      </w:tr>
    </w:tbl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00"/>
        <w:gridCol w:w="300"/>
        <w:gridCol w:w="6806"/>
      </w:tblGrid>
      <w:tr>
        <w:tc>
          <w:tcPr>
            <w:tcW w:type="dxa" w:w="3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F649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רבעון 3 | אוקטובר 2026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80" w:before="0" w:line="264"/>
              <w:jc w:val="right"/>
            </w:pPr>
            <w:r>
              <w:rPr>
                <w:rFonts w:ascii="Arial" w:cs="Arial" w:eastAsia="Arial" w:hAnsi="Arial"/>
                <w:color w:val="3D4349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68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bidi/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  <w:rtl/>
              </w:rPr>
              <w:t xml:space="preserve">פורטל האיכות החטיבתי: [כתובת הפורטל]</w:t>
            </w:r>
          </w:p>
        </w:tc>
      </w:tr>
    </w:tbl>
    <w:p>
      <w:pPr>
        <w:bidi/>
        <w:spacing w:after="0" w:before="0" w:line="120"/>
        <w:jc w:val="right"/>
      </w:pPr>
      <w:r>
        <w:rPr>
          <w:rFonts w:ascii="Arial" w:cs="Arial" w:eastAsia="Arial" w:hAnsi="Arial"/>
          <w:color w:val="3D4349"/>
          <w:sz w:val="4"/>
          <w:szCs w:val="4"/>
          <w:rtl/>
        </w:rPr>
        <w:t xml:space="preserve"/>
      </w:r>
    </w:p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50"/>
        <w:gridCol w:w="250"/>
        <w:gridCol w:w="5106"/>
      </w:tblGrid>
      <w:tr>
        <w:tc>
          <w:tcPr>
            <w:tcW w:type="dxa" w:w="51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F6497" w:color="auto" w:val="clear"/>
            <w:tcMar>
              <w:top w:type="dxa" w:w="220"/>
              <w:left w:type="dxa" w:w="260"/>
              <w:bottom w:type="dxa" w:w="220"/>
              <w:right w:type="dxa" w:w="300"/>
            </w:tcMar>
            <w:vAlign w:val="top"/>
          </w:tcPr>
          <w:p>
            <w:pPr>
              <w:bidi/>
              <w:spacing w:after="16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סטטוס סיקורים חיצוניים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14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[מפעל א'] –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סיקור מעקב AS9100D הסתיים ללא ממצאים מהותיים. כל הכבוד לצוות!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14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[מפעל ב'] –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סיקור לקוח: ממצא מהותי אחד. תוכנית מתקנת הוגשה, יעד סגירה [10/2026].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14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[מפעל ג'] –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סיקור תהליך מיוחד: 2 ממצאים מהותיים. נדרשת מעורבות הנהלת המפעל.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14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תובנה רוחבית –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3 מתוך 6 הממצאים המשניים עסקו בניהול תצורה ושינויים הנדסיים. מומלץ סיקור פנימי ממוקד בכל המפעלים.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14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צפוי ברבעון הבא –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סיקור הסמכה מחדש ב[מפעל א'] בחודש [נובמבר], וסיקור המשך של הלקוח ב[מפעל ב'].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80" w:before="0" w:line="264"/>
              <w:jc w:val="right"/>
            </w:pPr>
            <w:r>
              <w:rPr>
                <w:rFonts w:ascii="Arial" w:cs="Arial" w:eastAsia="Arial" w:hAnsi="Arial"/>
                <w:color w:val="3D4349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51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0" cy="3219450"/>
                  <wp:effectExtent t="0" r="0" b="0" l="0"/>
                  <wp:docPr id="1" name="img_audit.png" descr="לחיצה ימנית &gt; שינוי תמונה כדי להחליף" title="תמונ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0" w:before="0" w:line="160"/>
        <w:jc w:val="right"/>
      </w:pPr>
      <w:r>
        <w:rPr>
          <w:rFonts w:ascii="Arial" w:cs="Arial" w:eastAsia="Arial" w:hAnsi="Arial"/>
          <w:color w:val="3D4349"/>
          <w:sz w:val="4"/>
          <w:szCs w:val="4"/>
          <w:rtl/>
        </w:rPr>
        <w:t xml:space="preserve"/>
      </w:r>
    </w:p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006"/>
        <w:gridCol w:w="3500"/>
      </w:tblGrid>
      <w:tr>
        <w:tc>
          <w:tcPr>
            <w:tcW w:type="dxa" w:w="70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F6497" w:color="auto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bidi/>
              <w:spacing w:after="10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פינת הידעת: מה לימדה אותנו טיסת Flydubai 981?</w:t>
            </w:r>
          </w:p>
          <w:p>
            <w:pPr>
              <w:bidi/>
              <w:spacing w:after="100" w:before="0" w:line="264"/>
              <w:jc w:val="right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במרץ 2016 התרסק מטוס בואינג 737 של Flydubai ברוסטוב שברוסיה, בניסיון נחיתה שני במזג אוויר סוער. החקירה לא נעצרה ב"טעות טייס": היא חשפה אשליה חושית, תרחיש שכמעט לא תורגל בסימולטור, עייפות אחרי שעתיים של המתנה באוויר, וטייס משנה שלא התערב בזמן.</w:t>
            </w:r>
          </w:p>
          <w:p>
            <w:pPr>
              <w:bidi/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הלקח שלנו: </w:t>
            </w:r>
            <w:r>
              <w:rPr>
                <w:rFonts w:ascii="Arial" w:cs="Arial" w:eastAsia="Arial" w:hAnsi="Arial"/>
                <w:color w:val="FFFFFF"/>
                <w:sz w:val="21"/>
                <w:szCs w:val="21"/>
                <w:rtl/>
              </w:rPr>
              <w:t xml:space="preserve">"טעות אנוש" היא נקודת הפתיחה של תחקיר, לא המסקנה שלו. השאלה הנכונה היא מה במערכת אפשר את הטעות.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F6497" w:color="auto" w:val="clear"/>
            <w:tcMar>
              <w:top w:type="dxa" w:w="150"/>
              <w:left w:type="dxa" w:w="150"/>
              <w:bottom w:type="dxa" w:w="15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47875" cy="1409700"/>
                  <wp:effectExtent t="0" r="0" b="0" l="0"/>
                  <wp:docPr id="1" name="img_flight.png" descr="לחיצה ימנית &gt; שינוי תמונה כדי להחליף" title="תמונ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0" w:before="0" w:line="160"/>
        <w:jc w:val="right"/>
      </w:pPr>
      <w:r>
        <w:rPr>
          <w:rFonts w:ascii="Arial" w:cs="Arial" w:eastAsia="Arial" w:hAnsi="Arial"/>
          <w:color w:val="3D4349"/>
          <w:sz w:val="4"/>
          <w:szCs w:val="4"/>
          <w:rtl/>
        </w:rPr>
        <w:t xml:space="preserve"/>
      </w:r>
    </w:p>
    <w:tbl>
      <w:tblPr>
        <w:bidiVisual/>
        <w:tblW w:type="dxa" w:w="105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00"/>
        <w:gridCol w:w="250"/>
        <w:gridCol w:w="4256"/>
      </w:tblGrid>
      <w:tr>
        <w:tc>
          <w:tcPr>
            <w:tcW w:type="dxa" w:w="6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12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3D4349"/>
                <w:sz w:val="30"/>
                <w:szCs w:val="30"/>
                <w:rtl/>
              </w:rPr>
              <w:t xml:space="preserve">עמידה במדדים – תחקירים ותובנות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6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  <w:rtl/>
              </w:rPr>
              <w:t xml:space="preserve">עלות אי-איכות: ירדה ל-1.8% מהמחזור, אך עדיין מעל היעד (1.5%). עיקר העלות: עבודה חוזרת ב[מפעל ג'].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6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  <w:rtl/>
              </w:rPr>
              <w:t xml:space="preserve">פעולות מתקנות: 84% נסגרו בזמן (יעד 90%), ו-12 פעולות בפיגור של יותר מ-60 יום.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12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  <w:rtl/>
              </w:rPr>
              <w:t xml:space="preserve">תקלות שהגיעו ללקוח: אחת בלבד (יעד: עד 2), שיפור לעומת הרבעון הקודם.</w:t>
            </w:r>
          </w:p>
          <w:p>
            <w:pPr>
              <w:bidi/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color w:val="2F6497"/>
                <w:sz w:val="19"/>
                <w:szCs w:val="19"/>
                <w:rtl/>
              </w:rPr>
              <w:t xml:space="preserve">מקרה הרבעון: </w:t>
            </w: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  <w:rtl/>
              </w:rPr>
              <w:t xml:space="preserve">כרטיס נשלח ללקוח עם רכיב בגרסה לא מאושרת. שורש הבעיה: תהליך שינוי הנדסי בלי הסגר של מלאי קיים. מה שינינו: הסגר אוטומטי במערכת ה-ERP. בדקו אם זה קיים גם אצלכם.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bidi/>
              <w:spacing w:after="80" w:before="0" w:line="264"/>
              <w:jc w:val="right"/>
            </w:pPr>
            <w:r>
              <w:rPr>
                <w:rFonts w:ascii="Arial" w:cs="Arial" w:eastAsia="Arial" w:hAnsi="Arial"/>
                <w:color w:val="3D4349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42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419350"/>
                  <wp:effectExtent t="0" r="0" b="0" l="0"/>
                  <wp:docPr id="1" name="img_kpi.png" descr="לחיצה ימנית &gt; שינוי תמונה כדי להחליף" title="תמונ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0" w:before="60" w:line="264"/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  <w:rtl/>
              </w:rPr>
              <w:t xml:space="preserve">עלות אי-איכות (COPQ) לפי רבעון, באחוזים מהמחזור. הקו המקווקו: יעד 1.5%</w:t>
            </w:r>
          </w:p>
        </w:tc>
      </w:tr>
    </w:tbl>
    <w:p>
      <w:pPr>
        <w:pBdr>
          <w:top w:val="single" w:color="BFBFBF" w:sz="4" w:space="4"/>
        </w:pBdr>
        <w:bidi/>
        <w:spacing w:after="0" w:before="200" w:line="264"/>
        <w:jc w:val="center"/>
      </w:pPr>
      <w:r>
        <w:rPr>
          <w:rFonts w:ascii="Arial" w:cs="Arial" w:eastAsia="Arial" w:hAnsi="Arial"/>
          <w:color w:val="7F7F7F"/>
          <w:sz w:val="16"/>
          <w:szCs w:val="16"/>
          <w:rtl/>
        </w:rPr>
        <w:t xml:space="preserve">לשאלות והערות: [שם], ראש תחום הנדסת איכות | [טלפון] | [דוא"ל]   •   הגיליון הבא: ינואר 2027</w:t>
      </w:r>
    </w:p>
    <w:sectPr>
      <w:pgSz w:w="11906" w:h="16838" w:orient="portrait"/>
      <w:pgMar w:top="62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260" w:hanging="220"/>
      </w:pPr>
      <w:rPr>
        <w:color w:val="FFFFFF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260" w:hanging="220"/>
      </w:pPr>
      <w:rPr>
        <w:color w:val="2F649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5b44abca3fab0a57d230ceabe0e2533b7089ea.png"/><Relationship Id="rId8" Type="http://schemas.openxmlformats.org/officeDocument/2006/relationships/image" Target="media/9cb74a62abca38a8cec9d26af2f0a00759b68d84.png"/><Relationship Id="rId9" Type="http://schemas.openxmlformats.org/officeDocument/2006/relationships/image" Target="media/0db2e3007f6bc74ee8dead5cdad4968cf005d3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ניוזלטר איכות</dc:title>
  <dc:creator>מטה הנדסת איכות – חטיבת אלתא</dc:creator>
  <cp:lastModifiedBy>Un-named</cp:lastModifiedBy>
  <cp:revision>1</cp:revision>
  <dcterms:created xsi:type="dcterms:W3CDTF">2026-10-04T07:44:07.083Z</dcterms:created>
  <dcterms:modified xsi:type="dcterms:W3CDTF">2026-10-04T07:44:07.083Z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