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6667500" cy="1171575"/>
            <wp:effectExtent t="0" r="0" b="0" l="0"/>
            <wp:docPr id="1" name="banner" descr="באנר לוגו התעשייה האווירית" title="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67500" cy="1171575"/>
                    </a:xfrm>
                    <a:prstGeom prst="rect">
                      <a:avLst/>
                    </a:prstGeom>
                  </pic:spPr>
                </pic:pic>
              </a:graphicData>
            </a:graphic>
          </wp:inline>
        </w:drawing>
      </w:r>
    </w:p>
    <w:tbl>
      <w:tblPr>
        <w:bidiVisual/>
        <w:tblW w:type="dxa" w:w="10506"/>
        <w:tblBorders>
          <w:top w:val="none" w:color="auto" w:sz="0"/>
          <w:left w:val="none" w:color="auto" w:sz="0"/>
          <w:bottom w:val="none" w:color="auto" w:sz="0"/>
          <w:right w:val="none" w:color="auto" w:sz="0"/>
          <w:insideH w:val="none" w:color="auto" w:sz="0"/>
          <w:insideV w:val="none" w:color="auto" w:sz="0"/>
        </w:tblBorders>
        <w:tblLayout w:type="fixed"/>
      </w:tblPr>
      <w:tblGrid>
        <w:gridCol w:w="6306"/>
        <w:gridCol w:w="300"/>
        <w:gridCol w:w="3900"/>
      </w:tblGrid>
      <w:tr>
        <w:tc>
          <w:tcPr>
            <w:tcW w:type="dxa" w:w="6306"/>
            <w:tcBorders>
              <w:top w:val="none" w:color="auto" w:sz="0"/>
              <w:left w:val="none" w:color="auto" w:sz="0"/>
              <w:bottom w:val="none" w:color="auto" w:sz="0"/>
              <w:right w:val="none" w:color="auto" w:sz="0"/>
            </w:tcBorders>
            <w:tcMar>
              <w:top w:type="dxa" w:w="0"/>
              <w:left w:type="dxa" w:w="0"/>
              <w:bottom w:type="dxa" w:w="0"/>
              <w:right w:type="dxa" w:w="0"/>
            </w:tcMar>
            <w:vAlign w:val="center"/>
          </w:tcPr>
          <w:p>
            <w:pPr>
              <w:bidi/>
              <w:spacing w:after="0" w:before="80" w:line="320"/>
              <w:jc w:val="right"/>
            </w:pPr>
            <w:r>
              <w:rPr>
                <w:rFonts w:ascii="Arial" w:cs="Arial" w:eastAsia="Arial" w:hAnsi="Arial"/>
                <w:b/>
                <w:bCs/>
                <w:color w:val="3D4349"/>
                <w:sz w:val="64"/>
                <w:szCs w:val="64"/>
                <w:rtl/>
              </w:rPr>
              <w:t xml:space="preserve">ניוזלטר איכות</w:t>
            </w:r>
          </w:p>
          <w:p>
            <w:pPr>
              <w:bidi/>
              <w:spacing w:after="0" w:before="0" w:line="264"/>
              <w:jc w:val="right"/>
            </w:pPr>
            <w:r>
              <w:rPr>
                <w:rFonts w:ascii="Arial" w:cs="Arial" w:eastAsia="Arial" w:hAnsi="Arial"/>
                <w:b/>
                <w:bCs/>
                <w:color w:val="595959"/>
                <w:sz w:val="20"/>
                <w:szCs w:val="20"/>
                <w:rtl/>
              </w:rPr>
              <w:t xml:space="preserve">חטיבת אלתא | מטה הנדסת איכות</w:t>
            </w:r>
          </w:p>
        </w:tc>
        <w:tc>
          <w:tcPr>
            <w:tcW w:type="dxa" w:w="300"/>
            <w:tcBorders>
              <w:top w:val="none" w:color="auto" w:sz="0"/>
              <w:left w:val="none" w:color="auto" w:sz="0"/>
              <w:bottom w:val="none" w:color="auto" w:sz="0"/>
              <w:right w:val="none" w:color="auto" w:sz="0"/>
            </w:tcBorders>
            <w:tcMar>
              <w:top w:type="dxa" w:w="0"/>
              <w:left w:type="dxa" w:w="0"/>
              <w:bottom w:type="dxa" w:w="0"/>
              <w:right w:type="dxa" w:w="0"/>
            </w:tcMar>
            <w:vAlign w:val="top"/>
          </w:tcPr>
          <w:p>
            <w:pPr>
              <w:bidi/>
              <w:spacing w:after="80" w:before="0" w:line="264"/>
              <w:jc w:val="right"/>
            </w:pPr>
            <w:r>
              <w:rPr>
                <w:rFonts w:ascii="Arial" w:cs="Arial" w:eastAsia="Arial" w:hAnsi="Arial"/>
                <w:color w:val="3D4349"/>
                <w:sz w:val="19"/>
                <w:szCs w:val="19"/>
                <w:rtl/>
              </w:rPr>
              <w:t xml:space="preserve"/>
            </w:r>
          </w:p>
        </w:tc>
        <w:tc>
          <w:tcPr>
            <w:tcW w:type="dxa" w:w="3900"/>
            <w:tcBorders>
              <w:top w:val="none" w:color="auto" w:sz="0"/>
              <w:left w:val="none" w:color="auto" w:sz="0"/>
              <w:bottom w:val="none" w:color="auto" w:sz="0"/>
              <w:right w:val="none" w:color="auto" w:sz="0"/>
            </w:tcBorders>
            <w:shd w:fill="2F6497" w:color="auto" w:val="clear"/>
            <w:tcMar>
              <w:top w:type="dxa" w:w="80"/>
              <w:left w:type="dxa" w:w="100"/>
              <w:bottom w:type="dxa" w:w="80"/>
              <w:right w:type="dxa" w:w="100"/>
            </w:tcMar>
            <w:vAlign w:val="center"/>
          </w:tcPr>
          <w:p>
            <w:pPr>
              <w:bidi/>
              <w:spacing w:after="0" w:before="0" w:line="264"/>
              <w:jc w:val="center"/>
            </w:pPr>
            <w:r>
              <w:rPr>
                <w:rFonts w:ascii="Arial" w:cs="Arial" w:eastAsia="Arial" w:hAnsi="Arial"/>
                <w:b/>
                <w:bCs/>
                <w:color w:val="FFFFFF"/>
                <w:sz w:val="22"/>
                <w:szCs w:val="22"/>
                <w:rtl/>
              </w:rPr>
              <w:t xml:space="preserve">רבעון 3 | אוקטובר 2026</w:t>
            </w:r>
          </w:p>
        </w:tc>
      </w:tr>
    </w:tbl>
    <w:p>
      <w:pPr>
        <w:pBdr>
          <w:bottom w:val="single" w:color="3D4349" w:sz="12" w:space="1"/>
        </w:pBdr>
        <w:bidi/>
        <w:spacing w:after="100" w:before="0" w:line="264"/>
        <w:jc w:val="right"/>
      </w:pPr>
      <w:r>
        <w:rPr>
          <w:rFonts w:ascii="Arial" w:cs="Arial" w:eastAsia="Arial" w:hAnsi="Arial"/>
          <w:color w:val="3D4349"/>
          <w:sz w:val="4"/>
          <w:szCs w:val="4"/>
          <w:rtl/>
        </w:rPr>
        <w:t xml:space="preserve"/>
      </w:r>
    </w:p>
    <w:p>
      <w:pPr>
        <w:bidi/>
        <w:spacing w:after="0" w:before="0" w:line="40"/>
        <w:jc w:val="right"/>
      </w:pPr>
      <w:r>
        <w:rPr>
          <w:rFonts w:ascii="Arial" w:cs="Arial" w:eastAsia="Arial" w:hAnsi="Arial"/>
          <w:color w:val="3D4349"/>
          <w:sz w:val="4"/>
          <w:szCs w:val="4"/>
          <w:rtl/>
        </w:rPr>
        <w:t xml:space="preserve"/>
      </w:r>
    </w:p>
    <w:tbl>
      <w:tblPr>
        <w:bidiVisual/>
        <w:tblW w:type="dxa" w:w="10506"/>
        <w:tblBorders>
          <w:top w:val="none" w:color="auto" w:sz="0"/>
          <w:left w:val="none" w:color="auto" w:sz="0"/>
          <w:bottom w:val="none" w:color="auto" w:sz="0"/>
          <w:right w:val="none" w:color="auto" w:sz="0"/>
          <w:insideH w:val="none" w:color="auto" w:sz="0"/>
          <w:insideV w:val="none" w:color="auto" w:sz="0"/>
        </w:tblBorders>
        <w:tblLayout w:type="fixed"/>
      </w:tblPr>
      <w:tblGrid>
        <w:gridCol w:w="6106"/>
        <w:gridCol w:w="250"/>
        <w:gridCol w:w="4150"/>
      </w:tblGrid>
      <w:tr>
        <w:tc>
          <w:tcPr>
            <w:tcW w:type="dxa" w:w="6106"/>
            <w:tcBorders>
              <w:top w:val="none" w:color="auto" w:sz="0"/>
              <w:left w:val="none" w:color="auto" w:sz="0"/>
              <w:bottom w:val="none" w:color="auto" w:sz="0"/>
              <w:right w:val="none" w:color="auto" w:sz="0"/>
            </w:tcBorders>
            <w:shd w:fill="2F6497" w:color="auto" w:val="clear"/>
            <w:tcMar>
              <w:top w:type="dxa" w:w="160"/>
              <w:left w:type="dxa" w:w="260"/>
              <w:bottom w:type="dxa" w:w="160"/>
              <w:right w:type="dxa" w:w="300"/>
            </w:tcMar>
            <w:vAlign w:val="center"/>
          </w:tcPr>
          <w:p>
            <w:pPr>
              <w:bidi/>
              <w:spacing w:after="120" w:before="0" w:line="240"/>
              <w:jc w:val="right"/>
            </w:pPr>
            <w:r>
              <w:rPr>
                <w:rFonts w:ascii="Arial" w:cs="Arial" w:eastAsia="Arial" w:hAnsi="Arial"/>
                <w:b/>
                <w:bCs/>
                <w:color w:val="FFFFFF"/>
                <w:sz w:val="30"/>
                <w:szCs w:val="30"/>
                <w:rtl/>
              </w:rPr>
              <w:t xml:space="preserve">סטטוס סיקורים חיצוניים</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[מפעל א'] – </w:t>
            </w:r>
            <w:r>
              <w:rPr>
                <w:rFonts w:ascii="Arial" w:cs="Arial" w:eastAsia="Arial" w:hAnsi="Arial"/>
                <w:color w:val="FFFFFF"/>
                <w:sz w:val="20"/>
                <w:szCs w:val="20"/>
                <w:rtl/>
              </w:rPr>
              <w:t xml:space="preserve">סיקור מעקב AS9100D הסתיים ללא ממצאים מהותיים. כל הכבוד לצוות!</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[מפעל ב'] – </w:t>
            </w:r>
            <w:r>
              <w:rPr>
                <w:rFonts w:ascii="Arial" w:cs="Arial" w:eastAsia="Arial" w:hAnsi="Arial"/>
                <w:color w:val="FFFFFF"/>
                <w:sz w:val="20"/>
                <w:szCs w:val="20"/>
                <w:rtl/>
              </w:rPr>
              <w:t xml:space="preserve">סיקור לקוח: ממצא מהותי אחד. תוכנית מתקנת הוגשה, יעד סגירה [10/2026].</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[מפעל ג'] – </w:t>
            </w:r>
            <w:r>
              <w:rPr>
                <w:rFonts w:ascii="Arial" w:cs="Arial" w:eastAsia="Arial" w:hAnsi="Arial"/>
                <w:color w:val="FFFFFF"/>
                <w:sz w:val="20"/>
                <w:szCs w:val="20"/>
                <w:rtl/>
              </w:rPr>
              <w:t xml:space="preserve">סיקור תהליך מיוחד: 2 ממצאים מהותיים. נדרשת מעורבות הנהלת המפעל.</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תובנה רוחבית – </w:t>
            </w:r>
            <w:r>
              <w:rPr>
                <w:rFonts w:ascii="Arial" w:cs="Arial" w:eastAsia="Arial" w:hAnsi="Arial"/>
                <w:color w:val="FFFFFF"/>
                <w:sz w:val="20"/>
                <w:szCs w:val="20"/>
                <w:rtl/>
              </w:rPr>
              <w:t xml:space="preserve">3 מתוך 6 הממצאים המשניים עסקו בניהול תצורה ושינויים הנדסיים. מומלץ סיקור פנימי ממוקד בכל המפעלים.</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צפוי ברבעון הבא – </w:t>
            </w:r>
            <w:r>
              <w:rPr>
                <w:rFonts w:ascii="Arial" w:cs="Arial" w:eastAsia="Arial" w:hAnsi="Arial"/>
                <w:color w:val="FFFFFF"/>
                <w:sz w:val="20"/>
                <w:szCs w:val="20"/>
                <w:rtl/>
              </w:rPr>
              <w:t xml:space="preserve">סיקור הסמכה מחדש ב[מפעל א'] בחודש [נובמבר], וסיקור המשך של הלקוח ב[מפעל ב'].</w:t>
            </w:r>
          </w:p>
        </w:tc>
        <w:tc>
          <w:tcPr>
            <w:tcW w:type="dxa" w:w="250"/>
            <w:tcBorders>
              <w:top w:val="none" w:color="auto" w:sz="0"/>
              <w:left w:val="none" w:color="auto" w:sz="0"/>
              <w:bottom w:val="none" w:color="auto" w:sz="0"/>
              <w:right w:val="none" w:color="auto" w:sz="0"/>
            </w:tcBorders>
            <w:tcMar>
              <w:top w:type="dxa" w:w="0"/>
              <w:left w:type="dxa" w:w="0"/>
              <w:bottom w:type="dxa" w:w="0"/>
              <w:right w:type="dxa" w:w="0"/>
            </w:tcMar>
            <w:vAlign w:val="top"/>
          </w:tcPr>
          <w:p>
            <w:pPr>
              <w:bidi/>
              <w:spacing w:after="80" w:before="0" w:line="264"/>
              <w:jc w:val="right"/>
            </w:pPr>
            <w:r>
              <w:rPr>
                <w:rFonts w:ascii="Arial" w:cs="Arial" w:eastAsia="Arial" w:hAnsi="Arial"/>
                <w:color w:val="3D4349"/>
                <w:sz w:val="19"/>
                <w:szCs w:val="19"/>
                <w:rtl/>
              </w:rPr>
              <w:t xml:space="preserve"/>
            </w:r>
          </w:p>
        </w:tc>
        <w:tc>
          <w:tcPr>
            <w:tcW w:type="dxa" w:w="4150"/>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jc w:val="center"/>
            </w:pPr>
            <w:r>
              <w:drawing>
                <wp:inline distT="0" distB="0" distL="0" distR="0">
                  <wp:extent cx="2476500" cy="2609850"/>
                  <wp:effectExtent t="0" r="0" b="0" l="0"/>
                  <wp:docPr id="1" name="img_audit.png" descr="לחיצה ימנית &gt; שינוי תמונה כדי להחליף" title="תמ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2609850"/>
                          </a:xfrm>
                          <a:prstGeom prst="rect">
                            <a:avLst/>
                          </a:prstGeom>
                        </pic:spPr>
                      </pic:pic>
                    </a:graphicData>
                  </a:graphic>
                </wp:inline>
              </w:drawing>
            </w:r>
          </w:p>
        </w:tc>
      </w:tr>
    </w:tbl>
    <w:p>
      <w:pPr>
        <w:bidi/>
        <w:spacing w:after="0" w:before="0" w:line="160"/>
        <w:jc w:val="right"/>
      </w:pPr>
      <w:r>
        <w:rPr>
          <w:rFonts w:ascii="Arial" w:cs="Arial" w:eastAsia="Arial" w:hAnsi="Arial"/>
          <w:color w:val="3D4349"/>
          <w:sz w:val="4"/>
          <w:szCs w:val="4"/>
          <w:rtl/>
        </w:rPr>
        <w:t xml:space="preserve"/>
      </w:r>
    </w:p>
    <w:tbl>
      <w:tblPr>
        <w:bidiVisual/>
        <w:tblW w:type="dxa" w:w="10506"/>
        <w:tblBorders>
          <w:top w:val="none" w:color="auto" w:sz="0"/>
          <w:left w:val="none" w:color="auto" w:sz="0"/>
          <w:bottom w:val="none" w:color="auto" w:sz="0"/>
          <w:right w:val="none" w:color="auto" w:sz="0"/>
          <w:insideH w:val="none" w:color="auto" w:sz="0"/>
          <w:insideV w:val="none" w:color="auto" w:sz="0"/>
        </w:tblBorders>
        <w:tblLayout w:type="fixed"/>
      </w:tblPr>
      <w:tblGrid>
        <w:gridCol w:w="10506"/>
      </w:tblGrid>
      <w:tr>
        <w:tc>
          <w:tcPr>
            <w:tcW w:type="dxa" w:w="10506"/>
            <w:tcBorders>
              <w:top w:val="none" w:color="auto" w:sz="0"/>
              <w:left w:val="none" w:color="auto" w:sz="0"/>
              <w:bottom w:val="none" w:color="auto" w:sz="0"/>
              <w:right w:val="none" w:color="auto" w:sz="0"/>
            </w:tcBorders>
            <w:shd w:fill="2F6497" w:color="auto" w:val="clear"/>
            <w:tcMar>
              <w:top w:type="dxa" w:w="160"/>
              <w:left w:type="dxa" w:w="260"/>
              <w:bottom w:type="dxa" w:w="160"/>
              <w:right w:type="dxa" w:w="300"/>
            </w:tcMar>
            <w:vAlign w:val="center"/>
          </w:tcPr>
          <w:p>
            <w:pPr>
              <w:bidi/>
              <w:spacing w:after="80" w:before="0" w:line="264"/>
              <w:jc w:val="right"/>
            </w:pPr>
            <w:r>
              <w:rPr>
                <w:rFonts w:ascii="Arial" w:cs="Arial" w:eastAsia="Arial" w:hAnsi="Arial"/>
                <w:b/>
                <w:bCs/>
                <w:color w:val="FFFFFF"/>
                <w:sz w:val="25"/>
                <w:szCs w:val="25"/>
                <w:rtl/>
              </w:rPr>
              <w:t xml:space="preserve">פינת הידעת: מה מלמדת אותנו טיסת Flydubai 1073?</w:t>
            </w:r>
          </w:p>
          <w:p>
            <w:pPr>
              <w:bidi/>
              <w:spacing w:after="80" w:before="0" w:line="264"/>
              <w:jc w:val="right"/>
            </w:pPr>
            <w:r>
              <w:rPr>
                <w:rFonts w:ascii="Arial" w:cs="Arial" w:eastAsia="Arial" w:hAnsi="Arial"/>
                <w:color w:val="FFFFFF"/>
                <w:sz w:val="19"/>
                <w:szCs w:val="19"/>
                <w:rtl/>
              </w:rPr>
              <w:t xml:space="preserve">ב-30 בספטמבר 2026 הוסטה טיסת FZ1073 מדובאי לתל אביב (בואינג 737 MAX, 174 נוסעים) לנחיתת חירום בתבוך שבסעודיה, אחרי תקיפה בתא הטייס. לפי הממצאים הראשוניים של הרשויות בסעודיה, טייס המשנה תקף את הקברניט, ושניהם נפצעו. אנשי צוות של flydubai שטסו כנוסעים השתלטו על המטוס והנחיתו אותו בשלום. החקירה עדיין נמשכת.</w:t>
            </w:r>
          </w:p>
          <w:p>
            <w:pPr>
              <w:bidi/>
              <w:spacing w:after="30" w:before="0" w:line="264"/>
              <w:jc w:val="right"/>
            </w:pPr>
            <w:r>
              <w:rPr>
                <w:rFonts w:ascii="Arial" w:cs="Arial" w:eastAsia="Arial" w:hAnsi="Arial"/>
                <w:b/>
                <w:bCs/>
                <w:color w:val="FFFFFF"/>
                <w:sz w:val="19"/>
                <w:szCs w:val="19"/>
                <w:rtl/>
              </w:rPr>
              <w:t xml:space="preserve">הלקחים שלנו:</w:t>
            </w:r>
          </w:p>
          <w:p>
            <w:pPr>
              <w:pStyle w:val="ListParagraph"/>
              <w:numPr>
                <w:ilvl w:val="0"/>
                <w:numId w:val="2"/>
              </w:numPr>
              <w:bidi/>
              <w:spacing w:after="30" w:before="0" w:line="264"/>
              <w:jc w:val="right"/>
            </w:pPr>
            <w:r>
              <w:rPr>
                <w:rFonts w:ascii="Arial" w:cs="Arial" w:eastAsia="Arial" w:hAnsi="Arial"/>
                <w:b/>
                <w:bCs/>
                <w:color w:val="FFFFFF"/>
                <w:sz w:val="19"/>
                <w:szCs w:val="19"/>
                <w:rtl/>
              </w:rPr>
              <w:t xml:space="preserve">גם מחסום הגנה עלול להפוך לסיכון. </w:t>
            </w:r>
            <w:r>
              <w:rPr>
                <w:rFonts w:ascii="Arial" w:cs="Arial" w:eastAsia="Arial" w:hAnsi="Arial"/>
                <w:color w:val="FFFFFF"/>
                <w:sz w:val="19"/>
                <w:szCs w:val="19"/>
                <w:rtl/>
              </w:rPr>
              <w:t xml:space="preserve">דלת תא הטייס המשוריינת נועדה לעצור איום מבחוץ, ולפי הדיווחים הקשתה על הכניסה כשהאיום היה מבפנים. כל בקרה שאנחנו מוסיפים צריך לבחון גם לפי האופן שבו היא עלולה להיכשל.</w:t>
            </w:r>
          </w:p>
          <w:p>
            <w:pPr>
              <w:pStyle w:val="ListParagraph"/>
              <w:numPr>
                <w:ilvl w:val="0"/>
                <w:numId w:val="2"/>
              </w:numPr>
              <w:bidi/>
              <w:spacing w:after="30" w:before="0" w:line="264"/>
              <w:jc w:val="right"/>
            </w:pPr>
            <w:r>
              <w:rPr>
                <w:rFonts w:ascii="Arial" w:cs="Arial" w:eastAsia="Arial" w:hAnsi="Arial"/>
                <w:b/>
                <w:bCs/>
                <w:color w:val="FFFFFF"/>
                <w:sz w:val="19"/>
                <w:szCs w:val="19"/>
                <w:rtl/>
              </w:rPr>
              <w:t xml:space="preserve">אנשים מיומנים הם רשת הביטחון האחרונה. </w:t>
            </w:r>
            <w:r>
              <w:rPr>
                <w:rFonts w:ascii="Arial" w:cs="Arial" w:eastAsia="Arial" w:hAnsi="Arial"/>
                <w:color w:val="FFFFFF"/>
                <w:sz w:val="19"/>
                <w:szCs w:val="19"/>
                <w:rtl/>
              </w:rPr>
              <w:t xml:space="preserve">הנחיתה הבטוחה התאפשרה בזכות אנשי צוות מיומנים שהיו במקום ופעלו מהר.</w:t>
            </w:r>
          </w:p>
          <w:p>
            <w:pPr>
              <w:pStyle w:val="ListParagraph"/>
              <w:numPr>
                <w:ilvl w:val="0"/>
                <w:numId w:val="2"/>
              </w:numPr>
              <w:bidi/>
              <w:spacing w:after="0" w:before="0" w:line="264"/>
              <w:jc w:val="right"/>
            </w:pPr>
            <w:r>
              <w:rPr>
                <w:rFonts w:ascii="Arial" w:cs="Arial" w:eastAsia="Arial" w:hAnsi="Arial"/>
                <w:b/>
                <w:bCs/>
                <w:color w:val="FFFFFF"/>
                <w:sz w:val="19"/>
                <w:szCs w:val="19"/>
                <w:rtl/>
              </w:rPr>
              <w:t xml:space="preserve">בתחקיר, מפרידים בין עובדות להשערות. </w:t>
            </w:r>
            <w:r>
              <w:rPr>
                <w:rFonts w:ascii="Arial" w:cs="Arial" w:eastAsia="Arial" w:hAnsi="Arial"/>
                <w:color w:val="FFFFFF"/>
                <w:sz w:val="19"/>
                <w:szCs w:val="19"/>
                <w:rtl/>
              </w:rPr>
              <w:t xml:space="preserve">בימים הראשונים פורסמו גרסאות סותרות. תחקיר טוב לא קובע מסקנה לפני שהעובדות מבוססות.</w:t>
            </w:r>
          </w:p>
        </w:tc>
      </w:tr>
    </w:tbl>
    <w:p>
      <w:pPr>
        <w:bidi/>
        <w:spacing w:after="0" w:before="0" w:line="160"/>
        <w:jc w:val="right"/>
      </w:pPr>
      <w:r>
        <w:rPr>
          <w:rFonts w:ascii="Arial" w:cs="Arial" w:eastAsia="Arial" w:hAnsi="Arial"/>
          <w:color w:val="3D4349"/>
          <w:sz w:val="4"/>
          <w:szCs w:val="4"/>
          <w:rtl/>
        </w:rPr>
        <w:t xml:space="preserve"/>
      </w:r>
    </w:p>
    <w:tbl>
      <w:tblPr>
        <w:bidiVisual/>
        <w:tblW w:type="dxa" w:w="10506"/>
        <w:tblBorders>
          <w:top w:val="none" w:color="auto" w:sz="0"/>
          <w:left w:val="none" w:color="auto" w:sz="0"/>
          <w:bottom w:val="none" w:color="auto" w:sz="0"/>
          <w:right w:val="none" w:color="auto" w:sz="0"/>
          <w:insideH w:val="none" w:color="auto" w:sz="0"/>
          <w:insideV w:val="none" w:color="auto" w:sz="0"/>
        </w:tblBorders>
        <w:tblLayout w:type="fixed"/>
      </w:tblPr>
      <w:tblGrid>
        <w:gridCol w:w="6000"/>
        <w:gridCol w:w="250"/>
        <w:gridCol w:w="4256"/>
      </w:tblGrid>
      <w:tr>
        <w:tc>
          <w:tcPr>
            <w:tcW w:type="dxa" w:w="6000"/>
            <w:tcBorders>
              <w:top w:val="none" w:color="auto" w:sz="0"/>
              <w:left w:val="none" w:color="auto" w:sz="0"/>
              <w:bottom w:val="none" w:color="auto" w:sz="0"/>
              <w:right w:val="none" w:color="auto" w:sz="0"/>
            </w:tcBorders>
            <w:tcMar>
              <w:top w:type="dxa" w:w="0"/>
              <w:left w:type="dxa" w:w="0"/>
              <w:bottom w:type="dxa" w:w="0"/>
              <w:right w:type="dxa" w:w="0"/>
            </w:tcMar>
            <w:vAlign w:val="top"/>
          </w:tcPr>
          <w:p>
            <w:pPr>
              <w:bidi/>
              <w:spacing w:after="120" w:before="0" w:line="240"/>
              <w:jc w:val="right"/>
            </w:pPr>
            <w:r>
              <w:rPr>
                <w:rFonts w:ascii="Arial" w:cs="Arial" w:eastAsia="Arial" w:hAnsi="Arial"/>
                <w:b/>
                <w:bCs/>
                <w:color w:val="3D4349"/>
                <w:sz w:val="30"/>
                <w:szCs w:val="30"/>
                <w:rtl/>
              </w:rPr>
              <w:t xml:space="preserve">עמידה במדדים – תחקירים ותובנות</w:t>
            </w:r>
          </w:p>
          <w:p>
            <w:pPr>
              <w:pStyle w:val="ListParagraph"/>
              <w:numPr>
                <w:ilvl w:val="0"/>
                <w:numId w:val="3"/>
              </w:numPr>
              <w:bidi/>
              <w:spacing w:after="60" w:before="0" w:line="264"/>
              <w:jc w:val="right"/>
            </w:pPr>
            <w:r>
              <w:rPr>
                <w:rFonts w:ascii="Arial" w:cs="Arial" w:eastAsia="Arial" w:hAnsi="Arial"/>
                <w:b/>
                <w:bCs/>
                <w:color w:val="595959"/>
                <w:sz w:val="19"/>
                <w:szCs w:val="19"/>
                <w:rtl/>
              </w:rPr>
              <w:t xml:space="preserve">עלות אי-איכות: ירדה ל-1.8% מהמחזור, אך עדיין מעל היעד (1.5%). עיקר העלות: עבודה חוזרת ב[מפעל ג'].</w:t>
            </w:r>
          </w:p>
          <w:p>
            <w:pPr>
              <w:pStyle w:val="ListParagraph"/>
              <w:numPr>
                <w:ilvl w:val="0"/>
                <w:numId w:val="3"/>
              </w:numPr>
              <w:bidi/>
              <w:spacing w:after="60" w:before="0" w:line="264"/>
              <w:jc w:val="right"/>
            </w:pPr>
            <w:r>
              <w:rPr>
                <w:rFonts w:ascii="Arial" w:cs="Arial" w:eastAsia="Arial" w:hAnsi="Arial"/>
                <w:b/>
                <w:bCs/>
                <w:color w:val="595959"/>
                <w:sz w:val="19"/>
                <w:szCs w:val="19"/>
                <w:rtl/>
              </w:rPr>
              <w:t xml:space="preserve">פעולות מתקנות: 84% נסגרו בזמן (יעד 90%), ו-12 פעולות בפיגור של יותר מ-60 יום.</w:t>
            </w:r>
          </w:p>
          <w:p>
            <w:pPr>
              <w:pStyle w:val="ListParagraph"/>
              <w:numPr>
                <w:ilvl w:val="0"/>
                <w:numId w:val="3"/>
              </w:numPr>
              <w:bidi/>
              <w:spacing w:after="120" w:before="0" w:line="264"/>
              <w:jc w:val="right"/>
            </w:pPr>
            <w:r>
              <w:rPr>
                <w:rFonts w:ascii="Arial" w:cs="Arial" w:eastAsia="Arial" w:hAnsi="Arial"/>
                <w:b/>
                <w:bCs/>
                <w:color w:val="595959"/>
                <w:sz w:val="19"/>
                <w:szCs w:val="19"/>
                <w:rtl/>
              </w:rPr>
              <w:t xml:space="preserve">תקלות שהגיעו ללקוח: אחת בלבד (יעד: עד 2), שיפור לעומת הרבעון הקודם.</w:t>
            </w:r>
          </w:p>
          <w:p>
            <w:pPr>
              <w:bidi/>
              <w:spacing w:after="0" w:before="0" w:line="264"/>
              <w:jc w:val="right"/>
            </w:pPr>
            <w:r>
              <w:rPr>
                <w:rFonts w:ascii="Arial" w:cs="Arial" w:eastAsia="Arial" w:hAnsi="Arial"/>
                <w:b/>
                <w:bCs/>
                <w:color w:val="2F6497"/>
                <w:sz w:val="19"/>
                <w:szCs w:val="19"/>
                <w:rtl/>
              </w:rPr>
              <w:t xml:space="preserve">מקרה הרבעון: </w:t>
            </w:r>
            <w:r>
              <w:rPr>
                <w:rFonts w:ascii="Arial" w:cs="Arial" w:eastAsia="Arial" w:hAnsi="Arial"/>
                <w:b/>
                <w:bCs/>
                <w:color w:val="595959"/>
                <w:sz w:val="19"/>
                <w:szCs w:val="19"/>
                <w:rtl/>
              </w:rPr>
              <w:t xml:space="preserve">כרטיס נשלח ללקוח עם רכיב בגרסה לא מאושרת. שורש הבעיה: תהליך שינוי הנדסי בלי הסגר של מלאי קיים. מה שינינו: הסגר אוטומטי במערכת ה-ERP. בדקו אם זה קיים גם אצלכם.</w:t>
            </w:r>
          </w:p>
        </w:tc>
        <w:tc>
          <w:tcPr>
            <w:tcW w:type="dxa" w:w="250"/>
            <w:tcBorders>
              <w:top w:val="none" w:color="auto" w:sz="0"/>
              <w:left w:val="none" w:color="auto" w:sz="0"/>
              <w:bottom w:val="none" w:color="auto" w:sz="0"/>
              <w:right w:val="none" w:color="auto" w:sz="0"/>
            </w:tcBorders>
            <w:tcMar>
              <w:top w:type="dxa" w:w="0"/>
              <w:left w:type="dxa" w:w="0"/>
              <w:bottom w:type="dxa" w:w="0"/>
              <w:right w:type="dxa" w:w="0"/>
            </w:tcMar>
            <w:vAlign w:val="top"/>
          </w:tcPr>
          <w:p>
            <w:pPr>
              <w:bidi/>
              <w:spacing w:after="80" w:before="0" w:line="264"/>
              <w:jc w:val="right"/>
            </w:pPr>
            <w:r>
              <w:rPr>
                <w:rFonts w:ascii="Arial" w:cs="Arial" w:eastAsia="Arial" w:hAnsi="Arial"/>
                <w:color w:val="3D4349"/>
                <w:sz w:val="19"/>
                <w:szCs w:val="19"/>
                <w:rtl/>
              </w:rPr>
              <w:t xml:space="preserve"/>
            </w:r>
          </w:p>
        </w:tc>
        <w:tc>
          <w:tcPr>
            <w:tcW w:type="dxa" w:w="4256"/>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jc w:val="center"/>
            </w:pPr>
            <w:r>
              <w:drawing>
                <wp:inline distT="0" distB="0" distL="0" distR="0">
                  <wp:extent cx="2476500" cy="2095500"/>
                  <wp:effectExtent t="0" r="0" b="0" l="0"/>
                  <wp:docPr id="1" name="img_kpi.png" descr="לחיצה ימנית &gt; שינוי תמונה כדי להחליף" title="תמ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095500"/>
                          </a:xfrm>
                          <a:prstGeom prst="rect">
                            <a:avLst/>
                          </a:prstGeom>
                        </pic:spPr>
                      </pic:pic>
                    </a:graphicData>
                  </a:graphic>
                </wp:inline>
              </w:drawing>
            </w:r>
          </w:p>
          <w:p>
            <w:pPr>
              <w:bidi/>
              <w:spacing w:after="0" w:before="60" w:line="264"/>
              <w:jc w:val="center"/>
            </w:pPr>
            <w:r>
              <w:rPr>
                <w:rFonts w:ascii="Arial" w:cs="Arial" w:eastAsia="Arial" w:hAnsi="Arial"/>
                <w:color w:val="595959"/>
                <w:sz w:val="16"/>
                <w:szCs w:val="16"/>
                <w:rtl/>
              </w:rPr>
              <w:t xml:space="preserve">עלות אי-איכות (COPQ) לפי רבעון, באחוזים מהמחזור. הקו המקווקו: יעד 1.5%</w:t>
            </w:r>
          </w:p>
        </w:tc>
      </w:tr>
    </w:tbl>
    <w:p>
      <w:pPr>
        <w:pBdr>
          <w:top w:val="single" w:color="BFBFBF" w:sz="4" w:space="4"/>
        </w:pBdr>
        <w:bidi/>
        <w:spacing w:after="0" w:before="200" w:line="264"/>
        <w:jc w:val="center"/>
      </w:pPr>
      <w:r>
        <w:rPr>
          <w:rFonts w:ascii="Arial" w:cs="Arial" w:eastAsia="Arial" w:hAnsi="Arial"/>
          <w:color w:val="7F7F7F"/>
          <w:sz w:val="16"/>
          <w:szCs w:val="16"/>
          <w:rtl/>
        </w:rPr>
        <w:t xml:space="preserve">לשאלות והערות: [שם], ראש תחום הנדסת איכות | [טלפון] | [דוא"ל]   •   הגיליון הבא: ינואר 2027</w:t>
      </w:r>
    </w:p>
    <w:sectPr>
      <w:pgSz w:w="11906" w:h="16838" w:orient="portrait"/>
      <w:pgMar w:top="500" w:right="700" w:bottom="4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260" w:hanging="220"/>
      </w:pPr>
      <w:rPr>
        <w:color w:val="FFFFFF"/>
        <w:sz w:val="20"/>
        <w:szCs w:val="20"/>
      </w:rPr>
    </w:lvl>
  </w:abstractNum>
  <w:abstractNum w:abstractNumId="3" w15:restartNumberingAfterBreak="0">
    <w:multiLevelType w:val="hybridMultilevel"/>
    <w:lvl w:ilvl="0" w15:tentative="1">
      <w:start w:val="1"/>
      <w:numFmt w:val="bullet"/>
      <w:lvlText w:val="•"/>
      <w:lvlJc w:val="right"/>
      <w:pPr>
        <w:ind w:right="260" w:hanging="220"/>
      </w:pPr>
      <w:rPr>
        <w:color w:val="2F6497"/>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653c48e3122d3354abd3f164f9d59d074ab1ae4.jpg"/><Relationship Id="rId8" Type="http://schemas.openxmlformats.org/officeDocument/2006/relationships/image" Target="media/f45b44abca3fab0a57d230ceabe0e2533b7089ea.png"/><Relationship Id="rId9" Type="http://schemas.openxmlformats.org/officeDocument/2006/relationships/image" Target="media/0db2e3007f6bc74ee8dead5cdad4968cf005d3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ניוזלטר איכות</dc:title>
  <dc:creator>מטה הנדסת איכות – חטיבת אלתא</dc:creator>
  <cp:lastModifiedBy>Un-named</cp:lastModifiedBy>
  <cp:revision>1</cp:revision>
  <dcterms:created xsi:type="dcterms:W3CDTF">2026-10-04T07:52:17.560Z</dcterms:created>
  <dcterms:modified xsi:type="dcterms:W3CDTF">2026-10-04T07:52:17.560Z</dcterms:modified>
</cp:coreProperties>
</file>

<file path=docProps/custom.xml><?xml version="1.0" encoding="utf-8"?>
<Properties xmlns="http://schemas.openxmlformats.org/officeDocument/2006/custom-properties" xmlns:vt="http://schemas.openxmlformats.org/officeDocument/2006/docPropsVTypes"/>
</file>