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rPr>
          <w:rFonts w:ascii="Arial" w:cs="Arial" w:eastAsia="Arial" w:hAnsi="Arial"/>
        </w:rPr>
        <w:t xml:space="preserve"/>
      </w:r>
    </w:p>
    <w:p>
      <w:pPr>
        <w:jc w:val="center"/>
      </w:pPr>
      <w:r>
        <w:rPr>
          <w:rFonts w:ascii="Arial" w:cs="Arial" w:eastAsia="Arial" w:hAnsi="Arial"/>
          <w:b/>
          <w:bCs/>
          <w:color w:val="1F3864"/>
          <w:sz w:val="56"/>
          <w:szCs w:val="56"/>
        </w:rPr>
        <w:t xml:space="preserve">U.S. CONSUMER LENDING</w:t>
      </w:r>
    </w:p>
    <w:p>
      <w:pPr>
        <w:jc w:val="center"/>
      </w:pPr>
      <w:r>
        <w:rPr>
          <w:rFonts w:ascii="Arial" w:cs="Arial" w:eastAsia="Arial" w:hAnsi="Arial"/>
          <w:b/>
          <w:bCs/>
          <w:color w:val="2E75B6"/>
          <w:sz w:val="32"/>
          <w:szCs w:val="32"/>
        </w:rPr>
        <w:t xml:space="preserve">Market Economics and Mega-Bank Positioning in 2024</w:t>
      </w:r>
    </w:p>
    <w:p>
      <w:pPr>
        <w:spacing w:after="0" w:before="200"/>
      </w:pPr>
    </w:p>
    <w:p>
      <w:pPr>
        <w:jc w:val="center"/>
      </w:pPr>
      <w:r>
        <w:rPr>
          <w:rFonts w:ascii="Arial" w:cs="Arial" w:eastAsia="Arial" w:hAnsi="Arial"/>
          <w:color w:val="2E75B6"/>
          <w:sz w:val="28"/>
          <w:szCs w:val="28"/>
        </w:rPr>
        <w:t xml:space="preserve">―――――――――――――――</w:t>
      </w:r>
    </w:p>
    <w:p>
      <w:pPr>
        <w:spacing w:after="0" w:before="200"/>
      </w:pPr>
    </w:p>
    <w:p>
      <w:pPr>
        <w:jc w:val="center"/>
      </w:pPr>
      <w:r>
        <w:rPr>
          <w:rFonts w:ascii="Arial" w:cs="Arial" w:eastAsia="Arial" w:hAnsi="Arial"/>
          <w:i/>
          <w:iCs/>
          <w:color w:val="555555"/>
          <w:sz w:val="26"/>
          <w:szCs w:val="26"/>
        </w:rPr>
        <w:t xml:space="preserve">Comprehensive Strategic Analysis</w:t>
      </w:r>
    </w:p>
    <w:p>
      <w:pPr>
        <w:spacing w:after="0" w:before="600"/>
      </w:pPr>
    </w:p>
    <w:p>
      <w:pPr>
        <w:jc w:val="center"/>
      </w:pPr>
      <w:r>
        <w:rPr>
          <w:rFonts w:ascii="Arial" w:cs="Arial" w:eastAsia="Arial" w:hAnsi="Arial"/>
          <w:color w:val="444444"/>
          <w:sz w:val="22"/>
          <w:szCs w:val="22"/>
        </w:rPr>
        <w:t xml:space="preserve">March 2026</w:t>
      </w:r>
    </w:p>
    <w:p>
      <w:r>
        <w:br w:type="page"/>
      </w:r>
    </w:p>
    <w:p>
      <w:pPr>
        <w:pStyle w:val="Heading1"/>
        <w:pBdr>
          <w:bottom w:val="single" w:color="2E75B6" w:sz="8" w:space="4"/>
        </w:pBdr>
        <w:spacing w:after="120" w:before="360"/>
      </w:pPr>
      <w:r>
        <w:rPr>
          <w:rFonts w:ascii="Arial" w:cs="Arial" w:eastAsia="Arial" w:hAnsi="Arial"/>
          <w:b/>
          <w:bCs/>
          <w:color w:val="1F3864"/>
        </w:rPr>
        <w:t xml:space="preserve">Executive Summary</w:t>
      </w:r>
    </w:p>
    <w:p>
      <w:pPr>
        <w:spacing w:after="80" w:before="60"/>
        <w:jc w:val="both"/>
      </w:pPr>
      <w:r>
        <w:rPr>
          <w:rFonts w:ascii="Arial" w:cs="Arial" w:eastAsia="Arial" w:hAnsi="Arial"/>
          <w:b w:val="false"/>
          <w:bCs w:val="false"/>
          <w:color w:val="1A1A1A"/>
          <w:sz w:val="22"/>
          <w:szCs w:val="22"/>
        </w:rPr>
        <w:t xml:space="preserve">Credit cards remain the undisputed profit engine of consumer banking, generating a 3.87% ROA — roughly 3.5× the industry average — and the top six mega-banks collectively hold over $630 billion in card receivables. Total U.S. household debt reached a record $18.04 trillion at year-end 2024, with consumer lending revenue pools exceeding $500 billion across all products.</w:t>
      </w:r>
    </w:p>
    <w:p>
      <w:pPr>
        <w:spacing w:after="80" w:before="60"/>
        <w:jc w:val="both"/>
      </w:pPr>
      <w:r>
        <w:rPr>
          <w:rFonts w:ascii="Arial" w:cs="Arial" w:eastAsia="Arial" w:hAnsi="Arial"/>
          <w:b w:val="false"/>
          <w:bCs w:val="false"/>
          <w:color w:val="1A1A1A"/>
          <w:sz w:val="22"/>
          <w:szCs w:val="22"/>
        </w:rPr>
        <w:t xml:space="preserve">The critical strategic finding: mega-banks are structurally advantaged in only two consumer products (cards and HELOCs), have ceded mortgage origination to non-banks, face fragmented competition in auto, and have largely exited personal lending. The 2020–2024 period produced the most volatile swing in consumer lending economics in a generation — from pandemic-era mortgage windfalls and record-low charge-offs to a sharp normalization that compressed origination margins and pushed card losses to 13-year highs before stabilization in late 2024.</w:t>
      </w:r>
    </w:p>
    <w:p>
      <w:pPr>
        <w:spacing w:after="0" w:before="160"/>
      </w:pPr>
    </w:p>
    <w:p>
      <w:pPr>
        <w:spacing w:after="100" w:before="80"/>
      </w:pPr>
      <w:r>
        <w:rPr>
          <w:rFonts w:ascii="Arial" w:cs="Arial" w:eastAsia="Arial" w:hAnsi="Arial"/>
          <w:b/>
          <w:bCs/>
          <w:color w:val="1F3864"/>
          <w:sz w:val="24"/>
          <w:szCs w:val="24"/>
        </w:rPr>
        <w:t xml:space="preserve">Key Findings at a Glance</w:t>
      </w:r>
    </w:p>
    <w:p>
      <w:pPr>
        <w:pBdr>
          <w:left w:val="single" w:color="2E75B6" w:sz="12" w:space="8"/>
        </w:pBdr>
        <w:spacing w:after="80" w:before="80"/>
        <w:ind w:left="360"/>
      </w:pPr>
      <w:r>
        <w:rPr>
          <w:rFonts w:ascii="Arial" w:cs="Arial" w:eastAsia="Arial" w:hAnsi="Arial"/>
          <w:b/>
          <w:bCs/>
          <w:color w:val="2E75B6"/>
          <w:sz w:val="22"/>
          <w:szCs w:val="22"/>
        </w:rPr>
        <w:t xml:space="preserve">Credit Cards:  </w:t>
      </w:r>
      <w:r>
        <w:rPr>
          <w:rFonts w:ascii="Arial" w:cs="Arial" w:eastAsia="Arial" w:hAnsi="Arial"/>
          <w:color w:val="1A1A1A"/>
          <w:sz w:val="22"/>
          <w:szCs w:val="22"/>
        </w:rPr>
        <w:t xml:space="preserve">3.87% ROA confirmed by the Federal Reserve — 3.5× the 1.12% all-bank average. $310–330B revenue pool. 83% balance concentration in top 10 issuers. JPMorgan #1 globally at 17.27% share.</w:t>
      </w:r>
    </w:p>
    <w:p>
      <w:pPr>
        <w:pBdr>
          <w:left w:val="single" w:color="17A589" w:sz="12" w:space="8"/>
        </w:pBdr>
        <w:spacing w:after="80" w:before="80"/>
        <w:ind w:left="360"/>
      </w:pPr>
      <w:r>
        <w:rPr>
          <w:rFonts w:ascii="Arial" w:cs="Arial" w:eastAsia="Arial" w:hAnsi="Arial"/>
          <w:b/>
          <w:bCs/>
          <w:color w:val="17A589"/>
          <w:sz w:val="22"/>
          <w:szCs w:val="22"/>
        </w:rPr>
        <w:t xml:space="preserve">HELOCs:  </w:t>
      </w:r>
      <w:r>
        <w:rPr>
          <w:rFonts w:ascii="Arial" w:cs="Arial" w:eastAsia="Arial" w:hAnsi="Arial"/>
          <w:color w:val="1A1A1A"/>
          <w:sz w:val="22"/>
          <w:szCs w:val="22"/>
        </w:rPr>
        <w:t xml:space="preserve">$12T tappable equity base. 10%+ YoY balance growth. Average FICO 771. Charge-offs near zero. Banks' second structural advantage.</w:t>
      </w:r>
    </w:p>
    <w:p>
      <w:pPr>
        <w:pBdr>
          <w:left w:val="single" w:color="D4820A" w:sz="12" w:space="8"/>
        </w:pBdr>
        <w:spacing w:after="80" w:before="80"/>
        <w:ind w:left="360"/>
      </w:pPr>
      <w:r>
        <w:rPr>
          <w:rFonts w:ascii="Arial" w:cs="Arial" w:eastAsia="Arial" w:hAnsi="Arial"/>
          <w:b/>
          <w:bCs/>
          <w:color w:val="D4820A"/>
          <w:sz w:val="22"/>
          <w:szCs w:val="22"/>
        </w:rPr>
        <w:t xml:space="preserve">Mortgages:  </w:t>
      </w:r>
      <w:r>
        <w:rPr>
          <w:rFonts w:ascii="Arial" w:cs="Arial" w:eastAsia="Arial" w:hAnsi="Arial"/>
          <w:color w:val="1A1A1A"/>
          <w:sz w:val="22"/>
          <w:szCs w:val="22"/>
        </w:rPr>
        <w:t xml:space="preserve">Non-banks at 53.3% origination share. Banks below one-third. MBA profit just $443/loan. Servicing — not origination — is the value.</w:t>
      </w:r>
    </w:p>
    <w:p>
      <w:pPr>
        <w:pBdr>
          <w:left w:val="single" w:color="C0392B" w:sz="12" w:space="8"/>
        </w:pBdr>
        <w:spacing w:after="80" w:before="80"/>
        <w:ind w:left="360"/>
      </w:pPr>
      <w:r>
        <w:rPr>
          <w:rFonts w:ascii="Arial" w:cs="Arial" w:eastAsia="Arial" w:hAnsi="Arial"/>
          <w:b/>
          <w:bCs/>
          <w:color w:val="C0392B"/>
          <w:sz w:val="22"/>
          <w:szCs w:val="22"/>
        </w:rPr>
        <w:t xml:space="preserve">Auto:  </w:t>
      </w:r>
      <w:r>
        <w:rPr>
          <w:rFonts w:ascii="Arial" w:cs="Arial" w:eastAsia="Arial" w:hAnsi="Arial"/>
          <w:color w:val="1A1A1A"/>
          <w:sz w:val="22"/>
          <w:szCs w:val="22"/>
        </w:rPr>
        <w:t xml:space="preserve">Banks at only 25% market share, sandwiched by captives (31.4%) and credit unions (20.1%). No structural bank advantage.</w:t>
      </w:r>
    </w:p>
    <w:p>
      <w:pPr>
        <w:pBdr>
          <w:left w:val="single" w:color="8E44AD" w:sz="12" w:space="8"/>
        </w:pBdr>
        <w:spacing w:after="80" w:before="80"/>
        <w:ind w:left="360"/>
      </w:pPr>
      <w:r>
        <w:rPr>
          <w:rFonts w:ascii="Arial" w:cs="Arial" w:eastAsia="Arial" w:hAnsi="Arial"/>
          <w:b/>
          <w:bCs/>
          <w:color w:val="8E44AD"/>
          <w:sz w:val="22"/>
          <w:szCs w:val="22"/>
        </w:rPr>
        <w:t xml:space="preserve">Personal Loans:  </w:t>
      </w:r>
      <w:r>
        <w:rPr>
          <w:rFonts w:ascii="Arial" w:cs="Arial" w:eastAsia="Arial" w:hAnsi="Arial"/>
          <w:color w:val="1A1A1A"/>
          <w:sz w:val="22"/>
          <w:szCs w:val="22"/>
        </w:rPr>
        <w:t xml:space="preserve">Fintechs now service more unsecured debt than banks. Goldman Marcus lost &gt;$3B. Banks exited the product.</w:t>
      </w:r>
    </w:p>
    <w:p>
      <w:pPr>
        <w:pBdr>
          <w:left w:val="single" w:color="555555" w:sz="12" w:space="8"/>
        </w:pBdr>
        <w:spacing w:after="80" w:before="80"/>
        <w:ind w:left="360"/>
      </w:pPr>
      <w:r>
        <w:rPr>
          <w:rFonts w:ascii="Arial" w:cs="Arial" w:eastAsia="Arial" w:hAnsi="Arial"/>
          <w:b/>
          <w:bCs/>
          <w:color w:val="555555"/>
          <w:sz w:val="22"/>
          <w:szCs w:val="22"/>
        </w:rPr>
        <w:t xml:space="preserve">BNPL:  </w:t>
      </w:r>
      <w:r>
        <w:rPr>
          <w:rFonts w:ascii="Arial" w:cs="Arial" w:eastAsia="Arial" w:hAnsi="Arial"/>
          <w:color w:val="1A1A1A"/>
          <w:sz w:val="22"/>
          <w:szCs w:val="22"/>
        </w:rPr>
        <w:t xml:space="preserve">$109B GMV — only ~1% of card volume. Banks responding with card-linked installment products.</w:t>
      </w:r>
    </w:p>
    <w:p>
      <w:r>
        <w:br w:type="page"/>
      </w:r>
    </w:p>
    <w:p>
      <w:pPr>
        <w:pStyle w:val="Heading1"/>
        <w:pBdr>
          <w:bottom w:val="single" w:color="2E75B6" w:sz="8" w:space="4"/>
        </w:pBdr>
        <w:spacing w:after="120" w:before="360"/>
      </w:pPr>
      <w:r>
        <w:rPr>
          <w:rFonts w:ascii="Arial" w:cs="Arial" w:eastAsia="Arial" w:hAnsi="Arial"/>
          <w:b/>
          <w:bCs/>
          <w:color w:val="1F3864"/>
        </w:rPr>
        <w:t xml:space="preserve">1. The $18 Trillion Consumer Balance Sheet</w:t>
      </w:r>
    </w:p>
    <w:p>
      <w:pPr>
        <w:spacing w:after="80" w:before="60"/>
        <w:jc w:val="both"/>
      </w:pPr>
      <w:r>
        <w:rPr>
          <w:rFonts w:ascii="Arial" w:cs="Arial" w:eastAsia="Arial" w:hAnsi="Arial"/>
          <w:b w:val="false"/>
          <w:bCs w:val="false"/>
          <w:color w:val="1A1A1A"/>
          <w:sz w:val="22"/>
          <w:szCs w:val="22"/>
        </w:rPr>
        <w:t xml:space="preserve">U.S. household debt outstanding reached $18.04 trillion in Q4 2024, up $530 billion (+3.0%) year-over-year, per the NY Fed Household Debt and Credit Report. Mortgage debt dominates at $12.61 trillion (70% of the total), followed by auto loans at $1.66 trillion, student loans at $1.62 trillion, credit cards at $1.21 trillion, and HELOCs at $396 billion. Personal loans, tracked separately by TransUnion, totaled approximately $249 billion.</w:t>
      </w:r>
    </w:p>
    <w:p>
      <w:pPr>
        <w:spacing w:after="80" w:before="60"/>
        <w:jc w:val="both"/>
      </w:pPr>
      <w:r>
        <w:rPr>
          <w:rFonts w:ascii="Arial" w:cs="Arial" w:eastAsia="Arial" w:hAnsi="Arial"/>
          <w:b w:val="false"/>
          <w:bCs w:val="false"/>
          <w:color w:val="1A1A1A"/>
          <w:sz w:val="22"/>
          <w:szCs w:val="22"/>
        </w:rPr>
        <w:t xml:space="preserve">The Federal Reserve's G.19 release — which excludes real estate-secured debt — shows total consumer credit at $5,145.5 billion as of December 2024, comprising $1,382.2 billion in revolving credit and $3,763.4 billion in nonrevolving credit. Growth decelerated to +2.4% in 2024 from +7.6% in 2022 and +2.6% in 2023, reflecting consumer caution and tighter bank underwriting standards.</w:t>
      </w:r>
    </w:p>
    <w:p>
      <w:pPr>
        <w:spacing w:after="0" w:before="80"/>
      </w:pPr>
    </w:p>
    <w:p>
      <w:pPr>
        <w:pStyle w:val="Heading2"/>
        <w:spacing w:after="100" w:before="280"/>
      </w:pPr>
      <w:r>
        <w:rPr>
          <w:rFonts w:ascii="Arial" w:cs="Arial" w:eastAsia="Arial" w:hAnsi="Arial"/>
          <w:b/>
          <w:bCs/>
          <w:color w:val="2E75B6"/>
        </w:rPr>
        <w:t xml:space="preserve">Balances Outstanding by Product, 2020–2024 ($ Trillions, Q4 each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1000"/>
        <w:gridCol w:w="1000"/>
        <w:gridCol w:w="1060"/>
        <w:gridCol w:w="150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Product</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2020</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2021</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2022</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2023</w:t>
            </w:r>
          </w:p>
        </w:tc>
        <w:tc>
          <w:tcPr>
            <w:tcW w:type="dxa" w:w="1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2024</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5-Yr CAGR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Mortgage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$10.04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$10.93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$12.00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$12.25</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$12.61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+5.9%</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Auto</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$1.37</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$1.47</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$1.60</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$1.61</w:t>
            </w:r>
          </w:p>
        </w:tc>
        <w:tc>
          <w:tcPr>
            <w:tcW w:type="dxa" w:w="1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$1.66</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+4.9%</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Credit Card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$0.82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$0.86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$0.99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$1.13</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+10.2%</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HELOC</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$0.35</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$0.32</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$0.32</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$0.36</w:t>
            </w:r>
          </w:p>
        </w:tc>
        <w:tc>
          <w:tcPr>
            <w:tcW w:type="dxa" w:w="1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$0.40</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+3.4%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Personal Loans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~$0.17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~$0.19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~$0.21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~$0.24</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~$0.25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+10.1%</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Student Loans</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$1.56</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$1.58</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$1.59</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$1.60</w:t>
            </w:r>
          </w:p>
        </w:tc>
        <w:tc>
          <w:tcPr>
            <w:tcW w:type="dxa" w:w="1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$1.62</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Total Household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$14.56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$15.58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$16.90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$17.50</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$18.04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+5.5%</w:t>
            </w:r>
          </w:p>
        </w:tc>
      </w:tr>
    </w:tbl>
    <w:p>
      <w:pPr>
        <w:spacing w:after="80" w:before="40"/>
      </w:pPr>
      <w:r>
        <w:rPr>
          <w:rFonts w:ascii="Arial" w:cs="Arial" w:eastAsia="Arial" w:hAnsi="Arial"/>
          <w:i/>
          <w:iCs/>
          <w:color w:val="555555"/>
          <w:sz w:val="20"/>
          <w:szCs w:val="20"/>
        </w:rPr>
        <w:t xml:space="preserve">Sources: NY Fed Household Debt and Credit Report; TransUnion (personal loans); Fed G.19.</w:t>
      </w:r>
    </w:p>
    <w:p>
      <w:pPr>
        <w:spacing w:after="0" w:before="100"/>
      </w:pPr>
    </w:p>
    <w:p>
      <w:pPr>
        <w:spacing w:after="80" w:before="60"/>
        <w:jc w:val="both"/>
      </w:pPr>
      <w:r>
        <w:rPr>
          <w:rFonts w:ascii="Arial" w:cs="Arial" w:eastAsia="Arial" w:hAnsi="Arial"/>
          <w:b w:val="false"/>
          <w:bCs w:val="false"/>
          <w:color w:val="1A1A1A"/>
          <w:sz w:val="22"/>
          <w:szCs w:val="22"/>
        </w:rPr>
        <w:t xml:space="preserve">Bank vs. non-bank holdings of consumer credit (G.19, excluding real estate and federal student loans): depository institutions hold $2,177.3 billion (60% of private-sector consumer credit), finance companies $742.9 billion (20.5%), and credit unions $652.7 billion (18%). Credit unions saw a rare balance decline in 2024, losing share in auto and personal lending.</w:t>
      </w:r>
    </w:p>
    <w:p>
      <w:r>
        <w:br w:type="page"/>
      </w:r>
    </w:p>
    <w:p>
      <w:pPr>
        <w:pStyle w:val="Heading1"/>
        <w:pBdr>
          <w:bottom w:val="single" w:color="2E75B6" w:sz="8" w:space="4"/>
        </w:pBdr>
        <w:spacing w:after="120" w:before="360"/>
      </w:pPr>
      <w:r>
        <w:rPr>
          <w:rFonts w:ascii="Arial" w:cs="Arial" w:eastAsia="Arial" w:hAnsi="Arial"/>
          <w:b/>
          <w:bCs/>
          <w:color w:val="1F3864"/>
        </w:rPr>
        <w:t xml:space="preserve">2. Revenue Pools Exceed $500 Billion, Dominated by Cards</w:t>
      </w:r>
    </w:p>
    <w:p>
      <w:pPr>
        <w:spacing w:after="80" w:before="60"/>
        <w:jc w:val="both"/>
      </w:pPr>
      <w:r>
        <w:rPr>
          <w:rFonts w:ascii="Arial" w:cs="Arial" w:eastAsia="Arial" w:hAnsi="Arial"/>
          <w:b w:val="false"/>
          <w:bCs w:val="false"/>
          <w:color w:val="1A1A1A"/>
          <w:sz w:val="22"/>
          <w:szCs w:val="22"/>
        </w:rPr>
        <w:t xml:space="preserve">Total U.S. consumer lending generates an estimated $530–580 billion in annual revenue across all products and lender types. Credit cards alone account for roughly 60% of the total revenue pool despite representing just 7% of outstanding balances — a testament to the product's extraordinary yield economics.</w:t>
      </w:r>
    </w:p>
    <w:p>
      <w:pPr>
        <w:spacing w:after="80" w:before="60"/>
        <w:jc w:val="both"/>
      </w:pPr>
      <w:r>
        <w:rPr>
          <w:rFonts w:ascii="Arial" w:cs="Arial" w:eastAsia="Arial" w:hAnsi="Arial"/>
          <w:b w:val="false"/>
          <w:bCs w:val="false"/>
          <w:color w:val="1A1A1A"/>
          <w:sz w:val="22"/>
          <w:szCs w:val="22"/>
        </w:rPr>
        <w:t xml:space="preserve">The Congressional Research Service confirmed that U.S. banking industry credit card interest income alone reached $174 billion in 2024. The CFPB separately reported consumers were assessed $160 billion in interest charges and $31.3 billion in fees on credit cards. The Merchants Payments Coalition documented a record $148.5 billion in interchange fees at an average rate of approximately 2.35% on $6.136 trillion in purchase volume.</w:t>
      </w:r>
    </w:p>
    <w:p>
      <w:pPr>
        <w:spacing w:after="80" w:before="60"/>
        <w:jc w:val="both"/>
      </w:pPr>
      <w:r>
        <w:rPr>
          <w:rFonts w:ascii="Arial" w:cs="Arial" w:eastAsia="Arial" w:hAnsi="Arial"/>
          <w:b w:val="false"/>
          <w:bCs w:val="false"/>
          <w:color w:val="1A1A1A"/>
          <w:sz w:val="22"/>
          <w:szCs w:val="22"/>
        </w:rPr>
        <w:t xml:space="preserve">Mortgage revenue is split across origination (gain-on-sale plus origination fees), servicing (annual fee streams of ~25–30 basis points on the $12.6 trillion servicing stock), and net interest income on the roughly $2.5–3.0 trillion in bank-held portfolio loans. In 2024, origination economics were razor-thin: the MBA reported average production profit of just $443 per loan (10 basis points), the first positive full year after consecutive losses of $301/loan in 2022 and $1,056/loan in 2023.</w:t>
      </w:r>
    </w:p>
    <w:p>
      <w:pPr>
        <w:spacing w:after="0" w:before="80"/>
      </w:pPr>
    </w:p>
    <w:p>
      <w:pPr>
        <w:pStyle w:val="Heading2"/>
        <w:spacing w:after="100" w:before="280"/>
      </w:pPr>
      <w:r>
        <w:rPr>
          <w:rFonts w:ascii="Arial" w:cs="Arial" w:eastAsia="Arial" w:hAnsi="Arial"/>
          <w:b/>
          <w:bCs/>
          <w:color w:val="2E75B6"/>
        </w:rPr>
        <w:t xml:space="preserve">Estimated Revenue Pools by Product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1400"/>
        <w:gridCol w:w="5200"/>
      </w:tblGrid>
      <w:tr>
        <w:trPr>
          <w:tblHeader/>
        </w:trP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Product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Balances</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 Revenue Pool</w:t>
            </w:r>
          </w:p>
        </w:tc>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Revenue Drivers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Credit Cards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$1.21T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$310–330B</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Interest income ~$160–174B; interchange ~$148.5B; fees ~$31B</w:t>
            </w:r>
          </w:p>
        </w:tc>
      </w:tr>
      <w:tr>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Mortgages</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$12.61T</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$150–180B</w:t>
            </w:r>
          </w:p>
        </w:tc>
        <w:tc>
          <w:tcPr>
            <w:tcW w:type="dxa" w:w="5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Origination ~$55–60B; servicing ~$50–60B; portfolio NII ~$40–60B</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Auto Loans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$1.66T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$80–100B</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Interest income at ~5–6% blended yield</w:t>
            </w:r>
          </w:p>
        </w:tc>
      </w:tr>
      <w:tr>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Personal Loans</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~$249B</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$25–35B</w:t>
            </w:r>
          </w:p>
        </w:tc>
        <w:tc>
          <w:tcPr>
            <w:tcW w:type="dxa" w:w="5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Interest income at ~10–13% blended yield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HELOC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$396B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$25–30B</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Interest income at ~7–8% yield (prime-based variable)</w:t>
            </w:r>
          </w:p>
        </w:tc>
      </w:tr>
      <w:tr>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BNPL</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~$109B GMV</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$6–8B</w:t>
            </w:r>
          </w:p>
        </w:tc>
        <w:tc>
          <w:tcPr>
            <w:tcW w:type="dxa" w:w="5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Merchant discount fees (3–6%) + consumer interest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Total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~$530–580B</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w:t>
            </w:r>
          </w:p>
        </w:tc>
      </w:tr>
    </w:tbl>
    <w:p>
      <w:pPr>
        <w:spacing w:after="80" w:before="40"/>
      </w:pPr>
      <w:r>
        <w:rPr>
          <w:rFonts w:ascii="Arial" w:cs="Arial" w:eastAsia="Arial" w:hAnsi="Arial"/>
          <w:i/>
          <w:iCs/>
          <w:color w:val="555555"/>
          <w:sz w:val="20"/>
          <w:szCs w:val="20"/>
        </w:rPr>
        <w:t xml:space="preserve">Note: Revenue pool estimates are derived from balances × average yields plus fee data. Consultant-grade estimates consistent with McKinsey and Fed data.</w:t>
      </w:r>
    </w:p>
    <w:p>
      <w:r>
        <w:br w:type="page"/>
      </w:r>
    </w:p>
    <w:p>
      <w:pPr>
        <w:pStyle w:val="Heading1"/>
        <w:pBdr>
          <w:bottom w:val="single" w:color="2E75B6" w:sz="8" w:space="4"/>
        </w:pBdr>
        <w:spacing w:after="120" w:before="360"/>
      </w:pPr>
      <w:r>
        <w:rPr>
          <w:rFonts w:ascii="Arial" w:cs="Arial" w:eastAsia="Arial" w:hAnsi="Arial"/>
          <w:b/>
          <w:bCs/>
          <w:color w:val="1F3864"/>
        </w:rPr>
        <w:t xml:space="preserve">3. Credit Cards Generate 3–4× the ROA of Any Other Consumer Product</w:t>
      </w:r>
    </w:p>
    <w:p>
      <w:pPr>
        <w:spacing w:after="80" w:before="60"/>
        <w:jc w:val="both"/>
      </w:pPr>
      <w:r>
        <w:rPr>
          <w:rFonts w:ascii="Arial" w:cs="Arial" w:eastAsia="Arial" w:hAnsi="Arial"/>
          <w:b w:val="false"/>
          <w:bCs w:val="false"/>
          <w:color w:val="1A1A1A"/>
          <w:sz w:val="22"/>
          <w:szCs w:val="22"/>
        </w:rPr>
        <w:t xml:space="preserve">The Federal Reserve's 2024 Report to Congress on credit card bank profitability confirms that credit card operations delivered a pretax ROA of 3.87%, compared with 1.12% for the FDIC-insured banking industry overall. This makes cards the single most profitable product in consumer banking by a wide margin.</w:t>
      </w:r>
    </w:p>
    <w:p>
      <w:pPr>
        <w:spacing w:after="80" w:before="60"/>
        <w:jc w:val="both"/>
      </w:pPr>
      <w:r>
        <w:rPr>
          <w:rFonts w:ascii="Arial" w:cs="Arial" w:eastAsia="Arial" w:hAnsi="Arial"/>
          <w:b w:val="false"/>
          <w:bCs w:val="false"/>
          <w:color w:val="1A1A1A"/>
          <w:sz w:val="22"/>
          <w:szCs w:val="22"/>
        </w:rPr>
        <w:t xml:space="preserve">Historical credit card ROA has averaged 4–5% since 2001, peaking at 7.65% in 2006 and 6.93% in 2021 (when charge-offs hit historic lows of 1.63%). The only negative year was 2009 (–5.33% during the financial crisis). In 2024, ROA recovered from a 2023 trough of 3.31% despite charge-offs reaching 4.58% — interest income growth and moderating provisions drove the improvement.</w:t>
      </w:r>
    </w:p>
    <w:p>
      <w:pPr>
        <w:spacing w:after="0" w:before="80"/>
      </w:pPr>
    </w:p>
    <w:p>
      <w:pPr>
        <w:pStyle w:val="Heading2"/>
        <w:spacing w:after="100" w:before="280"/>
      </w:pPr>
      <w:r>
        <w:rPr>
          <w:rFonts w:ascii="Arial" w:cs="Arial" w:eastAsia="Arial" w:hAnsi="Arial"/>
          <w:b/>
          <w:bCs/>
          <w:color w:val="2E75B6"/>
        </w:rPr>
        <w:t xml:space="preserve">Profitability by Product — Credit Card Banks vs. All Banks (2024, % of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Credit Card Banks</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All FDIC-Insured Banks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Net interest income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10.16%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2.95%</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Noninterest income</w:t>
            </w:r>
          </w:p>
        </w:tc>
        <w:tc>
          <w:tcPr>
            <w:tcW w:type="dxa" w:w="28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6.34%</w:t>
            </w:r>
          </w:p>
        </w:tc>
        <w:tc>
          <w:tcPr>
            <w:tcW w:type="dxa" w:w="28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1.30%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Noninterest expense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9.03%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2.45%</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Provision for losses</w:t>
            </w:r>
          </w:p>
        </w:tc>
        <w:tc>
          <w:tcPr>
            <w:tcW w:type="dxa" w:w="28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3.62%</w:t>
            </w:r>
          </w:p>
        </w:tc>
        <w:tc>
          <w:tcPr>
            <w:tcW w:type="dxa" w:w="28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0.38%</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Pretax ROA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3.87%</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1.38%</w:t>
            </w:r>
          </w:p>
        </w:tc>
      </w:tr>
    </w:tbl>
    <w:p>
      <w:pPr>
        <w:spacing w:after="80" w:before="40"/>
      </w:pPr>
      <w:r>
        <w:rPr>
          <w:rFonts w:ascii="Arial" w:cs="Arial" w:eastAsia="Arial" w:hAnsi="Arial"/>
          <w:i/>
          <w:iCs/>
          <w:color w:val="555555"/>
          <w:sz w:val="20"/>
          <w:szCs w:val="20"/>
        </w:rPr>
        <w:t xml:space="preserve">Source: Federal Reserve Board, Profitability of Credit Card Operations of Depository Institutions, November 2025.</w:t>
      </w:r>
    </w:p>
    <w:p>
      <w:pPr>
        <w:spacing w:after="0" w:before="100"/>
      </w:pPr>
    </w:p>
    <w:p>
      <w:pPr>
        <w:pStyle w:val="Heading2"/>
        <w:spacing w:after="100" w:before="280"/>
      </w:pPr>
      <w:r>
        <w:rPr>
          <w:rFonts w:ascii="Arial" w:cs="Arial" w:eastAsia="Arial" w:hAnsi="Arial"/>
          <w:b/>
          <w:bCs/>
          <w:color w:val="2E75B6"/>
        </w:rPr>
        <w:t xml:space="preserve">Estimated ROA by Consumer Product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Product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Estimated ROA</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Dynamics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Credit Cards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3.5–5.0%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Confirmed 3.87% by Fed; dual revenue (NII + interchange); highest-yielding product</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HELOC</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1.0–2.0%</w:t>
            </w:r>
          </w:p>
        </w:tc>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Very low losses (avg FICO 771); variable-rate; deposit cross-sell 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Personal Loans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1.0–3.0%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Higher yield offset by 3–5% NCOs; most banks exited</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Auto Loans</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0.5–1.0%</w:t>
            </w:r>
          </w:p>
        </w:tc>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Moderate spreads; elevated delinquencies; competitive pressure from captives/CUs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Mortgage Origination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~0% (volatile)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$443/loan profit in 2024; two prior loss years; cost to originate $11,076/loan</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Mortgage Servicing</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0.5–1.0%</w:t>
            </w:r>
          </w:p>
        </w:tc>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Stable fee stream; MSR value volatility; critical profitability buffer</w:t>
            </w:r>
          </w:p>
        </w:tc>
      </w:tr>
    </w:tbl>
    <w:p>
      <w:pPr>
        <w:spacing w:after="80" w:before="40"/>
      </w:pPr>
      <w:r>
        <w:rPr>
          <w:rFonts w:ascii="Arial" w:cs="Arial" w:eastAsia="Arial" w:hAnsi="Arial"/>
          <w:i/>
          <w:iCs/>
          <w:color w:val="555555"/>
          <w:sz w:val="20"/>
          <w:szCs w:val="20"/>
        </w:rPr>
        <w:t xml:space="preserve">Note: Product-level ROAs are estimates based on Fed data (cards), MBA data (mortgages), and industry economics (others).</w:t>
      </w:r>
    </w:p>
    <w:p>
      <w:r>
        <w:br w:type="page"/>
      </w:r>
    </w:p>
    <w:p>
      <w:pPr>
        <w:pStyle w:val="Heading1"/>
        <w:pBdr>
          <w:bottom w:val="single" w:color="2E75B6" w:sz="8" w:space="4"/>
        </w:pBdr>
        <w:spacing w:after="120" w:before="360"/>
      </w:pPr>
      <w:r>
        <w:rPr>
          <w:rFonts w:ascii="Arial" w:cs="Arial" w:eastAsia="Arial" w:hAnsi="Arial"/>
          <w:b/>
          <w:bCs/>
          <w:color w:val="1F3864"/>
        </w:rPr>
        <w:t xml:space="preserve">4. Mega-Bank Consumer Lending — JPMorgan's Dominance</w:t>
      </w:r>
    </w:p>
    <w:p>
      <w:pPr>
        <w:spacing w:after="80" w:before="60"/>
        <w:jc w:val="both"/>
      </w:pPr>
      <w:r>
        <w:rPr>
          <w:rFonts w:ascii="Arial" w:cs="Arial" w:eastAsia="Arial" w:hAnsi="Arial"/>
          <w:b w:val="false"/>
          <w:bCs w:val="false"/>
          <w:color w:val="1A1A1A"/>
          <w:sz w:val="22"/>
          <w:szCs w:val="22"/>
        </w:rPr>
        <w:t xml:space="preserve">The top six mega-banks generated a combined ~$197 billion in consumer-segment revenue in 2024, with JPMorgan Chase's Consumer &amp; Community Banking segment alone contributing $71.5 billion — nearly equal to Wells Fargo and Bank of America combined. JPMorgan's CCB segment achieved a remarkable 32% ROE, the highest among the six banks and a direct reflection of cards' outsized contribution.</w:t>
      </w:r>
    </w:p>
    <w:p>
      <w:pPr>
        <w:spacing w:after="80" w:before="60"/>
        <w:jc w:val="both"/>
      </w:pPr>
      <w:r>
        <w:rPr>
          <w:rFonts w:ascii="Arial" w:cs="Arial" w:eastAsia="Arial" w:hAnsi="Arial"/>
          <w:b w:val="false"/>
          <w:bCs w:val="false"/>
          <w:color w:val="1A1A1A"/>
          <w:sz w:val="22"/>
          <w:szCs w:val="22"/>
        </w:rPr>
        <w:t xml:space="preserve">JPMorgan is the #1 credit card issuer globally with 17.27% market share by outstanding receivables and $1,344 billion in 2024 purchase volume. Its Card Services net revenue rate of 10.47% on $224 billion in average receivables represents an annualized revenue run rate of approximately $23–24 billion from cards alone.</w:t>
      </w:r>
    </w:p>
    <w:p>
      <w:pPr>
        <w:spacing w:after="0" w:before="80"/>
      </w:pPr>
    </w:p>
    <w:p>
      <w:pPr>
        <w:pStyle w:val="Heading2"/>
        <w:spacing w:after="100" w:before="280"/>
      </w:pPr>
      <w:r>
        <w:rPr>
          <w:rFonts w:ascii="Arial" w:cs="Arial" w:eastAsia="Arial" w:hAnsi="Arial"/>
          <w:b/>
          <w:bCs/>
          <w:color w:val="2E75B6"/>
        </w:rPr>
        <w:t xml:space="preserve">Consumer Segment Financials — Top 6 Banks (FY2024)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560"/>
        <w:gridCol w:w="204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Bank (Segment)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Revenue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Net Income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ROE/ROAC</w:t>
            </w:r>
          </w:p>
        </w:tc>
        <w:tc>
          <w:tcPr>
            <w:tcW w:type="dxa" w:w="2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Consumer Loans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JPM (CCB)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$71.5B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~$17.6B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32%</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$577.6B avg</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BAC (Consumer Banking)</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$41.4B</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$10.8B</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25%</w:t>
            </w:r>
          </w:p>
        </w:tc>
        <w:tc>
          <w:tcPr>
            <w:tcW w:type="dxa" w:w="20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$316.1B avg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WFC (CBL)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$36.2B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$7.0B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14.8%</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$325.2B avg</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Citi (USPB)</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$20.4B</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$1.4B</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5.5%</w:t>
            </w:r>
          </w:p>
        </w:tc>
        <w:tc>
          <w:tcPr>
            <w:tcW w:type="dxa" w:w="20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~$209B avg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USB (Consolidated)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$27.5B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$6.3B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17.2% RoTCE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$191.5B EOP</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PNC (Consolidated)</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$21.6B</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$6.0B</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w:t>
            </w:r>
          </w:p>
        </w:tc>
        <w:tc>
          <w:tcPr>
            <w:tcW w:type="dxa" w:w="20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$100.4B avg</w:t>
            </w:r>
          </w:p>
        </w:tc>
      </w:tr>
    </w:tbl>
    <w:p>
      <w:pPr>
        <w:spacing w:after="80" w:before="40"/>
      </w:pPr>
      <w:r>
        <w:rPr>
          <w:rFonts w:ascii="Arial" w:cs="Arial" w:eastAsia="Arial" w:hAnsi="Arial"/>
          <w:i/>
          <w:iCs/>
          <w:color w:val="555555"/>
          <w:sz w:val="20"/>
          <w:szCs w:val="20"/>
        </w:rPr>
        <w:t xml:space="preserve">Sources: Bank 10-K filings, Q4 2024 earnings supplements, SEC 8-K filings.</w:t>
      </w:r>
    </w:p>
    <w:p>
      <w:pPr>
        <w:spacing w:after="0" w:before="100"/>
      </w:pPr>
    </w:p>
    <w:p>
      <w:pPr>
        <w:pStyle w:val="Heading2"/>
        <w:spacing w:after="100" w:before="280"/>
      </w:pPr>
      <w:r>
        <w:rPr>
          <w:rFonts w:ascii="Arial" w:cs="Arial" w:eastAsia="Arial" w:hAnsi="Arial"/>
          <w:b/>
          <w:bCs/>
          <w:color w:val="2E75B6"/>
        </w:rPr>
        <w:t xml:space="preserve">Credit Card Portfolio Comparison (Q4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100"/>
        <w:gridCol w:w="1100"/>
      </w:tblGrid>
      <w:tr>
        <w:trPr>
          <w:tblHeader/>
        </w:trP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JPM</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Citi</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BAC</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WFC</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USB</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Capital One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Card Receivables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$224.3B</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$171.1B</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$100.9B</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$56.5B</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$30.4B</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~$156.7B</w:t>
            </w:r>
          </w:p>
        </w:tc>
      </w:tr>
      <w:tr>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NCO Rate (Q4)</w:t>
            </w:r>
          </w:p>
        </w:tc>
        <w:tc>
          <w:tcPr>
            <w:tcW w:type="dxa" w:w="1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3.30%</w:t>
            </w:r>
          </w:p>
        </w:tc>
        <w:tc>
          <w:tcPr>
            <w:tcW w:type="dxa" w:w="1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3.55%/6.21%</w:t>
            </w:r>
          </w:p>
        </w:tc>
        <w:tc>
          <w:tcPr>
            <w:tcW w:type="dxa" w:w="1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3.79%</w:t>
            </w:r>
          </w:p>
        </w:tc>
        <w:tc>
          <w:tcPr>
            <w:tcW w:type="dxa" w:w="1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4.49%</w:t>
            </w:r>
          </w:p>
        </w:tc>
        <w:tc>
          <w:tcPr>
            <w:tcW w:type="dxa" w:w="1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4.28%</w:t>
            </w:r>
          </w:p>
        </w:tc>
        <w:tc>
          <w:tcPr>
            <w:tcW w:type="dxa" w:w="1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~6.15%</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Purchase Vol. (Q4)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$335.1B</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$160.6B</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$240.9B*</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$45.1B</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w:t>
            </w:r>
          </w:p>
        </w:tc>
      </w:tr>
      <w:tr>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Card Revenue Rate</w:t>
            </w:r>
          </w:p>
        </w:tc>
        <w:tc>
          <w:tcPr>
            <w:tcW w:type="dxa" w:w="1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10.47%</w:t>
            </w:r>
          </w:p>
        </w:tc>
        <w:tc>
          <w:tcPr>
            <w:tcW w:type="dxa" w:w="1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9.83%</w:t>
            </w:r>
          </w:p>
        </w:tc>
        <w:tc>
          <w:tcPr>
            <w:tcW w:type="dxa" w:w="1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~10%</w:t>
            </w:r>
          </w:p>
        </w:tc>
        <w:tc>
          <w:tcPr>
            <w:tcW w:type="dxa" w:w="1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12.53% yield</w:t>
            </w:r>
          </w:p>
        </w:tc>
        <w:tc>
          <w:tcPr>
            <w:tcW w:type="dxa" w:w="1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13.01% yield</w:t>
            </w:r>
          </w:p>
        </w:tc>
        <w:tc>
          <w:tcPr>
            <w:tcW w:type="dxa" w:w="1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7.11% NIM</w:t>
            </w:r>
          </w:p>
        </w:tc>
      </w:tr>
    </w:tbl>
    <w:p>
      <w:pPr>
        <w:spacing w:after="80" w:before="40"/>
      </w:pPr>
      <w:r>
        <w:rPr>
          <w:rFonts w:ascii="Arial" w:cs="Arial" w:eastAsia="Arial" w:hAnsi="Arial"/>
          <w:i/>
          <w:iCs/>
          <w:color w:val="555555"/>
          <w:sz w:val="20"/>
          <w:szCs w:val="20"/>
        </w:rPr>
        <w:t xml:space="preserve">* BAC figure combines credit and debit card spend. Citi NCO split: 3.55% Branded Cards / 6.21% Retail Services.</w:t>
      </w:r>
    </w:p>
    <w:p>
      <w:pPr>
        <w:spacing w:after="0" w:before="100"/>
      </w:pPr>
    </w:p>
    <w:p>
      <w:pPr>
        <w:pStyle w:val="Heading2"/>
        <w:spacing w:after="100" w:before="280"/>
      </w:pPr>
      <w:r>
        <w:rPr>
          <w:rFonts w:ascii="Arial" w:cs="Arial" w:eastAsia="Arial" w:hAnsi="Arial"/>
          <w:b/>
          <w:bCs/>
          <w:color w:val="2E75B6"/>
        </w:rPr>
        <w:t xml:space="preserve">Mortgage &amp; Auto Portfolios</w:t>
      </w:r>
    </w:p>
    <w:p>
      <w:pPr>
        <w:spacing w:after="80" w:before="60"/>
        <w:jc w:val="both"/>
      </w:pPr>
      <w:r>
        <w:rPr>
          <w:rFonts w:ascii="Arial" w:cs="Arial" w:eastAsia="Arial" w:hAnsi="Arial"/>
          <w:b w:val="false"/>
          <w:bCs w:val="false"/>
          <w:color w:val="1A1A1A"/>
          <w:sz w:val="22"/>
          <w:szCs w:val="22"/>
        </w:rPr>
        <w:t xml:space="preserve">Mortgage portfolios are running off across all six banks. JPMorgan held $247.4 billion in home lending loans (down 5% YoY), Bank of America approximately $228 billion (declining), and Wells Fargo $207 billion (down 4%). Servicing portfolios remain substantial — JPMorgan services $648 billion in third-party mortgage loans and Wells Fargo services $487 billion — but both are contracting as non-banks aggressively acquire MSR portfolios.</w:t>
      </w:r>
    </w:p>
    <w:p>
      <w:pPr>
        <w:spacing w:after="80" w:before="60"/>
        <w:jc w:val="both"/>
      </w:pPr>
      <w:r>
        <w:rPr>
          <w:rFonts w:ascii="Arial" w:cs="Arial" w:eastAsia="Arial" w:hAnsi="Arial"/>
          <w:b w:val="false"/>
          <w:bCs w:val="false"/>
          <w:color w:val="1A1A1A"/>
          <w:sz w:val="22"/>
          <w:szCs w:val="22"/>
        </w:rPr>
        <w:t xml:space="preserve">In auto lending, JPMorgan leads with $85.3 billion in average balances and ~$10.6 billion in quarterly originations, while Wells Fargo's auto portfolio shrank 13% to $45 billion as the bank selectively pulled back before reaccelerating originations (+52% in Q4).</w:t>
      </w:r>
    </w:p>
    <w:p>
      <w:r>
        <w:br w:type="page"/>
      </w:r>
    </w:p>
    <w:p>
      <w:pPr>
        <w:pStyle w:val="Heading1"/>
        <w:pBdr>
          <w:bottom w:val="single" w:color="2E75B6" w:sz="8" w:space="4"/>
        </w:pBdr>
        <w:spacing w:after="120" w:before="360"/>
      </w:pPr>
      <w:r>
        <w:rPr>
          <w:rFonts w:ascii="Arial" w:cs="Arial" w:eastAsia="Arial" w:hAnsi="Arial"/>
          <w:b/>
          <w:bCs/>
          <w:color w:val="1F3864"/>
        </w:rPr>
        <w:t xml:space="preserve">5. Product-by-Product Economics</w:t>
      </w:r>
    </w:p>
    <w:p>
      <w:pPr>
        <w:pStyle w:val="Heading3"/>
        <w:spacing w:after="80" w:before="200"/>
      </w:pPr>
      <w:r>
        <w:rPr>
          <w:rFonts w:ascii="Arial" w:cs="Arial" w:eastAsia="Arial" w:hAnsi="Arial"/>
          <w:b/>
          <w:bCs/>
          <w:color w:val="17A589"/>
        </w:rPr>
        <w:t xml:space="preserve">5.1 Credit Cards: The $310B+ Revenue Machine</w:t>
      </w:r>
    </w:p>
    <w:p>
      <w:pPr>
        <w:spacing w:after="80" w:before="60"/>
        <w:jc w:val="both"/>
      </w:pPr>
      <w:r>
        <w:rPr>
          <w:rFonts w:ascii="Arial" w:cs="Arial" w:eastAsia="Arial" w:hAnsi="Arial"/>
          <w:b w:val="false"/>
          <w:bCs w:val="false"/>
          <w:color w:val="1A1A1A"/>
          <w:sz w:val="22"/>
          <w:szCs w:val="22"/>
        </w:rPr>
        <w:t xml:space="preserve">Credit cards are the crown jewel of consumer banking for three reinforcing reasons: extraordinarily high yields (average APR of 22.8% on interest-bearing accounts, producing NIM of ~10% after funding costs), dual revenue streams (interest income from the ~50% of cardholders who revolve plus interchange income from all transactions), and immediate rate repricing (variable-rate product that passes through Fed rate changes within one billing cycle).</w:t>
      </w:r>
    </w:p>
    <w:p>
      <w:pPr>
        <w:spacing w:after="80" w:before="60"/>
        <w:jc w:val="both"/>
      </w:pPr>
      <w:r>
        <w:rPr>
          <w:rFonts w:ascii="Arial" w:cs="Arial" w:eastAsia="Arial" w:hAnsi="Arial"/>
          <w:b w:val="false"/>
          <w:bCs w:val="false"/>
          <w:color w:val="1A1A1A"/>
          <w:sz w:val="22"/>
          <w:szCs w:val="22"/>
        </w:rPr>
        <w:t xml:space="preserve">The top 10 issuers hold 83% of total outstanding balances. JPMorgan Chase leads with 17.27% share by receivables, followed by American Express, Citigroup, Capital One, and Bank of America. The Capital One–Discover merger (~$35 billion all-stock deal) creates the largest issuer by outstanding balances and gives Capital One its own payment network — a structural advantage that would exempt it from proposed interchange routing mandates.</w:t>
      </w:r>
    </w:p>
    <w:p>
      <w:pPr>
        <w:spacing w:after="80" w:before="60"/>
        <w:jc w:val="both"/>
      </w:pPr>
      <w:r>
        <w:rPr>
          <w:rFonts w:ascii="Arial" w:cs="Arial" w:eastAsia="Arial" w:hAnsi="Arial"/>
          <w:b w:val="false"/>
          <w:bCs w:val="false"/>
          <w:color w:val="1A1A1A"/>
          <w:sz w:val="22"/>
          <w:szCs w:val="22"/>
        </w:rPr>
        <w:t xml:space="preserve">Card charge-offs peaked at 4.69% in Q3 2024 (the highest level since 2011) before moderating to 4.58% in Q4, as post-pandemic vintage seasoning played through. JPMorgan's card NCO rate of 3.30% meaningfully outperformed the industry, reflecting its prime-heavy portfolio mix.</w:t>
      </w:r>
    </w:p>
    <w:p>
      <w:pPr>
        <w:pBdr>
          <w:left w:val="single" w:color="D4820A" w:sz="12" w:space="8"/>
        </w:pBdr>
        <w:spacing w:after="80" w:before="80"/>
        <w:ind w:left="360"/>
      </w:pPr>
      <w:r>
        <w:rPr>
          <w:rFonts w:ascii="Arial" w:cs="Arial" w:eastAsia="Arial" w:hAnsi="Arial"/>
          <w:b/>
          <w:bCs/>
          <w:color w:val="D4820A"/>
          <w:sz w:val="22"/>
          <w:szCs w:val="22"/>
        </w:rPr>
        <w:t xml:space="preserve">Key Risk:  </w:t>
      </w:r>
      <w:r>
        <w:rPr>
          <w:rFonts w:ascii="Arial" w:cs="Arial" w:eastAsia="Arial" w:hAnsi="Arial"/>
          <w:color w:val="1A1A1A"/>
          <w:sz w:val="22"/>
          <w:szCs w:val="22"/>
        </w:rPr>
        <w:t xml:space="preserve">Interchange revenue faces structural headwinds. The April 2024 Visa/Mastercard antitrust settlement would reduce interchange by 10 basis points over five years and introduce a 1.25% cap on standard cards. The Credit Card Competition Act of 2026 could reduce interchange revenue by up to 50% for covered issuers if enacted.</w:t>
      </w:r>
    </w:p>
    <w:p>
      <w:pPr>
        <w:spacing w:after="0" w:before="80"/>
      </w:pPr>
    </w:p>
    <w:p>
      <w:pPr>
        <w:pStyle w:val="Heading3"/>
        <w:spacing w:after="80" w:before="200"/>
      </w:pPr>
      <w:r>
        <w:rPr>
          <w:rFonts w:ascii="Arial" w:cs="Arial" w:eastAsia="Arial" w:hAnsi="Arial"/>
          <w:b/>
          <w:bCs/>
          <w:color w:val="17A589"/>
        </w:rPr>
        <w:t xml:space="preserve">5.2 Mortgages: Origination Barely Viable, Servicing Is the Value</w:t>
      </w:r>
    </w:p>
    <w:p>
      <w:pPr>
        <w:spacing w:after="80" w:before="60"/>
        <w:jc w:val="both"/>
      </w:pPr>
      <w:r>
        <w:rPr>
          <w:rFonts w:ascii="Arial" w:cs="Arial" w:eastAsia="Arial" w:hAnsi="Arial"/>
          <w:b w:val="false"/>
          <w:bCs w:val="false"/>
          <w:color w:val="1A1A1A"/>
          <w:sz w:val="22"/>
          <w:szCs w:val="22"/>
        </w:rPr>
        <w:t xml:space="preserve">Total mortgage originations reached approximately $1.79 trillion in 2024, a modest recovery from the $1.50 trillion trough in 2023 but still a fraction of the $4.3–4.5 trillion produced in 2020–2021. The refinance channel remains effectively closed — refi share was just 16–21% of originations in 2024 versus 60–65% in 2020–2021 — as the average outstanding mortgage rate of approximately 3.5–4.0% sits well below the 2024 origination rate of 6.72%.</w:t>
      </w:r>
    </w:p>
    <w:p>
      <w:pPr>
        <w:spacing w:after="80" w:before="60"/>
        <w:jc w:val="both"/>
      </w:pPr>
      <w:r>
        <w:rPr>
          <w:rFonts w:ascii="Arial" w:cs="Arial" w:eastAsia="Arial" w:hAnsi="Arial"/>
          <w:b w:val="false"/>
          <w:bCs w:val="false"/>
          <w:color w:val="1A1A1A"/>
          <w:sz w:val="22"/>
          <w:szCs w:val="22"/>
        </w:rPr>
        <w:t xml:space="preserve">The industry's gain-on-sale margin compressed to approximately 118 basis points in 2024 (per UWM's Q3 disclosure), down from 400–450 basis points during the 2020 boom. The MBA's cost-to-originate study showed total production expenses of $11,076 per loan against revenues of $11,520 per loan — yielding a razor-thin $443 per loan average profit. Only 56% of firms were profitable on production alone; servicing income lifted the figure to 68%.</w:t>
      </w:r>
    </w:p>
    <w:p>
      <w:pPr>
        <w:spacing w:after="80" w:before="60"/>
        <w:jc w:val="both"/>
      </w:pPr>
      <w:r>
        <w:rPr>
          <w:rFonts w:ascii="Arial" w:cs="Arial" w:eastAsia="Arial" w:hAnsi="Arial"/>
          <w:b w:val="false"/>
          <w:bCs w:val="false"/>
          <w:color w:val="1A1A1A"/>
          <w:sz w:val="22"/>
          <w:szCs w:val="22"/>
        </w:rPr>
        <w:t xml:space="preserve">Non-banks now dominate origination. NCRC's 2024 HMDA analysis shows non-bank share at 53.3% of all mortgage-related originations, with banks at 30.1% and credit unions at 16.6%. United Wholesale Mortgage led all originators with $137.8 billion in 2024 volume, followed by Rocket Mortgage at $92.2 billion. Among banks, only Chase ($37.5B), Bank of America ($29.5B), and U.S. Bank ($26.0B) ranked in the top 10.</w:t>
      </w:r>
    </w:p>
    <w:p>
      <w:pPr>
        <w:spacing w:after="80" w:before="60"/>
        <w:jc w:val="both"/>
      </w:pPr>
      <w:r>
        <w:rPr>
          <w:rFonts w:ascii="Arial" w:cs="Arial" w:eastAsia="Arial" w:hAnsi="Arial"/>
          <w:b w:val="false"/>
          <w:bCs w:val="false"/>
          <w:color w:val="1A1A1A"/>
          <w:sz w:val="22"/>
          <w:szCs w:val="22"/>
        </w:rPr>
        <w:t xml:space="preserve">Mortgage servicing has become the primary value driver. Mr. Cooper became the #1 servicer in 2024 with over $1.1 trillion in unpaid principal balance, surpassing JPMorgan. Among the top 10 servicers, non-banks now hold 55% of servicing volume by UPB. Rocket Mortgage's acquisition of Mr. Cooper and Redfin signals the creation of an integrated origination-servicing-real estate ecosystem that traditional banks will struggle to replicate.</w:t>
      </w:r>
    </w:p>
    <w:p>
      <w:pPr>
        <w:spacing w:after="0" w:before="80"/>
      </w:pPr>
    </w:p>
    <w:p>
      <w:pPr>
        <w:pStyle w:val="Heading3"/>
        <w:spacing w:after="80" w:before="200"/>
      </w:pPr>
      <w:r>
        <w:rPr>
          <w:rFonts w:ascii="Arial" w:cs="Arial" w:eastAsia="Arial" w:hAnsi="Arial"/>
          <w:b/>
          <w:bCs/>
          <w:color w:val="17A589"/>
        </w:rPr>
        <w:t xml:space="preserve">5.3 Auto: Fragmented, No Structural Bank Advantage</w:t>
      </w:r>
    </w:p>
    <w:p>
      <w:pPr>
        <w:spacing w:after="80" w:before="60"/>
        <w:jc w:val="both"/>
      </w:pPr>
      <w:r>
        <w:rPr>
          <w:rFonts w:ascii="Arial" w:cs="Arial" w:eastAsia="Arial" w:hAnsi="Arial"/>
          <w:b w:val="false"/>
          <w:bCs w:val="false"/>
          <w:color w:val="1A1A1A"/>
          <w:sz w:val="22"/>
          <w:szCs w:val="22"/>
        </w:rPr>
        <w:t xml:space="preserve">Auto loans outstanding reached $1.66 trillion with approximately $704 billion in originations during 2024. The market is unusually fragmented: captive finance companies (Toyota Motor Credit, GM Financial, Ford Motor Credit) hold 31.4% share, banks 25.0%, credit unions 20.1%, and other lenders 23.5%. Captives dominate new-vehicle financing at 61.8% share — largely through OEM-subsidized rates (0.0–1.9% APR promotions) that banks cannot match.</w:t>
      </w:r>
    </w:p>
    <w:p>
      <w:pPr>
        <w:spacing w:after="80" w:before="60"/>
        <w:jc w:val="both"/>
      </w:pPr>
      <w:r>
        <w:rPr>
          <w:rFonts w:ascii="Arial" w:cs="Arial" w:eastAsia="Arial" w:hAnsi="Arial"/>
          <w:b w:val="false"/>
          <w:bCs w:val="false"/>
          <w:color w:val="1A1A1A"/>
          <w:sz w:val="22"/>
          <w:szCs w:val="22"/>
        </w:rPr>
        <w:t xml:space="preserve">Auto delinquency rates are elevated, with 90+ day serious delinquency reaching approximately 4.6% at year-end 2024 per the NY Fed. Subprime auto borrowers (30+ DPD) reached 15.78% delinquency in Q3 2024, the highest since tracking began in 2000. Average new-vehicle APRs reached 6.35% and used-vehicle APRs 11.62% in Q4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800"/>
        <w:gridCol w:w="37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Lender Type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Market Share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New Vehicle Share</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Competitive Advantage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Captive Finance (OEM)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31.4%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61.8%</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OEM rate subsidies; dealer relationships</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Banks</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25.0%</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~15%</w:t>
            </w:r>
          </w:p>
        </w:tc>
        <w:tc>
          <w:tcPr>
            <w:tcW w:type="dxa" w:w="3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Cross-sell; balance sheet scale for prime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Credit Unions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Rate (50–100bps below banks); member loyalty</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Other (fintech/finance co.)</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23.5%</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~11%</w:t>
            </w:r>
          </w:p>
        </w:tc>
        <w:tc>
          <w:tcPr>
            <w:tcW w:type="dxa" w:w="3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Near-prime/subprime specialization</w:t>
            </w:r>
          </w:p>
        </w:tc>
      </w:tr>
    </w:tbl>
    <w:p>
      <w:pPr>
        <w:spacing w:after="0" w:before="80"/>
      </w:pPr>
    </w:p>
    <w:p>
      <w:pPr>
        <w:pStyle w:val="Heading3"/>
        <w:spacing w:after="80" w:before="200"/>
      </w:pPr>
      <w:r>
        <w:rPr>
          <w:rFonts w:ascii="Arial" w:cs="Arial" w:eastAsia="Arial" w:hAnsi="Arial"/>
          <w:b/>
          <w:bCs/>
          <w:color w:val="17A589"/>
        </w:rPr>
        <w:t xml:space="preserve">5.4 HELOC: The Highest-Conviction Growth Opportunity for Banks</w:t>
      </w:r>
    </w:p>
    <w:p>
      <w:pPr>
        <w:spacing w:after="80" w:before="60"/>
        <w:jc w:val="both"/>
      </w:pPr>
      <w:r>
        <w:rPr>
          <w:rFonts w:ascii="Arial" w:cs="Arial" w:eastAsia="Arial" w:hAnsi="Arial"/>
          <w:b w:val="false"/>
          <w:bCs w:val="false"/>
          <w:color w:val="1A1A1A"/>
          <w:sz w:val="22"/>
          <w:szCs w:val="22"/>
        </w:rPr>
        <w:t xml:space="preserve">HELOC balances outstanding reached $396 billion in Q4 2024, growing 10%+ year-over-year — the 11th consecutive quarterly increase after a decade of post-crisis decline. Originations totaled approximately $201 billion in 2024 (ATTOM/HELN estimate). The growth thesis is compelling: total tappable home equity approaches $12 trillion (ICE Mortgage Monitor), with average tappable equity per borrower of approximately $299,000. The mortgage rate lock-in effect (borrowers with sub-4% first mortgages refusing to refinance) makes HELOCs the rational way to access equity.</w:t>
      </w:r>
    </w:p>
    <w:p>
      <w:pPr>
        <w:spacing w:after="80" w:before="60"/>
        <w:jc w:val="both"/>
      </w:pPr>
      <w:r>
        <w:rPr>
          <w:rFonts w:ascii="Arial" w:cs="Arial" w:eastAsia="Arial" w:hAnsi="Arial"/>
          <w:b w:val="false"/>
          <w:bCs w:val="false"/>
          <w:color w:val="1A1A1A"/>
          <w:sz w:val="22"/>
          <w:szCs w:val="22"/>
        </w:rPr>
        <w:t xml:space="preserve">HELOC credit quality is exceptional. The average FICO score for new HELOC borrowers was 771 in 2024 (up from 742 in 2023), average combined loan-to-value at closing was 62%, and utilization rates ran at approximately 37–42% of credit lines. Charge-off rates on HELOCs are near zero — residential real estate charge-offs at commercial banks run 0.01–0.05%. Banks are structurally advantaged in HELOC lending because of their first-lien position knowledge, deposit cross-sell relationships, branch networks, and regulatory familiarity.</w:t>
      </w:r>
    </w:p>
    <w:p>
      <w:pPr>
        <w:pBdr>
          <w:left w:val="single" w:color="17A589" w:sz="12" w:space="8"/>
        </w:pBdr>
        <w:spacing w:after="80" w:before="80"/>
        <w:ind w:left="360"/>
      </w:pPr>
      <w:r>
        <w:rPr>
          <w:rFonts w:ascii="Arial" w:cs="Arial" w:eastAsia="Arial" w:hAnsi="Arial"/>
          <w:b/>
          <w:bCs/>
          <w:color w:val="17A589"/>
          <w:sz w:val="22"/>
          <w:szCs w:val="22"/>
        </w:rPr>
        <w:t xml:space="preserve">Growth Outlook:  </w:t>
      </w:r>
      <w:r>
        <w:rPr>
          <w:rFonts w:ascii="Arial" w:cs="Arial" w:eastAsia="Arial" w:hAnsi="Arial"/>
          <w:color w:val="1A1A1A"/>
          <w:sz w:val="22"/>
          <w:szCs w:val="22"/>
        </w:rPr>
        <w:t xml:space="preserve">MBA research confirms lenders expect HELOC outstanding to grow approximately 9.5–10% annually through 2026 — the fastest-growing segment in consumer lending. Non-bank entrants are emerging (17 HELOC securitizations in 2024 for $5.4 billion), but banks retain the dominant position.</w:t>
      </w:r>
    </w:p>
    <w:p>
      <w:pPr>
        <w:spacing w:after="0" w:before="80"/>
      </w:pPr>
    </w:p>
    <w:p>
      <w:pPr>
        <w:pStyle w:val="Heading3"/>
        <w:spacing w:after="80" w:before="200"/>
      </w:pPr>
      <w:r>
        <w:rPr>
          <w:rFonts w:ascii="Arial" w:cs="Arial" w:eastAsia="Arial" w:hAnsi="Arial"/>
          <w:b/>
          <w:bCs/>
          <w:color w:val="17A589"/>
        </w:rPr>
        <w:t xml:space="preserve">5.5 Personal Loans: Banks Have Ceded the Market to Fintechs</w:t>
      </w:r>
    </w:p>
    <w:p>
      <w:pPr>
        <w:spacing w:after="80" w:before="60"/>
        <w:jc w:val="both"/>
      </w:pPr>
      <w:r>
        <w:rPr>
          <w:rFonts w:ascii="Arial" w:cs="Arial" w:eastAsia="Arial" w:hAnsi="Arial"/>
          <w:b w:val="false"/>
          <w:bCs w:val="false"/>
          <w:color w:val="1A1A1A"/>
          <w:sz w:val="22"/>
          <w:szCs w:val="22"/>
        </w:rPr>
        <w:t xml:space="preserve">Personal loan balances totaled approximately $249 billion in 2024, with an estimated 20.8 million originations. From less than 1% share in 2010, fintech lenders now service more unsecured personal loan debt than banks and credit unions combined (TransUnion, 2025). SoFi alone originated a record $5.3 billion in personal loans in Q4 2024 (+63% YoY). Fintechs achieve 30–50% lower origination costs through digital-first platforms.</w:t>
      </w:r>
    </w:p>
    <w:p>
      <w:pPr>
        <w:spacing w:after="80" w:before="60"/>
        <w:jc w:val="both"/>
      </w:pPr>
      <w:r>
        <w:rPr>
          <w:rFonts w:ascii="Arial" w:cs="Arial" w:eastAsia="Arial" w:hAnsi="Arial"/>
          <w:b w:val="false"/>
          <w:bCs w:val="false"/>
          <w:color w:val="1A1A1A"/>
          <w:sz w:val="22"/>
          <w:szCs w:val="22"/>
        </w:rPr>
        <w:t xml:space="preserve">Most mega-banks have exited or scaled back personal lending. Goldman Sachs' Marcus division — the highest-profile bank attempt to enter — lost over $3 billion since December 2020 before halting new originations in 2023. Bank of America and JPMorgan Chase do not offer personal loans. Wells Fargo offers them only to existing customers. The rationale for bank withdrawal: CECL accounting punishes growth in unsecured portfolios, losses run 3–5%, and fintechs have structural cost advantages.</w:t>
      </w:r>
    </w:p>
    <w:p>
      <w:pPr>
        <w:spacing w:after="0" w:before="80"/>
      </w:pPr>
    </w:p>
    <w:p>
      <w:pPr>
        <w:pStyle w:val="Heading3"/>
        <w:spacing w:after="80" w:before="200"/>
      </w:pPr>
      <w:r>
        <w:rPr>
          <w:rFonts w:ascii="Arial" w:cs="Arial" w:eastAsia="Arial" w:hAnsi="Arial"/>
          <w:b/>
          <w:bCs/>
          <w:color w:val="17A589"/>
        </w:rPr>
        <w:t xml:space="preserve">5.6 BNPL: Growing but Still Marginal at ~1% of Card Volume</w:t>
      </w:r>
    </w:p>
    <w:p>
      <w:pPr>
        <w:spacing w:after="80" w:before="60"/>
        <w:jc w:val="both"/>
      </w:pPr>
      <w:r>
        <w:rPr>
          <w:rFonts w:ascii="Arial" w:cs="Arial" w:eastAsia="Arial" w:hAnsi="Arial"/>
          <w:b w:val="false"/>
          <w:bCs w:val="false"/>
          <w:color w:val="1A1A1A"/>
          <w:sz w:val="22"/>
          <w:szCs w:val="22"/>
        </w:rPr>
        <w:t xml:space="preserve">Buy Now, Pay Later generated approximately $109 billion in U.S. gross merchandise volume in 2024, up 14.8% year-over-year. Klarna led globally ($105 billion GMV), followed by PayPal Pay Later ($33 billion) and Affirm ($31 billion). Klarna achieved its first full-year profit in 2024 ($21 million net income), driven largely by AI-powered cost reduction (an AI customer service agent handled 2.3 million conversations, equivalent to 700 full-time employees). BNPL's charge-off rate declined to 1.83% in 2023.</w:t>
      </w:r>
    </w:p>
    <w:p>
      <w:pPr>
        <w:spacing w:after="80" w:before="60"/>
        <w:jc w:val="both"/>
      </w:pPr>
      <w:r>
        <w:rPr>
          <w:rFonts w:ascii="Arial" w:cs="Arial" w:eastAsia="Arial" w:hAnsi="Arial"/>
          <w:b w:val="false"/>
          <w:bCs w:val="false"/>
          <w:color w:val="1A1A1A"/>
          <w:sz w:val="22"/>
          <w:szCs w:val="22"/>
        </w:rPr>
        <w:t xml:space="preserve">For banks, BNPL represents a complementary threat rather than an existential one — it captures roughly 1% of total credit card spending volume. Banks are responding with card-linked installment features: Chase My Plan, Citi Flex Pay, and Amex Plan It. Apple discontinued its proprietary Pay Later service in June 2024, instead enabling bank-issued installments within Apple Pay, effectively ceding the BNPL infrastructure to card issuers.</w:t>
      </w:r>
    </w:p>
    <w:p>
      <w:r>
        <w:br w:type="page"/>
      </w:r>
    </w:p>
    <w:p>
      <w:pPr>
        <w:pStyle w:val="Heading1"/>
        <w:pBdr>
          <w:bottom w:val="single" w:color="2E75B6" w:sz="8" w:space="4"/>
        </w:pBdr>
        <w:spacing w:after="120" w:before="360"/>
      </w:pPr>
      <w:r>
        <w:rPr>
          <w:rFonts w:ascii="Arial" w:cs="Arial" w:eastAsia="Arial" w:hAnsi="Arial"/>
          <w:b/>
          <w:bCs/>
          <w:color w:val="1F3864"/>
        </w:rPr>
        <w:t xml:space="preserve">6. How Market Economics Transformed from 2020 to 2024</w:t>
      </w:r>
    </w:p>
    <w:p>
      <w:pPr>
        <w:spacing w:after="80" w:before="60"/>
        <w:jc w:val="both"/>
      </w:pPr>
      <w:r>
        <w:rPr>
          <w:rFonts w:ascii="Arial" w:cs="Arial" w:eastAsia="Arial" w:hAnsi="Arial"/>
          <w:b w:val="false"/>
          <w:bCs w:val="false"/>
          <w:color w:val="1A1A1A"/>
          <w:sz w:val="22"/>
          <w:szCs w:val="22"/>
        </w:rPr>
        <w:t xml:space="preserve">The 2020–2024 period produced extraordinary volatility in consumer lending economics, driven by pandemic stimulus, the fastest rate-hiking cycle in four decades, and subsequent credit normalization.</w:t>
      </w:r>
    </w:p>
    <w:p>
      <w:pPr>
        <w:spacing w:after="0" w:before="80"/>
      </w:pPr>
    </w:p>
    <w:p>
      <w:pPr>
        <w:pStyle w:val="Heading2"/>
        <w:spacing w:after="100" w:before="280"/>
      </w:pPr>
      <w:r>
        <w:rPr>
          <w:rFonts w:ascii="Arial" w:cs="Arial" w:eastAsia="Arial" w:hAnsi="Arial"/>
          <w:b/>
          <w:bCs/>
          <w:color w:val="2E75B6"/>
        </w:rPr>
        <w:t xml:space="preserve">Charge-Off Rates by Product (Q4 each year, all commercial banks, seasonally adjusted)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Product</w:t>
            </w:r>
          </w:p>
        </w:tc>
        <w:tc>
          <w:tcPr>
            <w:tcW w:type="dxa" w:w="139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2020</w:t>
            </w:r>
          </w:p>
        </w:tc>
        <w:tc>
          <w:tcPr>
            <w:tcW w:type="dxa" w:w="139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2021</w:t>
            </w:r>
          </w:p>
        </w:tc>
        <w:tc>
          <w:tcPr>
            <w:tcW w:type="dxa" w:w="139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2022</w:t>
            </w:r>
          </w:p>
        </w:tc>
        <w:tc>
          <w:tcPr>
            <w:tcW w:type="dxa" w:w="139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2023</w:t>
            </w:r>
          </w:p>
        </w:tc>
        <w:tc>
          <w:tcPr>
            <w:tcW w:type="dxa" w:w="139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2024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Credit Cards</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2.68%</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1.63%</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2.51%</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4.19%</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4.58%</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All Consumer</w:t>
            </w:r>
          </w:p>
        </w:tc>
        <w:tc>
          <w:tcPr>
            <w:tcW w:type="dxa" w:w="139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1.50%</w:t>
            </w:r>
          </w:p>
        </w:tc>
        <w:tc>
          <w:tcPr>
            <w:tcW w:type="dxa" w:w="139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0.91%</w:t>
            </w:r>
          </w:p>
        </w:tc>
        <w:tc>
          <w:tcPr>
            <w:tcW w:type="dxa" w:w="139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1.63%</w:t>
            </w:r>
          </w:p>
        </w:tc>
        <w:tc>
          <w:tcPr>
            <w:tcW w:type="dxa" w:w="139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2.64%</w:t>
            </w:r>
          </w:p>
        </w:tc>
        <w:tc>
          <w:tcPr>
            <w:tcW w:type="dxa" w:w="139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2.98%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Other Consumer</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0.55%</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0.36%</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0.87%</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1.15%</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1.19%</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Total Loans</w:t>
            </w:r>
          </w:p>
        </w:tc>
        <w:tc>
          <w:tcPr>
            <w:tcW w:type="dxa" w:w="139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0.39%</w:t>
            </w:r>
          </w:p>
        </w:tc>
        <w:tc>
          <w:tcPr>
            <w:tcW w:type="dxa" w:w="139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0.19%</w:t>
            </w:r>
          </w:p>
        </w:tc>
        <w:tc>
          <w:tcPr>
            <w:tcW w:type="dxa" w:w="139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0.33%</w:t>
            </w:r>
          </w:p>
        </w:tc>
        <w:tc>
          <w:tcPr>
            <w:tcW w:type="dxa" w:w="139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0.60%</w:t>
            </w:r>
          </w:p>
        </w:tc>
        <w:tc>
          <w:tcPr>
            <w:tcW w:type="dxa" w:w="139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0.65%</w:t>
            </w:r>
          </w:p>
        </w:tc>
      </w:tr>
    </w:tbl>
    <w:p>
      <w:pPr>
        <w:spacing w:after="80" w:before="40"/>
      </w:pPr>
      <w:r>
        <w:rPr>
          <w:rFonts w:ascii="Arial" w:cs="Arial" w:eastAsia="Arial" w:hAnsi="Arial"/>
          <w:i/>
          <w:iCs/>
          <w:color w:val="555555"/>
          <w:sz w:val="20"/>
          <w:szCs w:val="20"/>
        </w:rPr>
        <w:t xml:space="preserve">Source: Federal Reserve Board, Charge-Off and Delinquency Rates on Loans and Leases at Commercial Banks.</w:t>
      </w:r>
    </w:p>
    <w:p>
      <w:pPr>
        <w:spacing w:after="0" w:before="100"/>
      </w:pPr>
    </w:p>
    <w:p>
      <w:pPr>
        <w:pStyle w:val="Heading2"/>
        <w:spacing w:after="100" w:before="280"/>
      </w:pPr>
      <w:r>
        <w:rPr>
          <w:rFonts w:ascii="Arial" w:cs="Arial" w:eastAsia="Arial" w:hAnsi="Arial"/>
          <w:b/>
          <w:bCs/>
          <w:color w:val="2E75B6"/>
        </w:rPr>
        <w:t xml:space="preserve">FDIC Industry Metrics, 2020–2024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39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2020</w:t>
            </w:r>
          </w:p>
        </w:tc>
        <w:tc>
          <w:tcPr>
            <w:tcW w:type="dxa" w:w="139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2021</w:t>
            </w:r>
          </w:p>
        </w:tc>
        <w:tc>
          <w:tcPr>
            <w:tcW w:type="dxa" w:w="139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2022</w:t>
            </w:r>
          </w:p>
        </w:tc>
        <w:tc>
          <w:tcPr>
            <w:tcW w:type="dxa" w:w="139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2023</w:t>
            </w:r>
          </w:p>
        </w:tc>
        <w:tc>
          <w:tcPr>
            <w:tcW w:type="dxa" w:w="139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2024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Industry ROA</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0.72%</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1.23%</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1.11%</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1.09%</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1.12%</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Net Interest Margin</w:t>
            </w:r>
          </w:p>
        </w:tc>
        <w:tc>
          <w:tcPr>
            <w:tcW w:type="dxa" w:w="139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2.82%</w:t>
            </w:r>
          </w:p>
        </w:tc>
        <w:tc>
          <w:tcPr>
            <w:tcW w:type="dxa" w:w="139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2.54%</w:t>
            </w:r>
          </w:p>
        </w:tc>
        <w:tc>
          <w:tcPr>
            <w:tcW w:type="dxa" w:w="139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2.95%</w:t>
            </w:r>
          </w:p>
        </w:tc>
        <w:tc>
          <w:tcPr>
            <w:tcW w:type="dxa" w:w="139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3.30%</w:t>
            </w:r>
          </w:p>
        </w:tc>
        <w:tc>
          <w:tcPr>
            <w:tcW w:type="dxa" w:w="139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3.22%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Net Charge-offs/Loans</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0.50%</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0.25%</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0.27%</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0.52%</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0.68%</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Credit Card NCO (FDIC)</w:t>
            </w:r>
          </w:p>
        </w:tc>
        <w:tc>
          <w:tcPr>
            <w:tcW w:type="dxa" w:w="139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4.57%</w:t>
            </w:r>
          </w:p>
        </w:tc>
      </w:tr>
    </w:tbl>
    <w:p>
      <w:pPr>
        <w:spacing w:after="0" w:before="120"/>
      </w:pPr>
    </w:p>
    <w:p>
      <w:pPr>
        <w:pStyle w:val="Heading2"/>
        <w:spacing w:after="100" w:before="280"/>
      </w:pPr>
      <w:r>
        <w:rPr>
          <w:rFonts w:ascii="Arial" w:cs="Arial" w:eastAsia="Arial" w:hAnsi="Arial"/>
          <w:b/>
          <w:bCs/>
          <w:color w:val="2E75B6"/>
        </w:rPr>
        <w:t xml:space="preserve">Three Phases of Volatility</w:t>
      </w:r>
    </w:p>
    <w:p>
      <w:pPr>
        <w:pStyle w:val="Heading3"/>
        <w:spacing w:after="80" w:before="200"/>
      </w:pPr>
      <w:r>
        <w:rPr>
          <w:rFonts w:ascii="Arial" w:cs="Arial" w:eastAsia="Arial" w:hAnsi="Arial"/>
          <w:b/>
          <w:bCs/>
          <w:color w:val="17A589"/>
        </w:rPr>
        <w:t xml:space="preserve">Phase 1 (2020–2021): Pandemic Windfall</w:t>
      </w:r>
    </w:p>
    <w:p>
      <w:pPr>
        <w:spacing w:after="80" w:before="60"/>
        <w:jc w:val="both"/>
      </w:pPr>
      <w:r>
        <w:rPr>
          <w:rFonts w:ascii="Arial" w:cs="Arial" w:eastAsia="Arial" w:hAnsi="Arial"/>
          <w:b w:val="false"/>
          <w:bCs w:val="false"/>
          <w:color w:val="1A1A1A"/>
          <w:sz w:val="22"/>
          <w:szCs w:val="22"/>
        </w:rPr>
        <w:t xml:space="preserve">Mortgage originations surged to $4.3–4.5 trillion annually on sub-3% rates, producing record gain-on-sale margins of 400+ basis points. Credit card balances declined 17% as stimulus payments fueled mass deleveraging. Card charge-offs fell to an all-time low of 1.63% by Q4 2021, pushing card bank ROA to 6.93%. Consumer lending was extraordinarily profitable across every dimension.</w:t>
      </w:r>
    </w:p>
    <w:p>
      <w:pPr>
        <w:pStyle w:val="Heading3"/>
        <w:spacing w:after="80" w:before="200"/>
      </w:pPr>
      <w:r>
        <w:rPr>
          <w:rFonts w:ascii="Arial" w:cs="Arial" w:eastAsia="Arial" w:hAnsi="Arial"/>
          <w:b/>
          <w:bCs/>
          <w:color w:val="17A589"/>
        </w:rPr>
        <w:t xml:space="preserve">Phase 2 (2022–2023): Rate Shock</w:t>
      </w:r>
    </w:p>
    <w:p>
      <w:pPr>
        <w:spacing w:after="80" w:before="60"/>
        <w:jc w:val="both"/>
      </w:pPr>
      <w:r>
        <w:rPr>
          <w:rFonts w:ascii="Arial" w:cs="Arial" w:eastAsia="Arial" w:hAnsi="Arial"/>
          <w:b w:val="false"/>
          <w:bCs w:val="false"/>
          <w:color w:val="1A1A1A"/>
          <w:sz w:val="22"/>
          <w:szCs w:val="22"/>
        </w:rPr>
        <w:t xml:space="preserve">The Fed raised rates 525 basis points. Mortgage originations collapsed by 60%, gain-on-sale margins compressed below 200 basis points, and the average independent mortgage bank lost $1,056 per loan in 2023. Card balances surged as consumers resumed revolving — balances grew from $770 billion (Q1 2021 trough) past $1 trillion by late 2023. Charge-offs normalized rapidly: card NCOs rose from 1.63% to 4.19% in just eight quarters. Bank deposit costs increased sharply, compressing NIMs from the 2023 peak of 3.30%.</w:t>
      </w:r>
    </w:p>
    <w:p>
      <w:pPr>
        <w:pStyle w:val="Heading3"/>
        <w:spacing w:after="80" w:before="200"/>
      </w:pPr>
      <w:r>
        <w:rPr>
          <w:rFonts w:ascii="Arial" w:cs="Arial" w:eastAsia="Arial" w:hAnsi="Arial"/>
          <w:b/>
          <w:bCs/>
          <w:color w:val="17A589"/>
        </w:rPr>
        <w:t xml:space="preserve">Phase 3 (2024): Stabilization</w:t>
      </w:r>
    </w:p>
    <w:p>
      <w:pPr>
        <w:spacing w:after="80" w:before="60"/>
        <w:jc w:val="both"/>
      </w:pPr>
      <w:r>
        <w:rPr>
          <w:rFonts w:ascii="Arial" w:cs="Arial" w:eastAsia="Arial" w:hAnsi="Arial"/>
          <w:b w:val="false"/>
          <w:bCs w:val="false"/>
          <w:color w:val="1A1A1A"/>
          <w:sz w:val="22"/>
          <w:szCs w:val="22"/>
        </w:rPr>
        <w:t xml:space="preserve">Card charge-offs peaked at 4.69% in Q3 2024 and edged down to 4.58% in Q4 — still 109 basis points above pre-pandemic averages per the FDIC but no longer accelerating. Card bank ROA recovered to 3.87% as interest income growth (fueled by APR spread expansion) outpaced credit losses. The critical spread dynamic: credit card APR spreads over the federal funds rate expanded from 8.2% in 2007 to 16.8% by end-2024, meaning issuers retained margin even as the Fed began cutting rates. Mortgage origination turned barely positive ($443/loan). Industry NIM stabilized at 3.22%, slightly below the pre-pandemic average of 3.25%. Total FDIC-insured bank net income reached a record $268.2 billion.</w:t>
      </w:r>
    </w:p>
    <w:p>
      <w:r>
        <w:br w:type="page"/>
      </w:r>
    </w:p>
    <w:p>
      <w:pPr>
        <w:pStyle w:val="Heading1"/>
        <w:pBdr>
          <w:bottom w:val="single" w:color="2E75B6" w:sz="8" w:space="4"/>
        </w:pBdr>
        <w:spacing w:after="120" w:before="360"/>
      </w:pPr>
      <w:r>
        <w:rPr>
          <w:rFonts w:ascii="Arial" w:cs="Arial" w:eastAsia="Arial" w:hAnsi="Arial"/>
          <w:b/>
          <w:bCs/>
          <w:color w:val="1F3864"/>
        </w:rPr>
        <w:t xml:space="preserve">7. Competitive Landscape: Where Banks Win and Where They Don't</w:t>
      </w:r>
    </w:p>
    <w:p>
      <w:pPr>
        <w:spacing w:after="80" w:before="60"/>
        <w:jc w:val="both"/>
      </w:pPr>
      <w:r>
        <w:rPr>
          <w:rFonts w:ascii="Arial" w:cs="Arial" w:eastAsia="Arial" w:hAnsi="Arial"/>
          <w:b w:val="false"/>
          <w:bCs w:val="false"/>
          <w:color w:val="1A1A1A"/>
          <w:sz w:val="22"/>
          <w:szCs w:val="22"/>
        </w:rPr>
        <w:t xml:space="preserve">The competitive dynamics differ radically by product, and mega-banks must be clear-eyed about where they hold structural advantages versus where they face permanent disadvantage.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2400"/>
        <w:gridCol w:w="3200"/>
      </w:tblGrid>
      <w:tr>
        <w:trPr>
          <w:tblHeader/>
        </w:trP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Product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Bank Position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Competitors</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Bank Structural Edge?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Credit Cards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Dominant (83% concentration in top 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Capital One + Discover, AmEx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YES — scale, data, network economics</w:t>
            </w:r>
          </w:p>
        </w:tc>
      </w:tr>
      <w:tr>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HELOC</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Dominant — structurally favored</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Non-bank entrants emerging</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YES — first-lien knowledge, relationships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Mortgages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Below one-third of originations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UWM ($138B), Rocket ($92B)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NO — non-banks win on speed &amp; digital</w:t>
            </w:r>
          </w:p>
        </w:tc>
      </w:tr>
      <w:tr>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Auto</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25% market share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Captives (31.4%), Credit Unions (20.1%)</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NO — sandwiched by subsidies &amp; rate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Personal Loans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Largely exited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SoFi, LendingClub, Upstart, Prosper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NO — fintechs have 30-50% lower CAC</w:t>
            </w:r>
          </w:p>
        </w:tc>
      </w:tr>
      <w:tr>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BNPL</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Responding via card features</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Klarna ($105B GMV), Affirm, PayPal</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NEUTRAL — complementary, not existential</w:t>
            </w:r>
          </w:p>
        </w:tc>
      </w:tr>
    </w:tbl>
    <w:p>
      <w:pPr>
        <w:spacing w:after="0" w:before="120"/>
      </w:pPr>
    </w:p>
    <w:p>
      <w:pPr>
        <w:pStyle w:val="Heading2"/>
        <w:spacing w:after="100" w:before="280"/>
      </w:pPr>
      <w:r>
        <w:rPr>
          <w:rFonts w:ascii="Arial" w:cs="Arial" w:eastAsia="Arial" w:hAnsi="Arial"/>
          <w:b/>
          <w:bCs/>
          <w:color w:val="2E75B6"/>
        </w:rPr>
        <w:t xml:space="preserve">Credit Cards — Mega-Bank Fortress</w:t>
      </w:r>
    </w:p>
    <w:p>
      <w:pPr>
        <w:spacing w:after="80" w:before="60"/>
        <w:jc w:val="both"/>
      </w:pPr>
      <w:r>
        <w:rPr>
          <w:rFonts w:ascii="Arial" w:cs="Arial" w:eastAsia="Arial" w:hAnsi="Arial"/>
          <w:b w:val="false"/>
          <w:bCs w:val="false"/>
          <w:color w:val="1A1A1A"/>
          <w:sz w:val="22"/>
          <w:szCs w:val="22"/>
        </w:rPr>
        <w:t xml:space="preserve">The top 10 issuers control 83% of outstanding balances, and the top 5 capture 69.1% of purchase volume. Scale advantages in data, underwriting, marketing, fraud prevention, and network economics create a formidable moat. Fintechs and neobanks have not meaningfully penetrated credit card issuance, which requires banking licenses, substantial capital, and sophisticated credit risk management. The primary competitive threat is from specialists: Capital One (after Discover merger) will control its own network, and American Express commands the premium segment with $1,168 billion in purchase volume.</w:t>
      </w:r>
    </w:p>
    <w:p>
      <w:pPr>
        <w:pStyle w:val="Heading2"/>
        <w:spacing w:after="100" w:before="280"/>
      </w:pPr>
      <w:r>
        <w:rPr>
          <w:rFonts w:ascii="Arial" w:cs="Arial" w:eastAsia="Arial" w:hAnsi="Arial"/>
          <w:b/>
          <w:bCs/>
          <w:color w:val="2E75B6"/>
        </w:rPr>
        <w:t xml:space="preserve">Mortgages — Non-Banks Winning Origination, Banks Retreating</w:t>
      </w:r>
    </w:p>
    <w:p>
      <w:pPr>
        <w:spacing w:after="80" w:before="60"/>
        <w:jc w:val="both"/>
      </w:pPr>
      <w:r>
        <w:rPr>
          <w:rFonts w:ascii="Arial" w:cs="Arial" w:eastAsia="Arial" w:hAnsi="Arial"/>
          <w:b w:val="false"/>
          <w:bCs w:val="false"/>
          <w:color w:val="1A1A1A"/>
          <w:sz w:val="22"/>
          <w:szCs w:val="22"/>
        </w:rPr>
        <w:t xml:space="preserve">Bank share of originations fell below one-third in 2024. United Wholesale Mortgage and Rocket Mortgage together originated over $230 billion — more than all six mega-banks combined. Non-banks dominate through speed, digital experience, broker channel access, and specialization in government lending (FHA/VA). Banks retain advantages in portfolio lending (jumbo and non-QM products), mortgage servicing scale, and cross-sell economics. Non-bank servicing growth has drawn FSOC attention as a systemic risk; non-banks held 55% of top-50 servicer volume by UPB at year-end 2023.</w:t>
      </w:r>
    </w:p>
    <w:p>
      <w:pPr>
        <w:pStyle w:val="Heading2"/>
        <w:spacing w:after="100" w:before="280"/>
      </w:pPr>
      <w:r>
        <w:rPr>
          <w:rFonts w:ascii="Arial" w:cs="Arial" w:eastAsia="Arial" w:hAnsi="Arial"/>
          <w:b/>
          <w:bCs/>
          <w:color w:val="2E75B6"/>
        </w:rPr>
        <w:t xml:space="preserve">HELOC — Clear Bank Structural Advantage</w:t>
      </w:r>
    </w:p>
    <w:p>
      <w:pPr>
        <w:spacing w:after="80" w:before="60"/>
        <w:jc w:val="both"/>
      </w:pPr>
      <w:r>
        <w:rPr>
          <w:rFonts w:ascii="Arial" w:cs="Arial" w:eastAsia="Arial" w:hAnsi="Arial"/>
          <w:b w:val="false"/>
          <w:bCs w:val="false"/>
          <w:color w:val="1A1A1A"/>
          <w:sz w:val="22"/>
          <w:szCs w:val="22"/>
        </w:rPr>
        <w:t xml:space="preserve">Banks dominate HELOC origination through first-lien knowledge, existing customer relationships, and branch-based advisory. Average FICO of 771 delivers pristine credit quality. The $12 trillion tappable equity base, combined with the mortgage rate lock-in effect, creates a secular growth runway. This is the product where mega-banks have the clearest competitive moat and the most attractive risk-adjusted returns outside of cards.</w:t>
      </w:r>
    </w:p>
    <w:p>
      <w:pPr>
        <w:pStyle w:val="Heading2"/>
        <w:spacing w:after="100" w:before="280"/>
      </w:pPr>
      <w:r>
        <w:rPr>
          <w:rFonts w:ascii="Arial" w:cs="Arial" w:eastAsia="Arial" w:hAnsi="Arial"/>
          <w:b/>
          <w:bCs/>
          <w:color w:val="2E75B6"/>
        </w:rPr>
        <w:t xml:space="preserve">Personal Loans — Fintechs Dominant, Banks Largely Absent</w:t>
      </w:r>
    </w:p>
    <w:p>
      <w:pPr>
        <w:spacing w:after="80" w:before="60"/>
        <w:jc w:val="both"/>
      </w:pPr>
      <w:r>
        <w:rPr>
          <w:rFonts w:ascii="Arial" w:cs="Arial" w:eastAsia="Arial" w:hAnsi="Arial"/>
          <w:b w:val="false"/>
          <w:bCs w:val="false"/>
          <w:color w:val="1A1A1A"/>
          <w:sz w:val="22"/>
          <w:szCs w:val="22"/>
        </w:rPr>
        <w:t xml:space="preserve">Fintech lenders now originate more than half of all personal loan volume. SoFi, LendingClub (now a bank charter), Upstart, and Prosper have built data-driven origination engines that achieve 30–50% lower acquisition costs than traditional banks. Bank 60+ day delinquency rates of 1.2% are far better than fintech rates of 3.8%, but most mega-banks concluded the product is capital-inefficient relative to cards and not worth the operational investment.</w:t>
      </w:r>
    </w:p>
    <w:p>
      <w:r>
        <w:br w:type="page"/>
      </w:r>
    </w:p>
    <w:p>
      <w:pPr>
        <w:pStyle w:val="Heading1"/>
        <w:pBdr>
          <w:bottom w:val="single" w:color="2E75B6" w:sz="8" w:space="4"/>
        </w:pBdr>
        <w:spacing w:after="120" w:before="360"/>
      </w:pPr>
      <w:r>
        <w:rPr>
          <w:rFonts w:ascii="Arial" w:cs="Arial" w:eastAsia="Arial" w:hAnsi="Arial"/>
          <w:b/>
          <w:bCs/>
          <w:color w:val="1F3864"/>
        </w:rPr>
        <w:t xml:space="preserve">8. Strategic Implications for Traditional Retail Banks</w:t>
      </w:r>
    </w:p>
    <w:p>
      <w:pPr>
        <w:spacing w:after="80" w:before="60"/>
        <w:jc w:val="both"/>
      </w:pPr>
      <w:r>
        <w:rPr>
          <w:rFonts w:ascii="Arial" w:cs="Arial" w:eastAsia="Arial" w:hAnsi="Arial"/>
          <w:b w:val="false"/>
          <w:bCs w:val="false"/>
          <w:color w:val="1A1A1A"/>
          <w:sz w:val="22"/>
          <w:szCs w:val="22"/>
        </w:rPr>
        <w:t xml:space="preserve">Five actionable strategic priorities emerge from the product-level economics and competitive analysis:</w:t>
      </w:r>
    </w:p>
    <w:p>
      <w:pPr>
        <w:spacing w:after="0" w:before="80"/>
      </w:pPr>
    </w:p>
    <w:p>
      <w:pPr>
        <w:pBdr>
          <w:left w:val="single" w:color="2E75B6" w:sz="12" w:space="8"/>
        </w:pBdr>
        <w:spacing w:after="80" w:before="80"/>
        <w:ind w:left="360"/>
      </w:pPr>
      <w:r>
        <w:rPr>
          <w:rFonts w:ascii="Arial" w:cs="Arial" w:eastAsia="Arial" w:hAnsi="Arial"/>
          <w:b/>
          <w:bCs/>
          <w:color w:val="2E75B6"/>
          <w:sz w:val="22"/>
          <w:szCs w:val="22"/>
        </w:rPr>
        <w:t xml:space="preserve">Priority 1 — Protect and invest in cards above all else.  </w:t>
      </w:r>
      <w:r>
        <w:rPr>
          <w:rFonts w:ascii="Arial" w:cs="Arial" w:eastAsia="Arial" w:hAnsi="Arial"/>
          <w:color w:val="1A1A1A"/>
          <w:sz w:val="22"/>
          <w:szCs w:val="22"/>
        </w:rPr>
        <w:t xml:space="preserve">Credit cards generate 3–4× the ROA of any other consumer product. The critical strategic imperative is to prepare for interchange compression: if the Credit Card Competition Act passes or the Visa/Mastercard settlement reduces interchange by 10+ basis points, banks must be ready to restructure rewards programs and shift revenue mix further toward interest income and annual fees. JPMorgan's 32% ROE in its consumer segment demonstrates what is possible with scale and execution in cards.</w:t>
      </w:r>
    </w:p>
    <w:p>
      <w:pPr>
        <w:spacing w:after="0" w:before="60"/>
      </w:pPr>
    </w:p>
    <w:p>
      <w:pPr>
        <w:pBdr>
          <w:left w:val="single" w:color="17A589" w:sz="12" w:space="8"/>
        </w:pBdr>
        <w:spacing w:after="80" w:before="80"/>
        <w:ind w:left="360"/>
      </w:pPr>
      <w:r>
        <w:rPr>
          <w:rFonts w:ascii="Arial" w:cs="Arial" w:eastAsia="Arial" w:hAnsi="Arial"/>
          <w:b/>
          <w:bCs/>
          <w:color w:val="17A589"/>
          <w:sz w:val="22"/>
          <w:szCs w:val="22"/>
        </w:rPr>
        <w:t xml:space="preserve">Priority 2 — Aggressively pursue HELOC as the primary growth vehicle.  </w:t>
      </w:r>
      <w:r>
        <w:rPr>
          <w:rFonts w:ascii="Arial" w:cs="Arial" w:eastAsia="Arial" w:hAnsi="Arial"/>
          <w:color w:val="1A1A1A"/>
          <w:sz w:val="22"/>
          <w:szCs w:val="22"/>
        </w:rPr>
        <w:t xml:space="preserve">With $12 trillion in tappable equity and borrowers locked into sub-4% first mortgages, HELOC is a generational opportunity. Banks should invest in digitizing HELOC origination (current pull-through rates are just 46%), expanding credit lines for existing customers, and building data-driven cross-sell engines from their mortgage servicing portfolios. Expected annual growth of 9–10% in HELOC outstanding through 2026 represents the fastest-growing segment in consumer lending.</w:t>
      </w:r>
    </w:p>
    <w:p>
      <w:pPr>
        <w:spacing w:after="0" w:before="60"/>
      </w:pPr>
    </w:p>
    <w:p>
      <w:pPr>
        <w:pBdr>
          <w:left w:val="single" w:color="D4820A" w:sz="12" w:space="8"/>
        </w:pBdr>
        <w:spacing w:after="80" w:before="80"/>
        <w:ind w:left="360"/>
      </w:pPr>
      <w:r>
        <w:rPr>
          <w:rFonts w:ascii="Arial" w:cs="Arial" w:eastAsia="Arial" w:hAnsi="Arial"/>
          <w:b/>
          <w:bCs/>
          <w:color w:val="D4820A"/>
          <w:sz w:val="22"/>
          <w:szCs w:val="22"/>
        </w:rPr>
        <w:t xml:space="preserve">Priority 3 — Maintain mortgage for relationship value, not origination volume.  </w:t>
      </w:r>
      <w:r>
        <w:rPr>
          <w:rFonts w:ascii="Arial" w:cs="Arial" w:eastAsia="Arial" w:hAnsi="Arial"/>
          <w:color w:val="1A1A1A"/>
          <w:sz w:val="22"/>
          <w:szCs w:val="22"/>
        </w:rPr>
        <w:t xml:space="preserve">Competing with UWM and Rocket on origination volume is a losing strategy. Instead, banks should focus on portfolio lending for high-value clients (jumbo, physician, and specialty products), leveraging servicing portfolios for cross-sell, and maintaining competence in home lending as a customer acquisition and retention tool. The origination P&amp;L will remain volatile and marginal.</w:t>
      </w:r>
    </w:p>
    <w:p>
      <w:pPr>
        <w:spacing w:after="0" w:before="60"/>
      </w:pPr>
    </w:p>
    <w:p>
      <w:pPr>
        <w:pBdr>
          <w:left w:val="single" w:color="C0392B" w:sz="12" w:space="8"/>
        </w:pBdr>
        <w:spacing w:after="80" w:before="80"/>
        <w:ind w:left="360"/>
      </w:pPr>
      <w:r>
        <w:rPr>
          <w:rFonts w:ascii="Arial" w:cs="Arial" w:eastAsia="Arial" w:hAnsi="Arial"/>
          <w:b/>
          <w:bCs/>
          <w:color w:val="C0392B"/>
          <w:sz w:val="22"/>
          <w:szCs w:val="22"/>
        </w:rPr>
        <w:t xml:space="preserve">Priority 4 — Manage auto selectively and watch credit quality closely.  </w:t>
      </w:r>
      <w:r>
        <w:rPr>
          <w:rFonts w:ascii="Arial" w:cs="Arial" w:eastAsia="Arial" w:hAnsi="Arial"/>
          <w:color w:val="1A1A1A"/>
          <w:sz w:val="22"/>
          <w:szCs w:val="22"/>
        </w:rPr>
        <w:t xml:space="preserve">Auto lending generates moderate returns with no structural bank advantage. Subprime auto delinquencies at 15.78% (30+ DPD) signal stress in lower credit tiers. Banks should maintain prime auto portfolios for cross-sell and relationship value but avoid stretching into near-prime or subprime segments where captives and specialty lenders have better economics.</w:t>
      </w:r>
    </w:p>
    <w:p>
      <w:pPr>
        <w:spacing w:after="0" w:before="60"/>
      </w:pPr>
    </w:p>
    <w:p>
      <w:pPr>
        <w:pBdr>
          <w:left w:val="single" w:color="8E44AD" w:sz="12" w:space="8"/>
        </w:pBdr>
        <w:spacing w:after="80" w:before="80"/>
        <w:ind w:left="360"/>
      </w:pPr>
      <w:r>
        <w:rPr>
          <w:rFonts w:ascii="Arial" w:cs="Arial" w:eastAsia="Arial" w:hAnsi="Arial"/>
          <w:b/>
          <w:bCs/>
          <w:color w:val="8E44AD"/>
          <w:sz w:val="22"/>
          <w:szCs w:val="22"/>
        </w:rPr>
        <w:t xml:space="preserve">Priority 5 — Monitor AI-driven disintermediation of the deposit franchise.  </w:t>
      </w:r>
      <w:r>
        <w:rPr>
          <w:rFonts w:ascii="Arial" w:cs="Arial" w:eastAsia="Arial" w:hAnsi="Arial"/>
          <w:color w:val="1A1A1A"/>
          <w:sz w:val="22"/>
          <w:szCs w:val="22"/>
        </w:rPr>
        <w:t xml:space="preserve">McKinsey's 2025 Global Banking Annual Review warns that if just 5–10% of checking account balances migrate to higher-yield alternatives through AI-powered consumer agents, deposit profits could decline by 20%+. Since cheap deposits are the foundational funding advantage that makes consumer lending profitable for banks, protecting the deposit franchise is existential. Banks that delay AI adoption could see ROTE decline by 1–2 percentage points, while AI pioneers could gain up to 4 points of advantage.</w:t>
      </w:r>
    </w:p>
    <w:p>
      <w:r>
        <w:br w:type="page"/>
      </w:r>
    </w:p>
    <w:p>
      <w:pPr>
        <w:pStyle w:val="Heading1"/>
        <w:pBdr>
          <w:bottom w:val="single" w:color="2E75B6" w:sz="8" w:space="4"/>
        </w:pBdr>
        <w:spacing w:after="120" w:before="360"/>
      </w:pPr>
      <w:r>
        <w:rPr>
          <w:rFonts w:ascii="Arial" w:cs="Arial" w:eastAsia="Arial" w:hAnsi="Arial"/>
          <w:b/>
          <w:bCs/>
          <w:color w:val="1F3864"/>
        </w:rPr>
        <w:t xml:space="preserve">9. Conclusion</w:t>
      </w:r>
    </w:p>
    <w:p>
      <w:pPr>
        <w:spacing w:after="80" w:before="60"/>
        <w:jc w:val="both"/>
      </w:pPr>
      <w:r>
        <w:rPr>
          <w:rFonts w:ascii="Arial" w:cs="Arial" w:eastAsia="Arial" w:hAnsi="Arial"/>
          <w:b w:val="false"/>
          <w:bCs w:val="false"/>
          <w:color w:val="1A1A1A"/>
          <w:sz w:val="22"/>
          <w:szCs w:val="22"/>
        </w:rPr>
        <w:t xml:space="preserve">The U.S. consumer lending market in 2024 is a tale of radical product-level differentiation. Credit cards stand alone as the profit engine — generating $310–330 billion in annual revenue at nearly 4% ROA — and mega-banks are well-positioned to retain dominance given the 83% concentration among top issuers. HELOCs represent the clearest growth opportunity, combining bank structural advantages with a $12 trillion addressable market and pristine credit quality.</w:t>
      </w:r>
    </w:p>
    <w:p>
      <w:pPr>
        <w:spacing w:after="80" w:before="60"/>
        <w:jc w:val="both"/>
      </w:pPr>
      <w:r>
        <w:rPr>
          <w:rFonts w:ascii="Arial" w:cs="Arial" w:eastAsia="Arial" w:hAnsi="Arial"/>
          <w:b w:val="false"/>
          <w:bCs w:val="false"/>
          <w:color w:val="1A1A1A"/>
          <w:sz w:val="22"/>
          <w:szCs w:val="22"/>
        </w:rPr>
        <w:t xml:space="preserve">Mortgages have become a relationship product, not a profit center, with origination barely viable and servicing shifting to non-banks. Auto remains commoditized, personal lending has been ceded to fintechs, and BNPL is complementary rather than threatening.</w:t>
      </w:r>
    </w:p>
    <w:p>
      <w:pPr>
        <w:spacing w:after="80" w:before="60"/>
        <w:jc w:val="both"/>
      </w:pPr>
      <w:r>
        <w:rPr>
          <w:rFonts w:ascii="Arial" w:cs="Arial" w:eastAsia="Arial" w:hAnsi="Arial"/>
          <w:b w:val="false"/>
          <w:bCs w:val="false"/>
          <w:color w:val="1A1A1A"/>
          <w:sz w:val="22"/>
          <w:szCs w:val="22"/>
        </w:rPr>
        <w:t xml:space="preserve">The overarching strategic challenge is not which products to enter but which economics to protect: the card-deposit nexus that generates outsized returns depends on interchange durability and deposit franchise stability — both of which face regulatory and technological headwinds that will define the next strategic cycle.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Product</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Strategic Verdict</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Bank 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Credit Cards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Core profit engine — protect at all costs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Invest in rewards, prepare for interchange compression</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HELOC</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Highest-conviction growth — accelerate</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Digitize origination, expand credit lines, cross-sell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Mortgage Origination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Relationship tool only — do not chase volume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Focus on jumbo/specialty portfolio lending</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Mortgage Servicing</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Maintain for fee income and cross-sell</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Consider selective MSR acquisitions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Auto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Hold prime, avoid subprime stretch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Monitor quality; selective origination growth</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Personal Loans</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Exited — do not re-enter</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Let fintechs own; compete on card features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BNPL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Respond via card-linked features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Leverage existing card infrastructure</w:t>
            </w:r>
          </w:p>
        </w:tc>
      </w:tr>
    </w:tbl>
    <w:p>
      <w:pPr>
        <w:spacing w:after="0" w:before="200"/>
      </w:pPr>
    </w:p>
    <w:p>
      <w:pPr>
        <w:pBdr>
          <w:bottom w:val="single" w:color="2E75B6" w:sz="6" w:space="1"/>
        </w:pBdr>
        <w:spacing w:after="200" w:before="160"/>
      </w:pPr>
    </w:p>
    <w:p>
      <w:pPr>
        <w:spacing w:after="80" w:before="40"/>
      </w:pPr>
      <w:r>
        <w:rPr>
          <w:rFonts w:ascii="Arial" w:cs="Arial" w:eastAsia="Arial" w:hAnsi="Arial"/>
          <w:i/>
          <w:iCs/>
          <w:color w:val="555555"/>
          <w:sz w:val="20"/>
          <w:szCs w:val="20"/>
        </w:rPr>
        <w:t xml:space="preserve">Sources: NY Fed Household Debt and Credit Report; Federal Reserve G.19; FDIC Quarterly Banking Profile; Federal Reserve Report on Credit Card Profitability (2025); MBA Mortgage Finance Forecast; TransUnion Consumer Credit Market Summary; NCRC 2024 HMDA Analysis; CFPB Consumer Credit Card Market Report; Merchants Payments Coalition; ICE Mortgage Monitor; Bank 10-K and 8-K filings (JPMorgan, Bank of America, Wells Fargo, Citigroup, U.S. Bancorp, PNC); McKinsey 2025 Global Banking Annual Review.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360"/>
      </w:tabs>
    </w:pPr>
    <w:r>
      <w:rPr>
        <w:rFonts w:ascii="Arial" w:cs="Arial" w:eastAsia="Arial" w:hAnsi="Arial"/>
        <w:color w:val="999999"/>
        <w:sz w:val="16"/>
        <w:szCs w:val="16"/>
      </w:rPr>
      <w:t xml:space="preserve">For internal use only  |  Sources: NY Fed, FDIC, Federal Reserve, MBA, TransUnion, Bank 10-K filings</w:t>
    </w:r>
    <w:r>
      <w:rPr>
        <w:rFonts w:ascii="Arial" w:cs="Arial" w:eastAsia="Arial" w:hAnsi="Arial"/>
        <w:sz w:val="16"/>
        <w:szCs w:val="16"/>
      </w:rPr>
      <w:t xml:space="preserve">	</w:t>
    </w:r>
    <w:r>
      <w:rPr>
        <w:rFonts w:ascii="Arial" w:cs="Arial" w:eastAsia="Arial" w:hAnsi="Arial"/>
        <w:color w:val="999999"/>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9360"/>
      </w:tabs>
    </w:pPr>
    <w:r>
      <w:rPr>
        <w:rFonts w:ascii="Arial" w:cs="Arial" w:eastAsia="Arial" w:hAnsi="Arial"/>
        <w:color w:val="888888"/>
        <w:sz w:val="18"/>
        <w:szCs w:val="18"/>
      </w:rPr>
      <w:t xml:space="preserve">U.S. Consumer Lending: Market Economics &amp; Mega-Bank Positioning 2024</w:t>
    </w:r>
    <w:r>
      <w:rPr>
        <w:rFonts w:ascii="Arial" w:cs="Arial" w:eastAsia="Arial" w:hAnsi="Arial"/>
        <w:sz w:val="18"/>
        <w:szCs w:val="18"/>
      </w:rPr>
      <w:t xml:space="preserve">	</w:t>
    </w:r>
    <w:r>
      <w:rPr>
        <w:rFonts w:ascii="Arial" w:cs="Arial" w:eastAsia="Arial" w:hAnsi="Arial"/>
        <w:b/>
        <w:bCs/>
        <w:color w:val="C0392B"/>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7A58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2026-03-31T14:30:46.380Z</dcterms:created>
  <dcterms:modified xsi:type="dcterms:W3CDTF">2026-03-31T14:30:46.381Z</dcterms:modified>
</cp:coreProperties>
</file>

<file path=docProps/custom.xml><?xml version="1.0" encoding="utf-8"?>
<Properties xmlns="http://schemas.openxmlformats.org/officeDocument/2006/custom-properties" xmlns:vt="http://schemas.openxmlformats.org/officeDocument/2006/docPropsVTypes"/>
</file>