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73B5C"/>
          <w:sz w:val="24"/>
        </w:rPr>
        <w:t>Task 4</w:t>
      </w:r>
    </w:p>
    <w:p>
      <w:pPr>
        <w:pStyle w:val="Title"/>
        <w:spacing w:after="120"/>
      </w:pPr>
      <w:r>
        <w:t>Speed, SEO, and Conversion Audit</w:t>
      </w:r>
    </w:p>
    <w:p>
      <w:pPr>
        <w:spacing w:after="40"/>
      </w:pPr>
      <w:r>
        <w:rPr>
          <w:b/>
        </w:rPr>
        <w:t xml:space="preserve">Homepage audited: </w:t>
      </w:r>
      <w:r>
        <w:t>https://accounting-firm-website-one.vercel.app/</w:t>
      </w:r>
    </w:p>
    <w:p>
      <w:pPr>
        <w:spacing w:after="200"/>
      </w:pPr>
      <w:r>
        <w:rPr>
          <w:b/>
        </w:rPr>
        <w:t xml:space="preserve">Report date shown in screenshots: </w:t>
      </w:r>
      <w:r>
        <w:t>July 9, 2026, 12:36:09 AM</w:t>
      </w:r>
    </w:p>
    <w:tbl>
      <w:tblPr>
        <w:tblW w:type="auto" w:w="0"/>
        <w:jc w:val="center"/>
        <w:tblLook w:firstColumn="1" w:firstRow="1" w:lastColumn="0" w:lastRow="0" w:noHBand="0" w:noVBand="1" w:val="04A0"/>
      </w:tblPr>
      <w:tblGrid>
        <w:gridCol w:w="6696"/>
        <w:gridCol w:w="6696"/>
      </w:tblGrid>
      <w:tr>
        <w:tc>
          <w:tcPr>
            <w:tcW w:type="dxa" w:w="6984"/>
            <w:tcBorders>
              <w:top w:val="single" w:sz="10" w:space="0" w:color="D8E7F3"/>
              <w:left w:val="single" w:sz="10" w:space="0" w:color="D8E7F3"/>
              <w:bottom w:val="single" w:sz="10" w:space="0" w:color="D8E7F3"/>
              <w:right w:val="single" w:sz="10" w:space="0" w:color="D8E7F3"/>
            </w:tcBorders>
            <w:shd w:fill="F7F5EF"/>
            <w:vAlign w:val="center"/>
          </w:tcPr>
          <w:p>
            <w:r>
              <w:rPr>
                <w:b/>
              </w:rPr>
              <w:t>Final outcome</w:t>
            </w:r>
          </w:p>
          <w:p>
            <w:r>
              <w:t>The homepage exceeded the required mobile performance score of 85. Mobile performance reached 98 and desktop performance reached 100.</w:t>
            </w:r>
          </w:p>
        </w:tc>
        <w:tc>
          <w:tcPr>
            <w:tcW w:type="dxa" w:w="6984"/>
            <w:tcBorders>
              <w:top w:val="single" w:sz="10" w:space="0" w:color="D8E7F3"/>
              <w:left w:val="single" w:sz="10" w:space="0" w:color="D8E7F3"/>
              <w:bottom w:val="single" w:sz="10" w:space="0" w:color="D8E7F3"/>
              <w:right w:val="single" w:sz="10" w:space="0" w:color="D8E7F3"/>
            </w:tcBorders>
            <w:shd w:fill="F7F5EF"/>
            <w:vAlign w:val="center"/>
          </w:tcPr>
          <w:p>
            <w:r>
              <w:rPr>
                <w:b/>
              </w:rPr>
              <w:t>SEO outcome</w:t>
            </w:r>
          </w:p>
          <w:p>
            <w:r>
              <w:t>The Lighthouse SEO audit returned a score of 100 on both mobile and desktop, passing the core on-page SEO checks.</w:t>
            </w:r>
          </w:p>
        </w:tc>
      </w:tr>
    </w:tbl>
    <w:p>
      <w:pPr>
        <w:spacing w:before="80" w:after="160"/>
        <w:pBdr>
          <w:bottom w:val="single" w:sz="12" w:space="1" w:color="D8E7F3"/>
        </w:pBdr>
      </w:pPr>
    </w:p>
    <w:p>
      <w:pPr>
        <w:pStyle w:val="Heading1"/>
      </w:pPr>
      <w:r>
        <w:t>Tools used</w:t>
      </w:r>
    </w:p>
    <w:p>
      <w:pPr>
        <w:pStyle w:val="ListBullet"/>
      </w:pPr>
      <w:r>
        <w:t>Google PageSpeed Insights for performance, accessibility, best practices, and SEO results.</w:t>
      </w:r>
    </w:p>
    <w:p>
      <w:pPr>
        <w:pStyle w:val="ListBullet"/>
      </w:pPr>
      <w:r>
        <w:t>Lighthouse SEO audit within PageSpeed Insights for core on-page SEO checks.</w:t>
      </w:r>
    </w:p>
    <w:p>
      <w:pPr>
        <w:pStyle w:val="ListBullet"/>
      </w:pPr>
      <w:r>
        <w:t>Manual conversion review against the client brief and the homepage call-to-action path.</w:t>
      </w:r>
    </w:p>
    <w:p>
      <w:pPr>
        <w:pStyle w:val="Heading1"/>
      </w:pPr>
      <w:r>
        <w:t>Final PageSpeed Insights results</w:t>
      </w:r>
    </w:p>
    <w:tbl>
      <w:tblPr>
        <w:tblW w:type="auto" w:w="0"/>
        <w:jc w:val="center"/>
        <w:tblLayout w:type="autofit"/>
        <w:tblLook w:firstColumn="1" w:firstRow="1" w:lastColumn="0" w:lastRow="0" w:noHBand="0" w:noVBand="1" w:val="04A0"/>
      </w:tblPr>
      <w:tblGrid>
        <w:gridCol w:w="2794"/>
        <w:gridCol w:w="2794"/>
        <w:gridCol w:w="2794"/>
        <w:gridCol w:w="2794"/>
        <w:gridCol w:w="2794"/>
      </w:tblGrid>
      <w:tr>
        <w:tc>
          <w:tcPr>
            <w:tcW w:type="dxa" w:w="2794"/>
            <w:vAlign w:val="center"/>
            <w:tcBorders>
              <w:top w:val="single" w:sz="6" w:space="0" w:color="E5E1D8"/>
              <w:left w:val="single" w:sz="6" w:space="0" w:color="E5E1D8"/>
              <w:bottom w:val="single" w:sz="6" w:space="0" w:color="E5E1D8"/>
              <w:right w:val="single" w:sz="6" w:space="0" w:color="E5E1D8"/>
            </w:tcBorders>
            <w:shd w:fill="0F2742"/>
          </w:tcPr>
          <w:p>
            <w:r>
              <w:rPr>
                <w:rFonts w:ascii="Arial" w:hAnsi="Arial" w:eastAsia="Arial"/>
                <w:b/>
                <w:color w:val="FFFFFF"/>
                <w:sz w:val="19"/>
              </w:rPr>
              <w:t>Device</w:t>
            </w:r>
          </w:p>
        </w:tc>
        <w:tc>
          <w:tcPr>
            <w:tcW w:type="dxa" w:w="2794"/>
            <w:vAlign w:val="center"/>
            <w:tcBorders>
              <w:top w:val="single" w:sz="6" w:space="0" w:color="E5E1D8"/>
              <w:left w:val="single" w:sz="6" w:space="0" w:color="E5E1D8"/>
              <w:bottom w:val="single" w:sz="6" w:space="0" w:color="E5E1D8"/>
              <w:right w:val="single" w:sz="6" w:space="0" w:color="E5E1D8"/>
            </w:tcBorders>
            <w:shd w:fill="0F2742"/>
          </w:tcPr>
          <w:p>
            <w:r>
              <w:rPr>
                <w:rFonts w:ascii="Arial" w:hAnsi="Arial" w:eastAsia="Arial"/>
                <w:b/>
                <w:color w:val="FFFFFF"/>
                <w:sz w:val="19"/>
              </w:rPr>
              <w:t>Performance</w:t>
            </w:r>
          </w:p>
        </w:tc>
        <w:tc>
          <w:tcPr>
            <w:tcW w:type="dxa" w:w="2794"/>
            <w:vAlign w:val="center"/>
            <w:tcBorders>
              <w:top w:val="single" w:sz="6" w:space="0" w:color="E5E1D8"/>
              <w:left w:val="single" w:sz="6" w:space="0" w:color="E5E1D8"/>
              <w:bottom w:val="single" w:sz="6" w:space="0" w:color="E5E1D8"/>
              <w:right w:val="single" w:sz="6" w:space="0" w:color="E5E1D8"/>
            </w:tcBorders>
            <w:shd w:fill="0F2742"/>
          </w:tcPr>
          <w:p>
            <w:r>
              <w:rPr>
                <w:rFonts w:ascii="Arial" w:hAnsi="Arial" w:eastAsia="Arial"/>
                <w:b/>
                <w:color w:val="FFFFFF"/>
                <w:sz w:val="19"/>
              </w:rPr>
              <w:t>Accessibility</w:t>
            </w:r>
          </w:p>
        </w:tc>
        <w:tc>
          <w:tcPr>
            <w:tcW w:type="dxa" w:w="2794"/>
            <w:vAlign w:val="center"/>
            <w:tcBorders>
              <w:top w:val="single" w:sz="6" w:space="0" w:color="E5E1D8"/>
              <w:left w:val="single" w:sz="6" w:space="0" w:color="E5E1D8"/>
              <w:bottom w:val="single" w:sz="6" w:space="0" w:color="E5E1D8"/>
              <w:right w:val="single" w:sz="6" w:space="0" w:color="E5E1D8"/>
            </w:tcBorders>
            <w:shd w:fill="0F2742"/>
          </w:tcPr>
          <w:p>
            <w:r>
              <w:rPr>
                <w:rFonts w:ascii="Arial" w:hAnsi="Arial" w:eastAsia="Arial"/>
                <w:b/>
                <w:color w:val="FFFFFF"/>
                <w:sz w:val="19"/>
              </w:rPr>
              <w:t>Best Practices</w:t>
            </w:r>
          </w:p>
        </w:tc>
        <w:tc>
          <w:tcPr>
            <w:tcW w:type="dxa" w:w="2794"/>
            <w:vAlign w:val="center"/>
            <w:tcBorders>
              <w:top w:val="single" w:sz="6" w:space="0" w:color="E5E1D8"/>
              <w:left w:val="single" w:sz="6" w:space="0" w:color="E5E1D8"/>
              <w:bottom w:val="single" w:sz="6" w:space="0" w:color="E5E1D8"/>
              <w:right w:val="single" w:sz="6" w:space="0" w:color="E5E1D8"/>
            </w:tcBorders>
            <w:shd w:fill="0F2742"/>
          </w:tcPr>
          <w:p>
            <w:r>
              <w:rPr>
                <w:rFonts w:ascii="Arial" w:hAnsi="Arial" w:eastAsia="Arial"/>
                <w:b/>
                <w:color w:val="FFFFFF"/>
                <w:sz w:val="19"/>
              </w:rPr>
              <w:t>SEO</w:t>
            </w:r>
          </w:p>
        </w:tc>
      </w:tr>
      <w:tr>
        <w:tc>
          <w:tcPr>
            <w:tcW w:type="dxa" w:w="279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Mobile</w:t>
            </w:r>
          </w:p>
        </w:tc>
        <w:tc>
          <w:tcPr>
            <w:tcW w:type="dxa" w:w="279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98</w:t>
            </w:r>
          </w:p>
        </w:tc>
        <w:tc>
          <w:tcPr>
            <w:tcW w:type="dxa" w:w="279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95</w:t>
            </w:r>
          </w:p>
        </w:tc>
        <w:tc>
          <w:tcPr>
            <w:tcW w:type="dxa" w:w="279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100</w:t>
            </w:r>
          </w:p>
        </w:tc>
        <w:tc>
          <w:tcPr>
            <w:tcW w:type="dxa" w:w="279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100</w:t>
            </w:r>
          </w:p>
        </w:tc>
      </w:tr>
      <w:tr>
        <w:tc>
          <w:tcPr>
            <w:tcW w:type="dxa" w:w="279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Desktop</w:t>
            </w:r>
          </w:p>
        </w:tc>
        <w:tc>
          <w:tcPr>
            <w:tcW w:type="dxa" w:w="279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100</w:t>
            </w:r>
          </w:p>
        </w:tc>
        <w:tc>
          <w:tcPr>
            <w:tcW w:type="dxa" w:w="279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95</w:t>
            </w:r>
          </w:p>
        </w:tc>
        <w:tc>
          <w:tcPr>
            <w:tcW w:type="dxa" w:w="279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100</w:t>
            </w:r>
          </w:p>
        </w:tc>
        <w:tc>
          <w:tcPr>
            <w:tcW w:type="dxa" w:w="279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100</w:t>
            </w:r>
          </w:p>
        </w:tc>
      </w:tr>
    </w:tbl>
    <w:p>
      <w:pPr>
        <w:spacing w:after="160"/>
      </w:pPr>
      <w:r>
        <w:rPr>
          <w:b/>
        </w:rPr>
        <w:t xml:space="preserve">Note: </w:t>
      </w:r>
      <w:r>
        <w:t>The screenshots show no field data available, so the results are lab-based PageSpeed/Lighthouse results.</w:t>
      </w:r>
    </w:p>
    <w:p>
      <w:r>
        <w:br w:type="page"/>
      </w:r>
    </w:p>
    <w:p>
      <w:pPr>
        <w:pStyle w:val="Heading1"/>
      </w:pPr>
      <w:r>
        <w:t>Changes made and why</w:t>
      </w:r>
    </w:p>
    <w:tbl>
      <w:tblPr>
        <w:tblW w:type="auto" w:w="0"/>
        <w:jc w:val="center"/>
        <w:tblLayout w:type="autofit"/>
        <w:tblLook w:firstColumn="1" w:firstRow="1" w:lastColumn="0" w:lastRow="0" w:noHBand="0" w:noVBand="1" w:val="04A0"/>
      </w:tblPr>
      <w:tblGrid>
        <w:gridCol w:w="6984"/>
        <w:gridCol w:w="6984"/>
      </w:tblGrid>
      <w:tr>
        <w:tc>
          <w:tcPr>
            <w:tcW w:type="dxa" w:w="6984"/>
            <w:vAlign w:val="center"/>
            <w:tcBorders>
              <w:top w:val="single" w:sz="6" w:space="0" w:color="E5E1D8"/>
              <w:left w:val="single" w:sz="6" w:space="0" w:color="E5E1D8"/>
              <w:bottom w:val="single" w:sz="6" w:space="0" w:color="E5E1D8"/>
              <w:right w:val="single" w:sz="6" w:space="0" w:color="E5E1D8"/>
            </w:tcBorders>
            <w:shd w:fill="0F2742"/>
          </w:tcPr>
          <w:p>
            <w:r>
              <w:rPr>
                <w:rFonts w:ascii="Arial" w:hAnsi="Arial" w:eastAsia="Arial"/>
                <w:b/>
                <w:color w:val="FFFFFF"/>
                <w:sz w:val="19"/>
              </w:rPr>
              <w:t>Change</w:t>
            </w:r>
          </w:p>
        </w:tc>
        <w:tc>
          <w:tcPr>
            <w:tcW w:type="dxa" w:w="6984"/>
            <w:vAlign w:val="center"/>
            <w:tcBorders>
              <w:top w:val="single" w:sz="6" w:space="0" w:color="E5E1D8"/>
              <w:left w:val="single" w:sz="6" w:space="0" w:color="E5E1D8"/>
              <w:bottom w:val="single" w:sz="6" w:space="0" w:color="E5E1D8"/>
              <w:right w:val="single" w:sz="6" w:space="0" w:color="E5E1D8"/>
            </w:tcBorders>
            <w:shd w:fill="0F2742"/>
          </w:tcPr>
          <w:p>
            <w:r>
              <w:rPr>
                <w:rFonts w:ascii="Arial" w:hAnsi="Arial" w:eastAsia="Arial"/>
                <w:b/>
                <w:color w:val="FFFFFF"/>
                <w:sz w:val="19"/>
              </w:rPr>
              <w:t>Reason</w:t>
            </w:r>
          </w:p>
        </w:tc>
      </w:tr>
      <w:tr>
        <w:tc>
          <w:tcPr>
            <w:tcW w:type="dxa" w:w="698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Image optimization</w:t>
            </w:r>
          </w:p>
        </w:tc>
        <w:tc>
          <w:tcPr>
            <w:tcW w:type="dxa" w:w="698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Large images were resized and served more efficiently to reduce page weight and improve mobile loading.</w:t>
            </w:r>
          </w:p>
        </w:tc>
      </w:tr>
      <w:tr>
        <w:tc>
          <w:tcPr>
            <w:tcW w:type="dxa" w:w="698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Responsive image delivery</w:t>
            </w:r>
          </w:p>
        </w:tc>
        <w:tc>
          <w:tcPr>
            <w:tcW w:type="dxa" w:w="698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Next.js image sizing was used so browsers could request more appropriate image sizes instead of oversized assets.</w:t>
            </w:r>
          </w:p>
        </w:tc>
      </w:tr>
      <w:tr>
        <w:tc>
          <w:tcPr>
            <w:tcW w:type="dxa" w:w="698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SEO metadata</w:t>
            </w:r>
          </w:p>
        </w:tc>
        <w:tc>
          <w:tcPr>
            <w:tcW w:type="dxa" w:w="698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The homepage title, meta description, Open Graph metadata, and metadata base were set to make the page clearer for search engines and previews.</w:t>
            </w:r>
          </w:p>
        </w:tc>
      </w:tr>
      <w:tr>
        <w:tc>
          <w:tcPr>
            <w:tcW w:type="dxa" w:w="698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Sitemap and robots files</w:t>
            </w:r>
          </w:p>
        </w:tc>
        <w:tc>
          <w:tcPr>
            <w:tcW w:type="dxa" w:w="698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Sitemap and robots files were added so search engines can understand which pages should be crawled.</w:t>
            </w:r>
          </w:p>
        </w:tc>
      </w:tr>
      <w:tr>
        <w:tc>
          <w:tcPr>
            <w:tcW w:type="dxa" w:w="698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Responsive layout review</w:t>
            </w:r>
          </w:p>
        </w:tc>
        <w:tc>
          <w:tcPr>
            <w:tcW w:type="dxa" w:w="698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The hero, navigation, card grids, CTA areas, and text sizes were checked for mobile readability and tap-friendly interaction.</w:t>
            </w:r>
          </w:p>
        </w:tc>
      </w:tr>
      <w:tr>
        <w:tc>
          <w:tcPr>
            <w:tcW w:type="dxa" w:w="698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Conversion alignment</w:t>
            </w:r>
          </w:p>
        </w:tc>
        <w:tc>
          <w:tcPr>
            <w:tcW w:type="dxa" w:w="698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The page keeps one primary action: Book a free consultation. It avoids pricing tables, cheap-accounting language, fake testimonials, and unnecessary claims.</w:t>
            </w:r>
          </w:p>
        </w:tc>
      </w:tr>
    </w:tbl>
    <w:p>
      <w:r>
        <w:br w:type="page"/>
      </w:r>
    </w:p>
    <w:p>
      <w:pPr>
        <w:pStyle w:val="Heading1"/>
      </w:pPr>
      <w:r>
        <w:t>Core on-page SEO checks</w:t>
      </w:r>
    </w:p>
    <w:tbl>
      <w:tblPr>
        <w:tblW w:type="auto" w:w="0"/>
        <w:jc w:val="center"/>
        <w:tblLayout w:type="autofit"/>
        <w:tblLook w:firstColumn="1" w:firstRow="1" w:lastColumn="0" w:lastRow="0" w:noHBand="0" w:noVBand="1" w:val="04A0"/>
      </w:tblPr>
      <w:tblGrid>
        <w:gridCol w:w="4656"/>
        <w:gridCol w:w="4656"/>
        <w:gridCol w:w="4656"/>
      </w:tblGrid>
      <w:tr>
        <w:tc>
          <w:tcPr>
            <w:tcW w:type="dxa" w:w="4656"/>
            <w:vAlign w:val="center"/>
            <w:tcBorders>
              <w:top w:val="single" w:sz="6" w:space="0" w:color="E5E1D8"/>
              <w:left w:val="single" w:sz="6" w:space="0" w:color="E5E1D8"/>
              <w:bottom w:val="single" w:sz="6" w:space="0" w:color="E5E1D8"/>
              <w:right w:val="single" w:sz="6" w:space="0" w:color="E5E1D8"/>
            </w:tcBorders>
            <w:shd w:fill="0F2742"/>
          </w:tcPr>
          <w:p>
            <w:r>
              <w:rPr>
                <w:rFonts w:ascii="Arial" w:hAnsi="Arial" w:eastAsia="Arial"/>
                <w:b/>
                <w:color w:val="FFFFFF"/>
                <w:sz w:val="19"/>
              </w:rPr>
              <w:t>Check</w:t>
            </w:r>
          </w:p>
        </w:tc>
        <w:tc>
          <w:tcPr>
            <w:tcW w:type="dxa" w:w="4656"/>
            <w:vAlign w:val="center"/>
            <w:tcBorders>
              <w:top w:val="single" w:sz="6" w:space="0" w:color="E5E1D8"/>
              <w:left w:val="single" w:sz="6" w:space="0" w:color="E5E1D8"/>
              <w:bottom w:val="single" w:sz="6" w:space="0" w:color="E5E1D8"/>
              <w:right w:val="single" w:sz="6" w:space="0" w:color="E5E1D8"/>
            </w:tcBorders>
            <w:shd w:fill="0F2742"/>
          </w:tcPr>
          <w:p>
            <w:r>
              <w:rPr>
                <w:rFonts w:ascii="Arial" w:hAnsi="Arial" w:eastAsia="Arial"/>
                <w:b/>
                <w:color w:val="FFFFFF"/>
                <w:sz w:val="19"/>
              </w:rPr>
              <w:t>Status</w:t>
            </w:r>
          </w:p>
        </w:tc>
        <w:tc>
          <w:tcPr>
            <w:tcW w:type="dxa" w:w="4656"/>
            <w:vAlign w:val="center"/>
            <w:tcBorders>
              <w:top w:val="single" w:sz="6" w:space="0" w:color="E5E1D8"/>
              <w:left w:val="single" w:sz="6" w:space="0" w:color="E5E1D8"/>
              <w:bottom w:val="single" w:sz="6" w:space="0" w:color="E5E1D8"/>
              <w:right w:val="single" w:sz="6" w:space="0" w:color="E5E1D8"/>
            </w:tcBorders>
            <w:shd w:fill="0F2742"/>
          </w:tcPr>
          <w:p>
            <w:r>
              <w:rPr>
                <w:rFonts w:ascii="Arial" w:hAnsi="Arial" w:eastAsia="Arial"/>
                <w:b/>
                <w:color w:val="FFFFFF"/>
                <w:sz w:val="19"/>
              </w:rPr>
              <w:t>Notes</w:t>
            </w:r>
          </w:p>
        </w:tc>
      </w:tr>
      <w:tr>
        <w:tc>
          <w:tcPr>
            <w:tcW w:type="dxa" w:w="4656"/>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Clear page title</w:t>
            </w:r>
          </w:p>
        </w:tc>
        <w:tc>
          <w:tcPr>
            <w:tcW w:type="dxa" w:w="4656"/>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Passed</w:t>
            </w:r>
          </w:p>
        </w:tc>
        <w:tc>
          <w:tcPr>
            <w:tcW w:type="dxa" w:w="4656"/>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The page title identifies the business type and target audience.</w:t>
            </w:r>
          </w:p>
        </w:tc>
      </w:tr>
      <w:tr>
        <w:tc>
          <w:tcPr>
            <w:tcW w:type="dxa" w:w="4656"/>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Relevant meta description</w:t>
            </w:r>
          </w:p>
        </w:tc>
        <w:tc>
          <w:tcPr>
            <w:tcW w:type="dxa" w:w="4656"/>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Passed</w:t>
            </w:r>
          </w:p>
        </w:tc>
        <w:tc>
          <w:tcPr>
            <w:tcW w:type="dxa" w:w="4656"/>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The description explains the service and references London sole traders, freelancers, consultants, and small limited companies.</w:t>
            </w:r>
          </w:p>
        </w:tc>
      </w:tr>
      <w:tr>
        <w:tc>
          <w:tcPr>
            <w:tcW w:type="dxa" w:w="4656"/>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Single clear H1</w:t>
            </w:r>
          </w:p>
        </w:tc>
        <w:tc>
          <w:tcPr>
            <w:tcW w:type="dxa" w:w="4656"/>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Passed</w:t>
            </w:r>
          </w:p>
        </w:tc>
        <w:tc>
          <w:tcPr>
            <w:tcW w:type="dxa" w:w="4656"/>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The homepage uses a clear primary heading aligned with the client brief.</w:t>
            </w:r>
          </w:p>
        </w:tc>
      </w:tr>
      <w:tr>
        <w:tc>
          <w:tcPr>
            <w:tcW w:type="dxa" w:w="4656"/>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Semantic structure</w:t>
            </w:r>
          </w:p>
        </w:tc>
        <w:tc>
          <w:tcPr>
            <w:tcW w:type="dxa" w:w="4656"/>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Passed</w:t>
            </w:r>
          </w:p>
        </w:tc>
        <w:tc>
          <w:tcPr>
            <w:tcW w:type="dxa" w:w="4656"/>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Content is organized into readable sections for services, personal support, resources, and contact action.</w:t>
            </w:r>
          </w:p>
        </w:tc>
      </w:tr>
      <w:tr>
        <w:tc>
          <w:tcPr>
            <w:tcW w:type="dxa" w:w="4656"/>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Crawl support</w:t>
            </w:r>
          </w:p>
        </w:tc>
        <w:tc>
          <w:tcPr>
            <w:tcW w:type="dxa" w:w="4656"/>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Passed</w:t>
            </w:r>
          </w:p>
        </w:tc>
        <w:tc>
          <w:tcPr>
            <w:tcW w:type="dxa" w:w="4656"/>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Sitemap and robots files support search engine discovery.</w:t>
            </w:r>
          </w:p>
        </w:tc>
      </w:tr>
      <w:tr>
        <w:tc>
          <w:tcPr>
            <w:tcW w:type="dxa" w:w="4656"/>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Mobile-friendly content</w:t>
            </w:r>
          </w:p>
        </w:tc>
        <w:tc>
          <w:tcPr>
            <w:tcW w:type="dxa" w:w="4656"/>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Passed</w:t>
            </w:r>
          </w:p>
        </w:tc>
        <w:tc>
          <w:tcPr>
            <w:tcW w:type="dxa" w:w="4656"/>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The layout stacks cleanly and keeps the call to action visible on mobile.</w:t>
            </w:r>
          </w:p>
        </w:tc>
      </w:tr>
    </w:tbl>
    <w:p>
      <w:r>
        <w:br w:type="page"/>
      </w:r>
    </w:p>
    <w:p>
      <w:pPr>
        <w:pStyle w:val="Heading1"/>
      </w:pPr>
      <w:r>
        <w:t>Conversion audit</w:t>
      </w:r>
    </w:p>
    <w:tbl>
      <w:tblPr>
        <w:tblW w:type="auto" w:w="0"/>
        <w:jc w:val="center"/>
        <w:tblLayout w:type="autofit"/>
        <w:tblLook w:firstColumn="1" w:firstRow="1" w:lastColumn="0" w:lastRow="0" w:noHBand="0" w:noVBand="1" w:val="04A0"/>
      </w:tblPr>
      <w:tblGrid>
        <w:gridCol w:w="6984"/>
        <w:gridCol w:w="6984"/>
      </w:tblGrid>
      <w:tr>
        <w:tc>
          <w:tcPr>
            <w:tcW w:type="dxa" w:w="6984"/>
            <w:vAlign w:val="center"/>
            <w:tcBorders>
              <w:top w:val="single" w:sz="6" w:space="0" w:color="E5E1D8"/>
              <w:left w:val="single" w:sz="6" w:space="0" w:color="E5E1D8"/>
              <w:bottom w:val="single" w:sz="6" w:space="0" w:color="E5E1D8"/>
              <w:right w:val="single" w:sz="6" w:space="0" w:color="E5E1D8"/>
            </w:tcBorders>
            <w:shd w:fill="0F2742"/>
          </w:tcPr>
          <w:p>
            <w:r>
              <w:rPr>
                <w:rFonts w:ascii="Arial" w:hAnsi="Arial" w:eastAsia="Arial"/>
                <w:b/>
                <w:color w:val="FFFFFF"/>
                <w:sz w:val="19"/>
              </w:rPr>
              <w:t>Area reviewed</w:t>
            </w:r>
          </w:p>
        </w:tc>
        <w:tc>
          <w:tcPr>
            <w:tcW w:type="dxa" w:w="6984"/>
            <w:vAlign w:val="center"/>
            <w:tcBorders>
              <w:top w:val="single" w:sz="6" w:space="0" w:color="E5E1D8"/>
              <w:left w:val="single" w:sz="6" w:space="0" w:color="E5E1D8"/>
              <w:bottom w:val="single" w:sz="6" w:space="0" w:color="E5E1D8"/>
              <w:right w:val="single" w:sz="6" w:space="0" w:color="E5E1D8"/>
            </w:tcBorders>
            <w:shd w:fill="0F2742"/>
          </w:tcPr>
          <w:p>
            <w:r>
              <w:rPr>
                <w:rFonts w:ascii="Arial" w:hAnsi="Arial" w:eastAsia="Arial"/>
                <w:b/>
                <w:color w:val="FFFFFF"/>
                <w:sz w:val="19"/>
              </w:rPr>
              <w:t>Finding</w:t>
            </w:r>
          </w:p>
        </w:tc>
      </w:tr>
      <w:tr>
        <w:tc>
          <w:tcPr>
            <w:tcW w:type="dxa" w:w="698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Audience clarity</w:t>
            </w:r>
          </w:p>
        </w:tc>
        <w:tc>
          <w:tcPr>
            <w:tcW w:type="dxa" w:w="698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The homepage immediately tells visitors it is for sole traders, freelancers, consultants, and small limited companies.</w:t>
            </w:r>
          </w:p>
        </w:tc>
      </w:tr>
      <w:tr>
        <w:tc>
          <w:tcPr>
            <w:tcW w:type="dxa" w:w="698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Primary CTA</w:t>
            </w:r>
          </w:p>
        </w:tc>
        <w:tc>
          <w:tcPr>
            <w:tcW w:type="dxa" w:w="698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The primary CTA remains Book a free consultation, matching the brief and avoiding quote-led positioning.</w:t>
            </w:r>
          </w:p>
        </w:tc>
      </w:tr>
      <w:tr>
        <w:tc>
          <w:tcPr>
            <w:tcW w:type="dxa" w:w="698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Trust positioning</w:t>
            </w:r>
          </w:p>
        </w:tc>
        <w:tc>
          <w:tcPr>
            <w:tcW w:type="dxa" w:w="698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The copy emphasizes reliability, responsiveness, and personal support from a small team.</w:t>
            </w:r>
          </w:p>
        </w:tc>
      </w:tr>
      <w:tr>
        <w:tc>
          <w:tcPr>
            <w:tcW w:type="dxa" w:w="698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No distracting proof claims</w:t>
            </w:r>
          </w:p>
        </w:tc>
        <w:tc>
          <w:tcPr>
            <w:tcW w:type="dxa" w:w="6984"/>
            <w:vAlign w:val="center"/>
            <w:tcBorders>
              <w:top w:val="single" w:sz="6" w:space="0" w:color="E5E1D8"/>
              <w:left w:val="single" w:sz="6" w:space="0" w:color="E5E1D8"/>
              <w:bottom w:val="single" w:sz="6" w:space="0" w:color="E5E1D8"/>
              <w:right w:val="single" w:sz="6" w:space="0" w:color="E5E1D8"/>
            </w:tcBorders>
            <w:shd w:fill="F7F5EF"/>
          </w:tcPr>
          <w:p>
            <w:r>
              <w:rPr>
                <w:rFonts w:ascii="Arial" w:hAnsi="Arial" w:eastAsia="Arial"/>
                <w:sz w:val="19"/>
              </w:rPr>
              <w:t>The page avoids fake testimonials, fake client logos, pricing tables, and exaggerated credentials.</w:t>
            </w:r>
          </w:p>
        </w:tc>
      </w:tr>
      <w:tr>
        <w:tc>
          <w:tcPr>
            <w:tcW w:type="dxa" w:w="698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Mobile conversion path</w:t>
            </w:r>
          </w:p>
        </w:tc>
        <w:tc>
          <w:tcPr>
            <w:tcW w:type="dxa" w:w="6984"/>
            <w:vAlign w:val="center"/>
            <w:tcBorders>
              <w:top w:val="single" w:sz="6" w:space="0" w:color="E5E1D8"/>
              <w:left w:val="single" w:sz="6" w:space="0" w:color="E5E1D8"/>
              <w:bottom w:val="single" w:sz="6" w:space="0" w:color="E5E1D8"/>
              <w:right w:val="single" w:sz="6" w:space="0" w:color="E5E1D8"/>
            </w:tcBorders>
            <w:shd w:fill="FFFFFF"/>
          </w:tcPr>
          <w:p>
            <w:r>
              <w:rPr>
                <w:rFonts w:ascii="Arial" w:hAnsi="Arial" w:eastAsia="Arial"/>
                <w:sz w:val="19"/>
              </w:rPr>
              <w:t>The mobile layout keeps text readable and the consultation CTA easy to reach.</w:t>
            </w:r>
          </w:p>
        </w:tc>
      </w:tr>
    </w:tbl>
    <w:p>
      <w:pPr>
        <w:pStyle w:val="Heading1"/>
      </w:pPr>
      <w:r>
        <w:t>Conclusion</w:t>
      </w:r>
    </w:p>
    <w:p>
      <w:r>
        <w:rPr>
          <w:b/>
        </w:rPr>
        <w:t xml:space="preserve">The homepage passes Task 4. </w:t>
      </w:r>
      <w:r>
        <w:t>The final mobile performance score is 98, which exceeds the required score of 85. Desktop performance is 100. The Lighthouse SEO audit score is 100 on both mobile and desktop. The page also remains aligned with the client brief by focusing on reliability, responsiveness, personal service, and the Book a free consultation CTA.</w:t>
      </w:r>
    </w:p>
    <w:p>
      <w:r>
        <w:br w:type="page"/>
      </w:r>
    </w:p>
    <w:p>
      <w:pPr>
        <w:pStyle w:val="Heading1"/>
      </w:pPr>
      <w:r>
        <w:t>Screenshot evidence</w:t>
      </w:r>
    </w:p>
    <w:p>
      <w:pPr>
        <w:pStyle w:val="Heading2"/>
        <w:spacing w:before="80" w:after="120"/>
      </w:pPr>
      <w:r>
        <w:t>Mobile PageSpeed Insights result</w:t>
      </w:r>
    </w:p>
    <w:p>
      <w:pPr>
        <w:jc w:val="center"/>
      </w:pPr>
      <w:r>
        <w:drawing>
          <wp:inline xmlns:a="http://schemas.openxmlformats.org/drawingml/2006/main" xmlns:pic="http://schemas.openxmlformats.org/drawingml/2006/picture">
            <wp:extent cx="8595360" cy="5128677"/>
            <wp:docPr id="1" name="Picture 1"/>
            <wp:cNvGraphicFramePr>
              <a:graphicFrameLocks noChangeAspect="1"/>
            </wp:cNvGraphicFramePr>
            <a:graphic>
              <a:graphicData uri="http://schemas.openxmlformats.org/drawingml/2006/picture">
                <pic:pic>
                  <pic:nvPicPr>
                    <pic:cNvPr id="0" name="pagespeed-mobile-final.png"/>
                    <pic:cNvPicPr/>
                  </pic:nvPicPr>
                  <pic:blipFill>
                    <a:blip r:embed="rId11"/>
                    <a:stretch>
                      <a:fillRect/>
                    </a:stretch>
                  </pic:blipFill>
                  <pic:spPr>
                    <a:xfrm>
                      <a:off x="0" y="0"/>
                      <a:ext cx="8595360" cy="5128677"/>
                    </a:xfrm>
                    <a:prstGeom prst="rect"/>
                  </pic:spPr>
                </pic:pic>
              </a:graphicData>
            </a:graphic>
          </wp:inline>
        </w:drawing>
      </w:r>
    </w:p>
    <w:p>
      <w:pPr>
        <w:jc w:val="center"/>
      </w:pPr>
      <w:r>
        <w:rPr>
          <w:i/>
        </w:rPr>
        <w:t>pagespeed-mobile-final.png</w:t>
      </w:r>
    </w:p>
    <w:p>
      <w:r>
        <w:br w:type="page"/>
      </w:r>
    </w:p>
    <w:p>
      <w:pPr>
        <w:pStyle w:val="Heading2"/>
        <w:spacing w:before="80" w:after="120"/>
      </w:pPr>
      <w:r>
        <w:t>Desktop PageSpeed Insights result</w:t>
      </w:r>
    </w:p>
    <w:p>
      <w:pPr>
        <w:jc w:val="center"/>
      </w:pPr>
      <w:r>
        <w:drawing>
          <wp:inline xmlns:a="http://schemas.openxmlformats.org/drawingml/2006/main" xmlns:pic="http://schemas.openxmlformats.org/drawingml/2006/picture">
            <wp:extent cx="8595360" cy="5166449"/>
            <wp:docPr id="2" name="Picture 2"/>
            <wp:cNvGraphicFramePr>
              <a:graphicFrameLocks noChangeAspect="1"/>
            </wp:cNvGraphicFramePr>
            <a:graphic>
              <a:graphicData uri="http://schemas.openxmlformats.org/drawingml/2006/picture">
                <pic:pic>
                  <pic:nvPicPr>
                    <pic:cNvPr id="0" name="pagespeed-desktop-final.png"/>
                    <pic:cNvPicPr/>
                  </pic:nvPicPr>
                  <pic:blipFill>
                    <a:blip r:embed="rId12"/>
                    <a:stretch>
                      <a:fillRect/>
                    </a:stretch>
                  </pic:blipFill>
                  <pic:spPr>
                    <a:xfrm>
                      <a:off x="0" y="0"/>
                      <a:ext cx="8595360" cy="5166449"/>
                    </a:xfrm>
                    <a:prstGeom prst="rect"/>
                  </pic:spPr>
                </pic:pic>
              </a:graphicData>
            </a:graphic>
          </wp:inline>
        </w:drawing>
      </w:r>
    </w:p>
    <w:p>
      <w:pPr>
        <w:jc w:val="center"/>
      </w:pPr>
      <w:r>
        <w:rPr>
          <w:i/>
        </w:rPr>
        <w:t>pagespeed-desktop-final.png</w:t>
      </w:r>
    </w:p>
    <w:sectPr w:rsidR="00FC693F" w:rsidRPr="0006063C" w:rsidSect="00034616">
      <w:headerReference w:type="default" r:id="rId9"/>
      <w:footerReference w:type="default" r:id="rId10"/>
      <w:pgSz w:w="15840" w:h="12240" w:orient="landscape"/>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59B"/>
        <w:sz w:val="18"/>
      </w:rPr>
      <w:t>London Accounting Firm homepage audit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8"/>
      </w:rPr>
      <w:t>Task 4 - Speed, SEO, and Conversion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274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27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F27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