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Executive Quality Update</w:t>
      </w:r>
    </w:p>
    <w:p>
      <w:pPr>
        <w:spacing w:after="120"/>
      </w:pPr>
      <w:r>
        <w:rPr>
          <w:i/>
          <w:iCs/>
          <w:color w:val="6b7280"/>
          <w:sz w:val="22"/>
          <w:szCs w:val="22"/>
        </w:rPr>
        <w:t xml:space="preserve">A concise, decision-oriented quality update that speaks to executives in the language of risk, trend and money.</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Executives do not want to know how many test cases you ran. They want to know whether the product is safe to ship, whether quality is getting better or worse, what it is costing or saving, and what they need to decide. This template turns QA activity into an executive-grade update built on four pillars: risk, trend, decision and recommendation.</w:t>
      </w:r>
    </w:p>
    <w:p>
      <w:pPr>
        <w:spacing w:after="90"/>
      </w:pPr>
      <w:r>
        <w:rPr>
          <w:sz w:val="21"/>
          <w:szCs w:val="21"/>
        </w:rPr>
        <w:t xml:space="preserve">The discipline it enforces is translation. Every line answers the executive’s unspoken question — "so what, and what do you need from me?" Activity metrics measure how busy QA is; executives are accountable for outcomes and risk, so that is the language you must speak.</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 regular (monthly or quarterly) quality update to an exec sponsor, VP or the board.</w:t>
      </w:r>
    </w:p>
    <w:p>
      <w:pPr>
        <w:pStyle w:val="ListParagraph"/>
        <w:numPr>
          <w:ilvl w:val="0"/>
          <w:numId w:val="1"/>
        </w:numPr>
        <w:spacing w:after="40"/>
      </w:pPr>
      <w:r>
        <w:rPr>
          <w:sz w:val="21"/>
          <w:szCs w:val="21"/>
        </w:rPr>
        <w:t xml:space="preserve">Ahead of a major release or a period of elevated risk, to set expectations.</w:t>
      </w:r>
    </w:p>
    <w:p>
      <w:pPr>
        <w:pStyle w:val="ListParagraph"/>
        <w:numPr>
          <w:ilvl w:val="0"/>
          <w:numId w:val="1"/>
        </w:numPr>
        <w:spacing w:after="40"/>
      </w:pPr>
      <w:r>
        <w:rPr>
          <w:sz w:val="21"/>
          <w:szCs w:val="21"/>
        </w:rPr>
        <w:t xml:space="preserve">When you need an executive decision — investment, a policy, a trade-off — and must frame the case.</w:t>
      </w:r>
    </w:p>
    <w:p>
      <w:pPr>
        <w:pStyle w:val="ListParagraph"/>
        <w:numPr>
          <w:ilvl w:val="0"/>
          <w:numId w:val="1"/>
        </w:numPr>
        <w:spacing w:after="40"/>
      </w:pPr>
      <w:r>
        <w:rPr>
          <w:sz w:val="21"/>
          <w:szCs w:val="21"/>
        </w:rPr>
        <w:t xml:space="preserve">To keep a "keep satisfied" senior stakeholder informed without drowning them in detail.</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Open with the headline: one sentence on whether quality is healthy, improving or at risk. The busy reader may read nothing else.</w:t>
      </w:r>
    </w:p>
    <w:p>
      <w:pPr>
        <w:pStyle w:val="ListParagraph"/>
        <w:numPr>
          <w:ilvl w:val="0"/>
          <w:numId w:val="2"/>
        </w:numPr>
        <w:spacing w:after="40"/>
      </w:pPr>
      <w:r>
        <w:rPr>
          <w:sz w:val="21"/>
          <w:szCs w:val="21"/>
        </w:rPr>
        <w:t xml:space="preserve">Give a short risk picture: the top two or three risks in business terms (customer impact, revenue, reputation, SLA), each with a status.</w:t>
      </w:r>
    </w:p>
    <w:p>
      <w:pPr>
        <w:pStyle w:val="ListParagraph"/>
        <w:numPr>
          <w:ilvl w:val="0"/>
          <w:numId w:val="2"/>
        </w:numPr>
        <w:spacing w:after="40"/>
      </w:pPr>
      <w:r>
        <w:rPr>
          <w:sz w:val="21"/>
          <w:szCs w:val="21"/>
        </w:rPr>
        <w:t xml:space="preserve">Show trend, not a snapshot: is each measure moving in the right direction? A number without a direction is noise to an executive.</w:t>
      </w:r>
    </w:p>
    <w:p>
      <w:pPr>
        <w:pStyle w:val="ListParagraph"/>
        <w:numPr>
          <w:ilvl w:val="0"/>
          <w:numId w:val="2"/>
        </w:numPr>
        <w:spacing w:after="40"/>
      </w:pPr>
      <w:r>
        <w:rPr>
          <w:sz w:val="21"/>
          <w:szCs w:val="21"/>
        </w:rPr>
        <w:t xml:space="preserve">State any decisions needed clearly, with the option you recommend and the trade-off of each.</w:t>
      </w:r>
    </w:p>
    <w:p>
      <w:pPr>
        <w:pStyle w:val="ListParagraph"/>
        <w:numPr>
          <w:ilvl w:val="0"/>
          <w:numId w:val="2"/>
        </w:numPr>
        <w:spacing w:after="40"/>
      </w:pPr>
      <w:r>
        <w:rPr>
          <w:sz w:val="21"/>
          <w:szCs w:val="21"/>
        </w:rPr>
        <w:t xml:space="preserve">Keep the whole thing to a single page or screen. If it needs an appendix, put the detail there and keep the summary clean.</w:t>
      </w:r>
    </w:p>
    <w:p>
      <w:pPr>
        <w:pStyle w:val="ListParagraph"/>
        <w:numPr>
          <w:ilvl w:val="0"/>
          <w:numId w:val="2"/>
        </w:numPr>
        <w:spacing w:after="40"/>
      </w:pPr>
      <w:r>
        <w:rPr>
          <w:sz w:val="21"/>
          <w:szCs w:val="21"/>
        </w:rPr>
        <w:t xml:space="preserve">Choose outcome metrics an executive already cares about — escaped defects, change failure rate, customer impact, cost — not internal activity counts.</w:t>
      </w:r>
    </w:p>
    <w:p>
      <w:pPr>
        <w:spacing w:after="90"/>
      </w:pPr>
      <w:r>
        <w:rPr>
          <w:sz w:val="21"/>
          <w:szCs w:val="21"/>
        </w:rPr>
        <w:t xml:space="preserve">The framing that separates a good update from a poor one: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Weak framing (activity)</w:t>
            </w:r>
          </w:p>
        </w:tc>
        <w:tc>
          <w:tcPr>
            <w:shd w:fill="0d1b2a"/>
            <w:tcMar>
              <w:top w:type="dxa" w:w="60"/>
              <w:left w:type="dxa" w:w="90"/>
              <w:bottom w:type="dxa" w:w="60"/>
              <w:right w:type="dxa" w:w="90"/>
            </w:tcMar>
          </w:tcPr>
          <w:p>
            <w:r>
              <w:rPr>
                <w:b/>
                <w:bCs/>
                <w:color w:val="FFFFFF"/>
                <w:sz w:val="19"/>
                <w:szCs w:val="19"/>
              </w:rPr>
              <w:t xml:space="preserve">Strong framing (outcome)</w:t>
            </w:r>
          </w:p>
        </w:tc>
      </w:tr>
      <w:tr>
        <w:tc>
          <w:tcPr>
            <w:tcMar>
              <w:top w:type="dxa" w:w="50"/>
              <w:left w:type="dxa" w:w="90"/>
              <w:bottom w:type="dxa" w:w="50"/>
              <w:right w:type="dxa" w:w="90"/>
            </w:tcMar>
          </w:tcPr>
          <w:p>
            <w:r>
              <w:rPr>
                <w:sz w:val="19"/>
                <w:szCs w:val="19"/>
              </w:rPr>
              <w:t xml:space="preserve">"We ran 1,240 test cases this month."</w:t>
            </w:r>
          </w:p>
        </w:tc>
        <w:tc>
          <w:tcPr>
            <w:tcMar>
              <w:top w:type="dxa" w:w="50"/>
              <w:left w:type="dxa" w:w="90"/>
              <w:bottom w:type="dxa" w:w="50"/>
              <w:right w:type="dxa" w:w="90"/>
            </w:tcMar>
          </w:tcPr>
          <w:p>
            <w:r>
              <w:rPr>
                <w:sz w:val="19"/>
                <w:szCs w:val="19"/>
              </w:rPr>
              <w:t xml:space="preserve">"Escaped defects reaching customers fell for the third month running; the two remaining hotspots are payments and billing."</w:t>
            </w:r>
          </w:p>
        </w:tc>
      </w:tr>
      <w:tr>
        <w:tc>
          <w:tcPr>
            <w:tcMar>
              <w:top w:type="dxa" w:w="50"/>
              <w:left w:type="dxa" w:w="90"/>
              <w:bottom w:type="dxa" w:w="50"/>
              <w:right w:type="dxa" w:w="90"/>
            </w:tcMar>
          </w:tcPr>
          <w:p>
            <w:r>
              <w:rPr>
                <w:sz w:val="19"/>
                <w:szCs w:val="19"/>
              </w:rPr>
              <w:t xml:space="preserve">"We found 87 bugs."</w:t>
            </w:r>
          </w:p>
        </w:tc>
        <w:tc>
          <w:tcPr>
            <w:tcMar>
              <w:top w:type="dxa" w:w="50"/>
              <w:left w:type="dxa" w:w="90"/>
              <w:bottom w:type="dxa" w:w="50"/>
              <w:right w:type="dxa" w:w="90"/>
            </w:tcMar>
          </w:tcPr>
          <w:p>
            <w:r>
              <w:rPr>
                <w:sz w:val="19"/>
                <w:szCs w:val="19"/>
              </w:rPr>
              <w:t xml:space="preserve">"We are catching more issues before release and fewer after — change failure rate is down from roughly one in four releases to one in six."</w:t>
            </w:r>
          </w:p>
        </w:tc>
      </w:tr>
      <w:tr>
        <w:tc>
          <w:tcPr>
            <w:tcMar>
              <w:top w:type="dxa" w:w="50"/>
              <w:left w:type="dxa" w:w="90"/>
              <w:bottom w:type="dxa" w:w="50"/>
              <w:right w:type="dxa" w:w="90"/>
            </w:tcMar>
          </w:tcPr>
          <w:p>
            <w:r>
              <w:rPr>
                <w:sz w:val="19"/>
                <w:szCs w:val="19"/>
              </w:rPr>
              <w:t xml:space="preserve">"Regression took 5 days."</w:t>
            </w:r>
          </w:p>
        </w:tc>
        <w:tc>
          <w:tcPr>
            <w:tcMar>
              <w:top w:type="dxa" w:w="50"/>
              <w:left w:type="dxa" w:w="90"/>
              <w:bottom w:type="dxa" w:w="50"/>
              <w:right w:type="dxa" w:w="90"/>
            </w:tcMar>
          </w:tcPr>
          <w:p>
            <w:r>
              <w:rPr>
                <w:sz w:val="19"/>
                <w:szCs w:val="19"/>
              </w:rPr>
              <w:t xml:space="preserve">"The 5-day manual regression is now our single biggest release delay; automating the core paths would recover an estimated 3 days per major release."</w:t>
            </w:r>
          </w:p>
        </w:tc>
      </w:tr>
      <w:tr>
        <w:tc>
          <w:tcPr>
            <w:tcMar>
              <w:top w:type="dxa" w:w="50"/>
              <w:left w:type="dxa" w:w="90"/>
              <w:bottom w:type="dxa" w:w="50"/>
              <w:right w:type="dxa" w:w="90"/>
            </w:tcMar>
          </w:tcPr>
          <w:p>
            <w:r>
              <w:rPr>
                <w:sz w:val="19"/>
                <w:szCs w:val="19"/>
              </w:rPr>
              <w:t xml:space="preserve">"Automation coverage is 40%."</w:t>
            </w:r>
          </w:p>
        </w:tc>
        <w:tc>
          <w:tcPr>
            <w:tcMar>
              <w:top w:type="dxa" w:w="50"/>
              <w:left w:type="dxa" w:w="90"/>
              <w:bottom w:type="dxa" w:w="50"/>
              <w:right w:type="dxa" w:w="90"/>
            </w:tcMar>
          </w:tcPr>
          <w:p>
            <w:r>
              <w:rPr>
                <w:sz w:val="19"/>
                <w:szCs w:val="19"/>
              </w:rPr>
              <w:t xml:space="preserve">"Low automated coverage on payments is our top residual risk into the SLA sales push; this is the decision I need from you."</w:t>
            </w:r>
          </w:p>
        </w:tc>
      </w:tr>
    </w:tbl>
    <w:p>
      <w:pPr>
        <w:spacing w:after="80"/>
      </w:pPr>
    </w:p>
    <w:p>
      <w:pPr>
        <w:spacing w:after="90"/>
      </w:pPr>
      <w:r>
        <w:rPr>
          <w:sz w:val="21"/>
          <w:szCs w:val="21"/>
        </w:rPr>
        <w:t xml:space="preserve">Note on numbers: only ever use figures you can actually measure. Where you cannot yet measure something, say so plainly — "we do not currently track escaped defects; establishing that is my first priority" is itself a credible executive message.</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monthly quality update from the QA lead to the CTO at Northstar Digital, written entirely in risk, trend, decision and recommendation. Figures shown are illustrative placeholders the author would replace with their own measured data.</w:t>
      </w:r>
    </w:p>
    <w:p>
      <w:pPr>
        <w:spacing w:after="60" w:before="180"/>
      </w:pPr>
      <w:r>
        <w:rPr>
          <w:b/>
          <w:bCs/>
          <w:color w:val="0d1b2a"/>
          <w:sz w:val="24"/>
          <w:szCs w:val="24"/>
        </w:rPr>
        <w:t xml:space="preserve">Headline</w:t>
      </w:r>
    </w:p>
    <w:p>
      <w:pPr>
        <w:spacing w:after="90"/>
      </w:pPr>
      <w:r>
        <w:rPr>
          <w:sz w:val="21"/>
          <w:szCs w:val="21"/>
        </w:rPr>
        <w:t xml:space="preserve">Quality is trending in the right direction overall, but payments remains our top residual risk and it now sits directly in the path of the B2B/SLA sales push. I need one decision from you this month (see Decisions).</w:t>
      </w:r>
    </w:p>
    <w:p>
      <w:pPr>
        <w:spacing w:after="60" w:before="180"/>
      </w:pPr>
      <w:r>
        <w:rPr>
          <w:b/>
          <w:bCs/>
          <w:color w:val="0d1b2a"/>
          <w:sz w:val="24"/>
          <w:szCs w:val="24"/>
        </w:rPr>
        <w:t xml:space="preserve">Risk picture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w:t>
            </w:r>
          </w:p>
        </w:tc>
        <w:tc>
          <w:tcPr>
            <w:shd w:fill="0d1b2a"/>
            <w:tcMar>
              <w:top w:type="dxa" w:w="60"/>
              <w:left w:type="dxa" w:w="90"/>
              <w:bottom w:type="dxa" w:w="60"/>
              <w:right w:type="dxa" w:w="90"/>
            </w:tcMar>
          </w:tcPr>
          <w:p>
            <w:r>
              <w:rPr>
                <w:b/>
                <w:bCs/>
                <w:color w:val="FFFFFF"/>
                <w:sz w:val="19"/>
                <w:szCs w:val="19"/>
              </w:rPr>
              <w:t xml:space="preserve">Business impact</w:t>
            </w:r>
          </w:p>
        </w:tc>
        <w:tc>
          <w:tcPr>
            <w:shd w:fill="0d1b2a"/>
            <w:tcMar>
              <w:top w:type="dxa" w:w="60"/>
              <w:left w:type="dxa" w:w="90"/>
              <w:bottom w:type="dxa" w:w="60"/>
              <w:right w:type="dxa" w:w="90"/>
            </w:tcMar>
          </w:tcPr>
          <w:p>
            <w:r>
              <w:rPr>
                <w:b/>
                <w:bCs/>
                <w:color w:val="FFFFFF"/>
                <w:sz w:val="19"/>
                <w:szCs w:val="19"/>
              </w:rPr>
              <w:t xml:space="preserve">Status</w:t>
            </w:r>
          </w:p>
        </w:tc>
        <w:tc>
          <w:tcPr>
            <w:shd w:fill="0d1b2a"/>
            <w:tcMar>
              <w:top w:type="dxa" w:w="60"/>
              <w:left w:type="dxa" w:w="90"/>
              <w:bottom w:type="dxa" w:w="60"/>
              <w:right w:type="dxa" w:w="90"/>
            </w:tcMar>
          </w:tcPr>
          <w:p>
            <w:r>
              <w:rPr>
                <w:b/>
                <w:bCs/>
                <w:color w:val="FFFFFF"/>
                <w:sz w:val="19"/>
                <w:szCs w:val="19"/>
              </w:rPr>
              <w:t xml:space="preserve">Direction</w:t>
            </w:r>
          </w:p>
        </w:tc>
      </w:tr>
      <w:tr>
        <w:tc>
          <w:tcPr>
            <w:tcMar>
              <w:top w:type="dxa" w:w="50"/>
              <w:left w:type="dxa" w:w="90"/>
              <w:bottom w:type="dxa" w:w="50"/>
              <w:right w:type="dxa" w:w="90"/>
            </w:tcMar>
          </w:tcPr>
          <w:p>
            <w:r>
              <w:rPr>
                <w:sz w:val="19"/>
                <w:szCs w:val="19"/>
              </w:rPr>
              <w:t xml:space="preserve">Payments critical paths under-tested</w:t>
            </w:r>
          </w:p>
        </w:tc>
        <w:tc>
          <w:tcPr>
            <w:tcMar>
              <w:top w:type="dxa" w:w="50"/>
              <w:left w:type="dxa" w:w="90"/>
              <w:bottom w:type="dxa" w:w="50"/>
              <w:right w:type="dxa" w:w="90"/>
            </w:tcMar>
          </w:tcPr>
          <w:p>
            <w:r>
              <w:rPr>
                <w:sz w:val="19"/>
                <w:szCs w:val="19"/>
              </w:rPr>
              <w:t xml:space="preserve">Customer-facing billing errors; blocks selling against SLAs</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Holding</w:t>
            </w:r>
          </w:p>
        </w:tc>
      </w:tr>
      <w:tr>
        <w:tc>
          <w:tcPr>
            <w:tcMar>
              <w:top w:type="dxa" w:w="50"/>
              <w:left w:type="dxa" w:w="90"/>
              <w:bottom w:type="dxa" w:w="50"/>
              <w:right w:type="dxa" w:w="90"/>
            </w:tcMar>
          </w:tcPr>
          <w:p>
            <w:r>
              <w:rPr>
                <w:sz w:val="19"/>
                <w:szCs w:val="19"/>
              </w:rPr>
              <w:t xml:space="preserve">Flaky UI regression suite (~25% flaky)</w:t>
            </w:r>
          </w:p>
        </w:tc>
        <w:tc>
          <w:tcPr>
            <w:tcMar>
              <w:top w:type="dxa" w:w="50"/>
              <w:left w:type="dxa" w:w="90"/>
              <w:bottom w:type="dxa" w:w="50"/>
              <w:right w:type="dxa" w:w="90"/>
            </w:tcMar>
          </w:tcPr>
          <w:p>
            <w:r>
              <w:rPr>
                <w:sz w:val="19"/>
                <w:szCs w:val="19"/>
              </w:rPr>
              <w:t xml:space="preserve">Slows releases; low trust hides real failures</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Improving</w:t>
            </w:r>
          </w:p>
        </w:tc>
      </w:tr>
      <w:tr>
        <w:tc>
          <w:tcPr>
            <w:tcMar>
              <w:top w:type="dxa" w:w="50"/>
              <w:left w:type="dxa" w:w="90"/>
              <w:bottom w:type="dxa" w:w="50"/>
              <w:right w:type="dxa" w:w="90"/>
            </w:tcMar>
          </w:tcPr>
          <w:p>
            <w:r>
              <w:rPr>
                <w:sz w:val="19"/>
                <w:szCs w:val="19"/>
              </w:rPr>
              <w:t xml:space="preserve">Unstable shared staging / test data</w:t>
            </w:r>
          </w:p>
        </w:tc>
        <w:tc>
          <w:tcPr>
            <w:tcMar>
              <w:top w:type="dxa" w:w="50"/>
              <w:left w:type="dxa" w:w="90"/>
              <w:bottom w:type="dxa" w:w="50"/>
              <w:right w:type="dxa" w:w="90"/>
            </w:tcMar>
          </w:tcPr>
          <w:p>
            <w:r>
              <w:rPr>
                <w:sz w:val="19"/>
                <w:szCs w:val="19"/>
              </w:rPr>
              <w:t xml:space="preserve">Delays testing; late defect discovery</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Worsening</w:t>
            </w:r>
          </w:p>
        </w:tc>
      </w:tr>
    </w:tbl>
    <w:p>
      <w:pPr>
        <w:spacing w:after="80"/>
      </w:pPr>
    </w:p>
    <w:p>
      <w:pPr>
        <w:spacing w:after="60" w:before="180"/>
      </w:pPr>
      <w:r>
        <w:rPr>
          <w:b/>
          <w:bCs/>
          <w:color w:val="0d1b2a"/>
          <w:sz w:val="24"/>
          <w:szCs w:val="24"/>
        </w:rPr>
        <w:t xml:space="preserve">Trend</w:t>
      </w:r>
    </w:p>
    <w:p>
      <w:pPr>
        <w:pStyle w:val="ListParagraph"/>
        <w:numPr>
          <w:ilvl w:val="0"/>
          <w:numId w:val="1"/>
        </w:numPr>
        <w:spacing w:after="40"/>
      </w:pPr>
      <w:r>
        <w:rPr>
          <w:sz w:val="21"/>
          <w:szCs w:val="21"/>
        </w:rPr>
        <w:t xml:space="preserve">Escaped defects (issues first found by customers): improving for the third consecutive month.</w:t>
      </w:r>
    </w:p>
    <w:p>
      <w:pPr>
        <w:pStyle w:val="ListParagraph"/>
        <w:numPr>
          <w:ilvl w:val="0"/>
          <w:numId w:val="1"/>
        </w:numPr>
        <w:spacing w:after="40"/>
      </w:pPr>
      <w:r>
        <w:rPr>
          <w:sz w:val="21"/>
          <w:szCs w:val="21"/>
        </w:rPr>
        <w:t xml:space="preserve">Change failure rate: improving — fewer releases now require a hotfix or rollback.</w:t>
      </w:r>
    </w:p>
    <w:p>
      <w:pPr>
        <w:pStyle w:val="ListParagraph"/>
        <w:numPr>
          <w:ilvl w:val="0"/>
          <w:numId w:val="1"/>
        </w:numPr>
        <w:spacing w:after="40"/>
      </w:pPr>
      <w:r>
        <w:rPr>
          <w:sz w:val="21"/>
          <w:szCs w:val="21"/>
        </w:rPr>
        <w:t xml:space="preserve">Release lead time: flat — the 5-day manual regression remains the dominant bottleneck.</w:t>
      </w:r>
    </w:p>
    <w:p>
      <w:pPr>
        <w:pStyle w:val="ListParagraph"/>
        <w:numPr>
          <w:ilvl w:val="0"/>
          <w:numId w:val="1"/>
        </w:numPr>
        <w:spacing w:after="40"/>
      </w:pPr>
      <w:r>
        <w:rPr>
          <w:sz w:val="21"/>
          <w:szCs w:val="21"/>
        </w:rPr>
        <w:t xml:space="preserve">Staging stability: worsening — increasingly the cause of lost testing days this month.</w:t>
      </w:r>
    </w:p>
    <w:p>
      <w:pPr>
        <w:spacing w:after="60" w:before="180"/>
      </w:pPr>
      <w:r>
        <w:rPr>
          <w:b/>
          <w:bCs/>
          <w:color w:val="0d1b2a"/>
          <w:sz w:val="24"/>
          <w:szCs w:val="24"/>
        </w:rPr>
        <w:t xml:space="preserve">Decisions needed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Decision</w:t>
            </w:r>
          </w:p>
        </w:tc>
        <w:tc>
          <w:tcPr>
            <w:shd w:fill="0d1b2a"/>
            <w:tcMar>
              <w:top w:type="dxa" w:w="60"/>
              <w:left w:type="dxa" w:w="90"/>
              <w:bottom w:type="dxa" w:w="60"/>
              <w:right w:type="dxa" w:w="90"/>
            </w:tcMar>
          </w:tcPr>
          <w:p>
            <w:r>
              <w:rPr>
                <w:b/>
                <w:bCs/>
                <w:color w:val="FFFFFF"/>
                <w:sz w:val="19"/>
                <w:szCs w:val="19"/>
              </w:rPr>
              <w:t xml:space="preserve">Options</w:t>
            </w:r>
          </w:p>
        </w:tc>
        <w:tc>
          <w:tcPr>
            <w:shd w:fill="0d1b2a"/>
            <w:tcMar>
              <w:top w:type="dxa" w:w="60"/>
              <w:left w:type="dxa" w:w="90"/>
              <w:bottom w:type="dxa" w:w="60"/>
              <w:right w:type="dxa" w:w="90"/>
            </w:tcMar>
          </w:tcPr>
          <w:p>
            <w:r>
              <w:rPr>
                <w:b/>
                <w:bCs/>
                <w:color w:val="FFFFFF"/>
                <w:sz w:val="19"/>
                <w:szCs w:val="19"/>
              </w:rPr>
              <w:t xml:space="preserve">Recommendation</w:t>
            </w:r>
          </w:p>
        </w:tc>
        <w:tc>
          <w:tcPr>
            <w:shd w:fill="0d1b2a"/>
            <w:tcMar>
              <w:top w:type="dxa" w:w="60"/>
              <w:left w:type="dxa" w:w="90"/>
              <w:bottom w:type="dxa" w:w="60"/>
              <w:right w:type="dxa" w:w="90"/>
            </w:tcMar>
          </w:tcPr>
          <w:p>
            <w:r>
              <w:rPr>
                <w:b/>
                <w:bCs/>
                <w:color w:val="FFFFFF"/>
                <w:sz w:val="19"/>
                <w:szCs w:val="19"/>
              </w:rPr>
              <w:t xml:space="preserve">Trade-off</w:t>
            </w:r>
          </w:p>
        </w:tc>
      </w:tr>
      <w:tr>
        <w:tc>
          <w:tcPr>
            <w:tcMar>
              <w:top w:type="dxa" w:w="50"/>
              <w:left w:type="dxa" w:w="90"/>
              <w:bottom w:type="dxa" w:w="50"/>
              <w:right w:type="dxa" w:w="90"/>
            </w:tcMar>
          </w:tcPr>
          <w:p>
            <w:r>
              <w:rPr>
                <w:sz w:val="19"/>
                <w:szCs w:val="19"/>
              </w:rPr>
              <w:t xml:space="preserve">How to reduce payments residual risk before the SLA push</w:t>
            </w:r>
          </w:p>
        </w:tc>
        <w:tc>
          <w:tcPr>
            <w:tcMar>
              <w:top w:type="dxa" w:w="50"/>
              <w:left w:type="dxa" w:w="90"/>
              <w:bottom w:type="dxa" w:w="50"/>
              <w:right w:type="dxa" w:w="90"/>
            </w:tcMar>
          </w:tcPr>
          <w:p>
            <w:r>
              <w:rPr>
                <w:sz w:val="19"/>
                <w:szCs w:val="19"/>
              </w:rPr>
              <w:t xml:space="preserve">A) Redirect current QA effort to payments now; B) Fund a focused automation effort on payments critical paths; C) Accept the risk and proceed</w:t>
            </w:r>
          </w:p>
        </w:tc>
        <w:tc>
          <w:tcPr>
            <w:tcMar>
              <w:top w:type="dxa" w:w="50"/>
              <w:left w:type="dxa" w:w="90"/>
              <w:bottom w:type="dxa" w:w="50"/>
              <w:right w:type="dxa" w:w="90"/>
            </w:tcMar>
          </w:tcPr>
          <w:p>
            <w:r>
              <w:rPr>
                <w:sz w:val="19"/>
                <w:szCs w:val="19"/>
              </w:rPr>
              <w:t xml:space="preserve">Option B — targeted automation on the payments critical paths</w:t>
            </w:r>
          </w:p>
        </w:tc>
        <w:tc>
          <w:tcPr>
            <w:tcMar>
              <w:top w:type="dxa" w:w="50"/>
              <w:left w:type="dxa" w:w="90"/>
              <w:bottom w:type="dxa" w:w="50"/>
              <w:right w:type="dxa" w:w="90"/>
            </w:tcMar>
          </w:tcPr>
          <w:p>
            <w:r>
              <w:rPr>
                <w:sz w:val="19"/>
                <w:szCs w:val="19"/>
              </w:rPr>
              <w:t xml:space="preserve">B costs focused engineering time now but converts our highest business risk into a repeatable safety net before we sell against SLAs; C leaves us exposed at exactly the wrong moment</w:t>
            </w:r>
          </w:p>
        </w:tc>
      </w:tr>
    </w:tbl>
    <w:p>
      <w:pPr>
        <w:spacing w:after="80"/>
      </w:pPr>
    </w:p>
    <w:p>
      <w:pPr>
        <w:spacing w:after="60" w:before="180"/>
      </w:pPr>
      <w:r>
        <w:rPr>
          <w:b/>
          <w:bCs/>
          <w:color w:val="0d1b2a"/>
          <w:sz w:val="24"/>
          <w:szCs w:val="24"/>
        </w:rPr>
        <w:t xml:space="preserve">Recommendation summary</w:t>
      </w:r>
    </w:p>
    <w:p>
      <w:pPr>
        <w:spacing w:after="90"/>
      </w:pPr>
      <w:r>
        <w:rPr>
          <w:sz w:val="21"/>
          <w:szCs w:val="21"/>
        </w:rPr>
        <w:t xml:space="preserve">Approve a focused, time-boxed effort to automate the payments critical paths. This is the smallest investment that removes our largest business risk ahead of the SLA commitment, and it directly serves your goal of faster, safer releases.</w:t>
      </w:r>
    </w:p>
    <w:p>
      <w:pPr>
        <w:spacing w:after="90"/>
      </w:pPr>
      <w:r>
        <w:rPr>
          <w:sz w:val="21"/>
          <w:szCs w:val="21"/>
        </w:rPr>
        <w:t xml:space="preserve">Why this lands with the CTO: it translates the vague brief of "faster, safer releases" into a measurable risk and a single, costed decision. There is not a test-case count in sight — every line answers "so what, and what do you need from me?"</w:t>
      </w:r>
    </w:p>
    <w:p>
      <w:pPr>
        <w:pBdr>
          <w:bottom w:val="single" w:color="e9b949" w:sz="12"/>
        </w:pBdr>
        <w:spacing w:after="100" w:before="260"/>
      </w:pPr>
      <w:r>
        <w:rPr>
          <w:b/>
          <w:bCs/>
          <w:color w:val="d4a438"/>
          <w:sz w:val="30"/>
          <w:szCs w:val="30"/>
        </w:rPr>
        <w:t xml:space="preserve">Blank reusable version</w:t>
      </w:r>
    </w:p>
    <w:p>
      <w:pPr>
        <w:spacing w:after="60" w:before="180"/>
      </w:pPr>
      <w:r>
        <w:rPr>
          <w:b/>
          <w:bCs/>
          <w:color w:val="0d1b2a"/>
          <w:sz w:val="24"/>
          <w:szCs w:val="24"/>
        </w:rPr>
        <w:t xml:space="preserve">Headline (one sentence: healthy / improving / at risk)</w:t>
      </w:r>
    </w:p>
    <w:p>
      <w:pPr>
        <w:spacing w:after="90"/>
      </w:pPr>
      <w:r>
        <w:rPr>
          <w:sz w:val="21"/>
          <w:szCs w:val="21"/>
        </w:rPr>
        <w:t xml:space="preserve">________________________________________________</w:t>
      </w:r>
    </w:p>
    <w:p>
      <w:pPr>
        <w:spacing w:after="60" w:before="180"/>
      </w:pPr>
      <w:r>
        <w:rPr>
          <w:b/>
          <w:bCs/>
          <w:color w:val="0d1b2a"/>
          <w:sz w:val="24"/>
          <w:szCs w:val="24"/>
        </w:rPr>
        <w:t xml:space="preserve">Risk picture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w:t>
            </w:r>
          </w:p>
        </w:tc>
        <w:tc>
          <w:tcPr>
            <w:shd w:fill="0d1b2a"/>
            <w:tcMar>
              <w:top w:type="dxa" w:w="60"/>
              <w:left w:type="dxa" w:w="90"/>
              <w:bottom w:type="dxa" w:w="60"/>
              <w:right w:type="dxa" w:w="90"/>
            </w:tcMar>
          </w:tcPr>
          <w:p>
            <w:r>
              <w:rPr>
                <w:b/>
                <w:bCs/>
                <w:color w:val="FFFFFF"/>
                <w:sz w:val="19"/>
                <w:szCs w:val="19"/>
              </w:rPr>
              <w:t xml:space="preserve">Business impact</w:t>
            </w:r>
          </w:p>
        </w:tc>
        <w:tc>
          <w:tcPr>
            <w:shd w:fill="0d1b2a"/>
            <w:tcMar>
              <w:top w:type="dxa" w:w="60"/>
              <w:left w:type="dxa" w:w="90"/>
              <w:bottom w:type="dxa" w:w="60"/>
              <w:right w:type="dxa" w:w="90"/>
            </w:tcMar>
          </w:tcPr>
          <w:p>
            <w:r>
              <w:rPr>
                <w:b/>
                <w:bCs/>
                <w:color w:val="FFFFFF"/>
                <w:sz w:val="19"/>
                <w:szCs w:val="19"/>
              </w:rPr>
              <w:t xml:space="preserve">Status (R/A/G)</w:t>
            </w:r>
          </w:p>
        </w:tc>
        <w:tc>
          <w:tcPr>
            <w:shd w:fill="0d1b2a"/>
            <w:tcMar>
              <w:top w:type="dxa" w:w="60"/>
              <w:left w:type="dxa" w:w="90"/>
              <w:bottom w:type="dxa" w:w="60"/>
              <w:right w:type="dxa" w:w="90"/>
            </w:tcMar>
          </w:tcPr>
          <w:p>
            <w:r>
              <w:rPr>
                <w:b/>
                <w:bCs/>
                <w:color w:val="FFFFFF"/>
                <w:sz w:val="19"/>
                <w:szCs w:val="19"/>
              </w:rPr>
              <w:t xml:space="preserve">Direction</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60" w:before="180"/>
      </w:pPr>
      <w:r>
        <w:rPr>
          <w:b/>
          <w:bCs/>
          <w:color w:val="0d1b2a"/>
          <w:sz w:val="24"/>
          <w:szCs w:val="24"/>
        </w:rPr>
        <w:t xml:space="preserve">Trend (direction of each key outcome measure)</w:t>
      </w:r>
    </w:p>
    <w:p>
      <w:pPr>
        <w:pStyle w:val="ListParagraph"/>
        <w:numPr>
          <w:ilvl w:val="0"/>
          <w:numId w:val="1"/>
        </w:numPr>
        <w:spacing w:after="40"/>
      </w:pPr>
      <w:r>
        <w:rPr>
          <w:sz w:val="21"/>
          <w:szCs w:val="21"/>
        </w:rPr>
        <w:t xml:space="preserve">Escaped defects: ____</w:t>
      </w:r>
    </w:p>
    <w:p>
      <w:pPr>
        <w:pStyle w:val="ListParagraph"/>
        <w:numPr>
          <w:ilvl w:val="0"/>
          <w:numId w:val="1"/>
        </w:numPr>
        <w:spacing w:after="40"/>
      </w:pPr>
      <w:r>
        <w:rPr>
          <w:sz w:val="21"/>
          <w:szCs w:val="21"/>
        </w:rPr>
        <w:t xml:space="preserve">Change failure rate: ____</w:t>
      </w:r>
    </w:p>
    <w:p>
      <w:pPr>
        <w:pStyle w:val="ListParagraph"/>
        <w:numPr>
          <w:ilvl w:val="0"/>
          <w:numId w:val="1"/>
        </w:numPr>
        <w:spacing w:after="40"/>
      </w:pPr>
      <w:r>
        <w:rPr>
          <w:sz w:val="21"/>
          <w:szCs w:val="21"/>
        </w:rPr>
        <w:t xml:space="preserve">Release lead time: ____</w:t>
      </w:r>
    </w:p>
    <w:p>
      <w:pPr>
        <w:pStyle w:val="ListParagraph"/>
        <w:numPr>
          <w:ilvl w:val="0"/>
          <w:numId w:val="1"/>
        </w:numPr>
        <w:spacing w:after="40"/>
      </w:pPr>
      <w:r>
        <w:rPr>
          <w:sz w:val="21"/>
          <w:szCs w:val="21"/>
        </w:rPr>
        <w:t xml:space="preserve">Other outcome measure: ____</w:t>
      </w:r>
    </w:p>
    <w:p>
      <w:pPr>
        <w:spacing w:after="60" w:before="180"/>
      </w:pPr>
      <w:r>
        <w:rPr>
          <w:b/>
          <w:bCs/>
          <w:color w:val="0d1b2a"/>
          <w:sz w:val="24"/>
          <w:szCs w:val="24"/>
        </w:rPr>
        <w:t xml:space="preserve">Decisions needed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Decision</w:t>
            </w:r>
          </w:p>
        </w:tc>
        <w:tc>
          <w:tcPr>
            <w:shd w:fill="0d1b2a"/>
            <w:tcMar>
              <w:top w:type="dxa" w:w="60"/>
              <w:left w:type="dxa" w:w="90"/>
              <w:bottom w:type="dxa" w:w="60"/>
              <w:right w:type="dxa" w:w="90"/>
            </w:tcMar>
          </w:tcPr>
          <w:p>
            <w:r>
              <w:rPr>
                <w:b/>
                <w:bCs/>
                <w:color w:val="FFFFFF"/>
                <w:sz w:val="19"/>
                <w:szCs w:val="19"/>
              </w:rPr>
              <w:t xml:space="preserve">Options</w:t>
            </w:r>
          </w:p>
        </w:tc>
        <w:tc>
          <w:tcPr>
            <w:shd w:fill="0d1b2a"/>
            <w:tcMar>
              <w:top w:type="dxa" w:w="60"/>
              <w:left w:type="dxa" w:w="90"/>
              <w:bottom w:type="dxa" w:w="60"/>
              <w:right w:type="dxa" w:w="90"/>
            </w:tcMar>
          </w:tcPr>
          <w:p>
            <w:r>
              <w:rPr>
                <w:b/>
                <w:bCs/>
                <w:color w:val="FFFFFF"/>
                <w:sz w:val="19"/>
                <w:szCs w:val="19"/>
              </w:rPr>
              <w:t xml:space="preserve">Recommendation</w:t>
            </w:r>
          </w:p>
        </w:tc>
        <w:tc>
          <w:tcPr>
            <w:shd w:fill="0d1b2a"/>
            <w:tcMar>
              <w:top w:type="dxa" w:w="60"/>
              <w:left w:type="dxa" w:w="90"/>
              <w:bottom w:type="dxa" w:w="60"/>
              <w:right w:type="dxa" w:w="90"/>
            </w:tcMar>
          </w:tcPr>
          <w:p>
            <w:r>
              <w:rPr>
                <w:b/>
                <w:bCs/>
                <w:color w:val="FFFFFF"/>
                <w:sz w:val="19"/>
                <w:szCs w:val="19"/>
              </w:rPr>
              <w:t xml:space="preserve">Trade-off</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60" w:before="180"/>
      </w:pPr>
      <w:r>
        <w:rPr>
          <w:b/>
          <w:bCs/>
          <w:color w:val="0d1b2a"/>
          <w:sz w:val="24"/>
          <w:szCs w:val="24"/>
        </w:rPr>
        <w:t xml:space="preserve">Recommendation summary</w:t>
      </w:r>
    </w:p>
    <w:p>
      <w:pPr>
        <w:spacing w:after="90"/>
      </w:pPr>
      <w:r>
        <w:rPr>
          <w:sz w:val="21"/>
          <w:szCs w:val="21"/>
        </w:rPr>
        <w:t xml:space="preserve">________________________________________________</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Reporting activity — test cases run, bugs found, coverage percentages — instead of outcomes and risk. Presenting snapshots with no direction, so nobody can tell if things are getting better or worse. Burying the decision, or presenting risks with no recommendation and forcing the executive to do your thinking. Writing three pages when one would do. Using colour-coded dashboards nobody agreed the meaning of. And inventing precision — quoting figures you cannot actually measure destroys your credibility the moment someone asks how you got them.</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If a line does not answer "so what, and what do you need from me?", cut it.</w:t>
      </w:r>
    </w:p>
    <w:p>
      <w:pPr>
        <w:pStyle w:val="ListParagraph"/>
        <w:numPr>
          <w:ilvl w:val="0"/>
          <w:numId w:val="1"/>
        </w:numPr>
        <w:spacing w:after="40"/>
      </w:pPr>
      <w:r>
        <w:rPr>
          <w:sz w:val="21"/>
          <w:szCs w:val="21"/>
        </w:rPr>
        <w:t xml:space="preserve">Always pair a risk with a recommendation. Executives pay you for judgement, not just for raised hands.</w:t>
      </w:r>
    </w:p>
    <w:p>
      <w:pPr>
        <w:pStyle w:val="ListParagraph"/>
        <w:numPr>
          <w:ilvl w:val="0"/>
          <w:numId w:val="1"/>
        </w:numPr>
        <w:spacing w:after="40"/>
      </w:pPr>
      <w:r>
        <w:rPr>
          <w:sz w:val="21"/>
          <w:szCs w:val="21"/>
        </w:rPr>
        <w:t xml:space="preserve">Trend beats snapshot every time — three data points showing direction are worth more than one impressive-looking number.</w:t>
      </w:r>
    </w:p>
    <w:p>
      <w:pPr>
        <w:pStyle w:val="ListParagraph"/>
        <w:numPr>
          <w:ilvl w:val="0"/>
          <w:numId w:val="1"/>
        </w:numPr>
        <w:spacing w:after="40"/>
      </w:pPr>
      <w:r>
        <w:rPr>
          <w:sz w:val="21"/>
          <w:szCs w:val="21"/>
        </w:rPr>
        <w:t xml:space="preserve">Translate into their world: revenue at risk, customers affected, SLA exposure, cost saved or spent. That is the only vocabulary that reliably moves budget.</w:t>
      </w:r>
    </w:p>
    <w:p>
      <w:pPr>
        <w:pStyle w:val="ListParagraph"/>
        <w:numPr>
          <w:ilvl w:val="0"/>
          <w:numId w:val="1"/>
        </w:numPr>
        <w:spacing w:after="40"/>
      </w:pPr>
      <w:r>
        <w:rPr>
          <w:sz w:val="21"/>
          <w:szCs w:val="21"/>
        </w:rPr>
        <w:t xml:space="preserve">Keep a detailed appendix for anyone who wants to dig, but never let it invade the one-page summary.</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fastest way to earn a seat at the executive table is to bring a decision, a recommendation and the trade-off — every single time. Executives are relentlessly short of people who turn a messy situation into a clear choice. Be that person, and "more QA headcount" stops sounding like a cost and starts sounding like risk reduction with a return.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Quality Update</dc:title>
  <dc:creator>Inside STLC Academy</dc:creator>
  <cp:lastModifiedBy>Un-named</cp:lastModifiedBy>
  <cp:revision>1</cp:revision>
  <dcterms:created xsi:type="dcterms:W3CDTF">2026-08-10T13:23:06.722Z</dcterms:created>
  <dcterms:modified xsi:type="dcterms:W3CDTF">2026-08-10T13:23:06.722Z</dcterms:modified>
</cp:coreProperties>
</file>

<file path=docProps/custom.xml><?xml version="1.0" encoding="utf-8"?>
<Properties xmlns="http://schemas.openxmlformats.org/officeDocument/2006/custom-properties" xmlns:vt="http://schemas.openxmlformats.org/officeDocument/2006/docPropsVTypes"/>
</file>