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Go / No-Go Decision Template</w:t>
      </w:r>
    </w:p>
    <w:p>
      <w:pPr>
        <w:spacing w:after="120"/>
      </w:pPr>
      <w:r>
        <w:rPr>
          <w:i/>
          <w:iCs/>
          <w:color w:val="6b7280"/>
          <w:sz w:val="22"/>
          <w:szCs w:val="22"/>
        </w:rPr>
        <w:t xml:space="preserve">Run a fast, fair release decision meeting where the risk is clear and the accountability is explicit.</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 go/no-go template turns the release decision from a hallway conversation into a short, structured meeting with a clear record. It gathers the people who own the risk, checks a small set of criteria, surfaces residual risk honestly, and produces a decision with a named owner. The point is not to slow releases down — it is to make the decision defensible and to stop QA from being the accidental scapegoat when a release goes wrong.</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Before any release significant enough that a bad outcome would matter to customers or the business.</w:t>
      </w:r>
    </w:p>
    <w:p>
      <w:pPr>
        <w:pStyle w:val="ListParagraph"/>
        <w:numPr>
          <w:ilvl w:val="0"/>
          <w:numId w:val="1"/>
        </w:numPr>
        <w:spacing w:after="40"/>
      </w:pPr>
      <w:r>
        <w:rPr>
          <w:sz w:val="21"/>
          <w:szCs w:val="21"/>
        </w:rPr>
        <w:t xml:space="preserve">When multiple squads or stakeholders must align — as at Northstar, where each squad releases on its own cadence with no shared quality gate.</w:t>
      </w:r>
    </w:p>
    <w:p>
      <w:pPr>
        <w:pStyle w:val="ListParagraph"/>
        <w:numPr>
          <w:ilvl w:val="0"/>
          <w:numId w:val="1"/>
        </w:numPr>
        <w:spacing w:after="40"/>
      </w:pPr>
      <w:r>
        <w:rPr>
          <w:sz w:val="21"/>
          <w:szCs w:val="21"/>
        </w:rPr>
        <w:t xml:space="preserve">Whenever a release is contested (product wants speed, engineering wants more automation, QA sees residual risk).</w:t>
      </w:r>
    </w:p>
    <w:p>
      <w:pPr>
        <w:pStyle w:val="ListParagraph"/>
        <w:numPr>
          <w:ilvl w:val="0"/>
          <w:numId w:val="1"/>
        </w:numPr>
        <w:spacing w:after="40"/>
      </w:pPr>
      <w:r>
        <w:rPr>
          <w:sz w:val="21"/>
          <w:szCs w:val="21"/>
        </w:rPr>
        <w:t xml:space="preserve">As a lightweight recurring ritual so the decision is a habit, not a crisis.</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Circulate the release risk assessment before the meeting, not during it. The meeting is for the decision, not the reading.</w:t>
      </w:r>
    </w:p>
    <w:p>
      <w:pPr>
        <w:pStyle w:val="ListParagraph"/>
        <w:numPr>
          <w:ilvl w:val="0"/>
          <w:numId w:val="2"/>
        </w:numPr>
        <w:spacing w:after="40"/>
      </w:pPr>
      <w:r>
        <w:rPr>
          <w:sz w:val="21"/>
          <w:szCs w:val="21"/>
        </w:rPr>
        <w:t xml:space="preserve">Confirm the decision owner (the accountable person) and the advisers (QA on risk, engineering on technical readiness, product on business need).</w:t>
      </w:r>
    </w:p>
    <w:p>
      <w:pPr>
        <w:pStyle w:val="ListParagraph"/>
        <w:numPr>
          <w:ilvl w:val="0"/>
          <w:numId w:val="2"/>
        </w:numPr>
        <w:spacing w:after="40"/>
      </w:pPr>
      <w:r>
        <w:rPr>
          <w:sz w:val="21"/>
          <w:szCs w:val="21"/>
        </w:rPr>
        <w:t xml:space="preserve">Walk the criteria checklist and mark each Red, Amber or Green with evidence, not opinion.</w:t>
      </w:r>
    </w:p>
    <w:p>
      <w:pPr>
        <w:pStyle w:val="ListParagraph"/>
        <w:numPr>
          <w:ilvl w:val="0"/>
          <w:numId w:val="2"/>
        </w:numPr>
        <w:spacing w:after="40"/>
      </w:pPr>
      <w:r>
        <w:rPr>
          <w:sz w:val="21"/>
          <w:szCs w:val="21"/>
        </w:rPr>
        <w:t xml:space="preserve">State residual risk and confidence in one or two sentences each.</w:t>
      </w:r>
    </w:p>
    <w:p>
      <w:pPr>
        <w:pStyle w:val="ListParagraph"/>
        <w:numPr>
          <w:ilvl w:val="0"/>
          <w:numId w:val="2"/>
        </w:numPr>
        <w:spacing w:after="40"/>
      </w:pPr>
      <w:r>
        <w:rPr>
          <w:sz w:val="21"/>
          <w:szCs w:val="21"/>
        </w:rPr>
        <w:t xml:space="preserve">Take the decision: Go, Go with conditions, or No-Go. If conditions, list them as blockers with owners.</w:t>
      </w:r>
    </w:p>
    <w:p>
      <w:pPr>
        <w:pStyle w:val="ListParagraph"/>
        <w:numPr>
          <w:ilvl w:val="0"/>
          <w:numId w:val="2"/>
        </w:numPr>
        <w:spacing w:after="40"/>
      </w:pPr>
      <w:r>
        <w:rPr>
          <w:sz w:val="21"/>
          <w:szCs w:val="21"/>
        </w:rPr>
        <w:t xml:space="preserve">Record it: who decided, what was known, what was accepted, and who owns each follow-up. Distribute it.</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The Payments checkout v2.3 decision from the release risk assessment, run as a go/no-go with Priya Nadar (VP Engineering, decision owner), the QA lead, Marcus Lee (Payments squad lead) and Tom Fielding (Head of Product).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Criterion</w:t>
            </w:r>
          </w:p>
        </w:tc>
        <w:tc>
          <w:tcPr>
            <w:shd w:fill="0d1b2a"/>
            <w:tcMar>
              <w:top w:type="dxa" w:w="60"/>
              <w:left w:type="dxa" w:w="90"/>
              <w:bottom w:type="dxa" w:w="60"/>
              <w:right w:type="dxa" w:w="90"/>
            </w:tcMar>
          </w:tcPr>
          <w:p>
            <w:r>
              <w:rPr>
                <w:b/>
                <w:bCs/>
                <w:color w:val="FFFFFF"/>
                <w:sz w:val="19"/>
                <w:szCs w:val="19"/>
              </w:rPr>
              <w:t xml:space="preserve">Status</w:t>
            </w:r>
          </w:p>
        </w:tc>
        <w:tc>
          <w:tcPr>
            <w:shd w:fill="0d1b2a"/>
            <w:tcMar>
              <w:top w:type="dxa" w:w="60"/>
              <w:left w:type="dxa" w:w="90"/>
              <w:bottom w:type="dxa" w:w="60"/>
              <w:right w:type="dxa" w:w="90"/>
            </w:tcMar>
          </w:tcPr>
          <w:p>
            <w:r>
              <w:rPr>
                <w:b/>
                <w:bCs/>
                <w:color w:val="FFFFFF"/>
                <w:sz w:val="19"/>
                <w:szCs w:val="19"/>
              </w:rPr>
              <w:t xml:space="preserve">Evidence</w:t>
            </w:r>
          </w:p>
        </w:tc>
      </w:tr>
      <w:tr>
        <w:tc>
          <w:tcPr>
            <w:tcMar>
              <w:top w:type="dxa" w:w="50"/>
              <w:left w:type="dxa" w:w="90"/>
              <w:bottom w:type="dxa" w:w="50"/>
              <w:right w:type="dxa" w:w="90"/>
            </w:tcMar>
          </w:tcPr>
          <w:p>
            <w:r>
              <w:rPr>
                <w:sz w:val="19"/>
                <w:szCs w:val="19"/>
              </w:rPr>
              <w:t xml:space="preserve">All Critical and High risks tested or mitigated</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Two High risks remain, both with concrete mitigations agreed</w:t>
            </w:r>
          </w:p>
        </w:tc>
      </w:tr>
      <w:tr>
        <w:tc>
          <w:tcPr>
            <w:tcMar>
              <w:top w:type="dxa" w:w="50"/>
              <w:left w:type="dxa" w:w="90"/>
              <w:bottom w:type="dxa" w:w="50"/>
              <w:right w:type="dxa" w:w="90"/>
            </w:tcMar>
          </w:tcPr>
          <w:p>
            <w:r>
              <w:rPr>
                <w:sz w:val="19"/>
                <w:szCs w:val="19"/>
              </w:rPr>
              <w:t xml:space="preserve">No open critical defects</w:t>
            </w:r>
          </w:p>
        </w:tc>
        <w:tc>
          <w:tcPr>
            <w:tcMar>
              <w:top w:type="dxa" w:w="50"/>
              <w:left w:type="dxa" w:w="90"/>
              <w:bottom w:type="dxa" w:w="50"/>
              <w:right w:type="dxa" w:w="90"/>
            </w:tcMar>
          </w:tcPr>
          <w:p>
            <w:r>
              <w:rPr>
                <w:sz w:val="19"/>
                <w:szCs w:val="19"/>
              </w:rPr>
              <w:t xml:space="preserve">Green</w:t>
            </w:r>
          </w:p>
        </w:tc>
        <w:tc>
          <w:tcPr>
            <w:tcMar>
              <w:top w:type="dxa" w:w="50"/>
              <w:left w:type="dxa" w:w="90"/>
              <w:bottom w:type="dxa" w:w="50"/>
              <w:right w:type="dxa" w:w="90"/>
            </w:tcMar>
          </w:tcPr>
          <w:p>
            <w:r>
              <w:rPr>
                <w:sz w:val="19"/>
                <w:szCs w:val="19"/>
              </w:rPr>
              <w:t xml:space="preserve">None open against this release</w:t>
            </w:r>
          </w:p>
        </w:tc>
      </w:tr>
      <w:tr>
        <w:tc>
          <w:tcPr>
            <w:tcMar>
              <w:top w:type="dxa" w:w="50"/>
              <w:left w:type="dxa" w:w="90"/>
              <w:bottom w:type="dxa" w:w="50"/>
              <w:right w:type="dxa" w:w="90"/>
            </w:tcMar>
          </w:tcPr>
          <w:p>
            <w:r>
              <w:rPr>
                <w:sz w:val="19"/>
                <w:szCs w:val="19"/>
              </w:rPr>
              <w:t xml:space="preserve">Regression of impacted areas complete</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Impacted areas covered; load and reconciliation paths not exercised</w:t>
            </w:r>
          </w:p>
        </w:tc>
      </w:tr>
      <w:tr>
        <w:tc>
          <w:tcPr>
            <w:tcMar>
              <w:top w:type="dxa" w:w="50"/>
              <w:left w:type="dxa" w:w="90"/>
              <w:bottom w:type="dxa" w:w="50"/>
              <w:right w:type="dxa" w:w="90"/>
            </w:tcMar>
          </w:tcPr>
          <w:p>
            <w:r>
              <w:rPr>
                <w:sz w:val="19"/>
                <w:szCs w:val="19"/>
              </w:rPr>
              <w:t xml:space="preserve">Rollback tested and fast</w:t>
            </w:r>
          </w:p>
        </w:tc>
        <w:tc>
          <w:tcPr>
            <w:tcMar>
              <w:top w:type="dxa" w:w="50"/>
              <w:left w:type="dxa" w:w="90"/>
              <w:bottom w:type="dxa" w:w="50"/>
              <w:right w:type="dxa" w:w="90"/>
            </w:tcMar>
          </w:tcPr>
          <w:p>
            <w:r>
              <w:rPr>
                <w:sz w:val="19"/>
                <w:szCs w:val="19"/>
              </w:rPr>
              <w:t xml:space="preserve">Green</w:t>
            </w:r>
          </w:p>
        </w:tc>
        <w:tc>
          <w:tcPr>
            <w:tcMar>
              <w:top w:type="dxa" w:w="50"/>
              <w:left w:type="dxa" w:w="90"/>
              <w:bottom w:type="dxa" w:w="50"/>
              <w:right w:type="dxa" w:w="90"/>
            </w:tcMar>
          </w:tcPr>
          <w:p>
            <w:r>
              <w:rPr>
                <w:sz w:val="19"/>
                <w:szCs w:val="19"/>
              </w:rPr>
              <w:t xml:space="preserve">Feature flag rollback rehearsed, under 15 minutes</w:t>
            </w:r>
          </w:p>
        </w:tc>
      </w:tr>
      <w:tr>
        <w:tc>
          <w:tcPr>
            <w:tcMar>
              <w:top w:type="dxa" w:w="50"/>
              <w:left w:type="dxa" w:w="90"/>
              <w:bottom w:type="dxa" w:w="50"/>
              <w:right w:type="dxa" w:w="90"/>
            </w:tcMar>
          </w:tcPr>
          <w:p>
            <w:r>
              <w:rPr>
                <w:sz w:val="19"/>
                <w:szCs w:val="19"/>
              </w:rPr>
              <w:t xml:space="preserve">Monitoring and alerting in place</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Capture-without-order alert to be enabled before release — a condition</w:t>
            </w:r>
          </w:p>
        </w:tc>
      </w:tr>
      <w:tr>
        <w:tc>
          <w:tcPr>
            <w:tcMar>
              <w:top w:type="dxa" w:w="50"/>
              <w:left w:type="dxa" w:w="90"/>
              <w:bottom w:type="dxa" w:w="50"/>
              <w:right w:type="dxa" w:w="90"/>
            </w:tcMar>
          </w:tcPr>
          <w:p>
            <w:r>
              <w:rPr>
                <w:sz w:val="19"/>
                <w:szCs w:val="19"/>
              </w:rPr>
              <w:t xml:space="preserve">Environment / test-data confidence</w:t>
            </w:r>
          </w:p>
        </w:tc>
        <w:tc>
          <w:tcPr>
            <w:tcMar>
              <w:top w:type="dxa" w:w="50"/>
              <w:left w:type="dxa" w:w="90"/>
              <w:bottom w:type="dxa" w:w="50"/>
              <w:right w:type="dxa" w:w="90"/>
            </w:tcMar>
          </w:tcPr>
          <w:p>
            <w:r>
              <w:rPr>
                <w:sz w:val="19"/>
                <w:szCs w:val="19"/>
              </w:rPr>
              <w:t xml:space="preserve">Red</w:t>
            </w:r>
          </w:p>
        </w:tc>
        <w:tc>
          <w:tcPr>
            <w:tcMar>
              <w:top w:type="dxa" w:w="50"/>
              <w:left w:type="dxa" w:w="90"/>
              <w:bottom w:type="dxa" w:w="50"/>
              <w:right w:type="dxa" w:w="90"/>
            </w:tcMar>
          </w:tcPr>
          <w:p>
            <w:r>
              <w:rPr>
                <w:sz w:val="19"/>
                <w:szCs w:val="19"/>
              </w:rPr>
              <w:t xml:space="preserve">Shared staging unstable through half the window; confidence reduced</w:t>
            </w:r>
          </w:p>
        </w:tc>
      </w:tr>
      <w:tr>
        <w:tc>
          <w:tcPr>
            <w:tcMar>
              <w:top w:type="dxa" w:w="50"/>
              <w:left w:type="dxa" w:w="90"/>
              <w:bottom w:type="dxa" w:w="50"/>
              <w:right w:type="dxa" w:w="90"/>
            </w:tcMar>
          </w:tcPr>
          <w:p>
            <w:r>
              <w:rPr>
                <w:sz w:val="19"/>
                <w:szCs w:val="19"/>
              </w:rPr>
              <w:t xml:space="preserve">Stakeholders informed of residual risk</w:t>
            </w:r>
          </w:p>
        </w:tc>
        <w:tc>
          <w:tcPr>
            <w:tcMar>
              <w:top w:type="dxa" w:w="50"/>
              <w:left w:type="dxa" w:w="90"/>
              <w:bottom w:type="dxa" w:w="50"/>
              <w:right w:type="dxa" w:w="90"/>
            </w:tcMar>
          </w:tcPr>
          <w:p>
            <w:r>
              <w:rPr>
                <w:sz w:val="19"/>
                <w:szCs w:val="19"/>
              </w:rPr>
              <w:t xml:space="preserve">Green</w:t>
            </w:r>
          </w:p>
        </w:tc>
        <w:tc>
          <w:tcPr>
            <w:tcMar>
              <w:top w:type="dxa" w:w="50"/>
              <w:left w:type="dxa" w:w="90"/>
              <w:bottom w:type="dxa" w:w="50"/>
              <w:right w:type="dxa" w:w="90"/>
            </w:tcMar>
          </w:tcPr>
          <w:p>
            <w:r>
              <w:rPr>
                <w:sz w:val="19"/>
                <w:szCs w:val="19"/>
              </w:rPr>
              <w:t xml:space="preserve">This meeting; on-call owner briefed</w:t>
            </w: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Decision record</w:t>
            </w:r>
          </w:p>
        </w:tc>
        <w:tc>
          <w:tcPr>
            <w:shd w:fill="0d1b2a"/>
            <w:tcMar>
              <w:top w:type="dxa" w:w="60"/>
              <w:left w:type="dxa" w:w="90"/>
              <w:bottom w:type="dxa" w:w="60"/>
              <w:right w:type="dxa" w:w="90"/>
            </w:tcMar>
          </w:tcPr>
          <w:p>
            <w:r>
              <w:rPr>
                <w:b/>
                <w:bCs/>
                <w:color w:val="FFFFFF"/>
                <w:sz w:val="19"/>
                <w:szCs w:val="19"/>
              </w:rPr>
              <w:t xml:space="preserve">Value</w:t>
            </w:r>
          </w:p>
        </w:tc>
      </w:tr>
      <w:tr>
        <w:tc>
          <w:tcPr>
            <w:tcMar>
              <w:top w:type="dxa" w:w="50"/>
              <w:left w:type="dxa" w:w="90"/>
              <w:bottom w:type="dxa" w:w="50"/>
              <w:right w:type="dxa" w:w="90"/>
            </w:tcMar>
          </w:tcPr>
          <w:p>
            <w:r>
              <w:rPr>
                <w:sz w:val="19"/>
                <w:szCs w:val="19"/>
              </w:rPr>
              <w:t xml:space="preserve">Residual risk</w:t>
            </w:r>
          </w:p>
        </w:tc>
        <w:tc>
          <w:tcPr>
            <w:tcMar>
              <w:top w:type="dxa" w:w="50"/>
              <w:left w:type="dxa" w:w="90"/>
              <w:bottom w:type="dxa" w:w="50"/>
              <w:right w:type="dxa" w:w="90"/>
            </w:tcMar>
          </w:tcPr>
          <w:p>
            <w:r>
              <w:rPr>
                <w:sz w:val="19"/>
                <w:szCs w:val="19"/>
              </w:rPr>
              <w:t xml:space="preserve">High, concentrated in the capture-to-order and billing-write paths</w:t>
            </w:r>
          </w:p>
        </w:tc>
      </w:tr>
      <w:tr>
        <w:tc>
          <w:tcPr>
            <w:tcMar>
              <w:top w:type="dxa" w:w="50"/>
              <w:left w:type="dxa" w:w="90"/>
              <w:bottom w:type="dxa" w:w="50"/>
              <w:right w:type="dxa" w:w="90"/>
            </w:tcMar>
          </w:tcPr>
          <w:p>
            <w:r>
              <w:rPr>
                <w:sz w:val="19"/>
                <w:szCs w:val="19"/>
              </w:rPr>
              <w:t xml:space="preserve">Confidence</w:t>
            </w:r>
          </w:p>
        </w:tc>
        <w:tc>
          <w:tcPr>
            <w:tcMar>
              <w:top w:type="dxa" w:w="50"/>
              <w:left w:type="dxa" w:w="90"/>
              <w:bottom w:type="dxa" w:w="50"/>
              <w:right w:type="dxa" w:w="90"/>
            </w:tcMar>
          </w:tcPr>
          <w:p>
            <w:r>
              <w:rPr>
                <w:sz w:val="19"/>
                <w:szCs w:val="19"/>
              </w:rPr>
              <w:t xml:space="preserve">Medium, limited by staging instability</w:t>
            </w:r>
          </w:p>
        </w:tc>
      </w:tr>
      <w:tr>
        <w:tc>
          <w:tcPr>
            <w:tcMar>
              <w:top w:type="dxa" w:w="50"/>
              <w:left w:type="dxa" w:w="90"/>
              <w:bottom w:type="dxa" w:w="50"/>
              <w:right w:type="dxa" w:w="90"/>
            </w:tcMar>
          </w:tcPr>
          <w:p>
            <w:r>
              <w:rPr>
                <w:sz w:val="19"/>
                <w:szCs w:val="19"/>
              </w:rPr>
              <w:t xml:space="preserve">Decision</w:t>
            </w:r>
          </w:p>
        </w:tc>
        <w:tc>
          <w:tcPr>
            <w:tcMar>
              <w:top w:type="dxa" w:w="50"/>
              <w:left w:type="dxa" w:w="90"/>
              <w:bottom w:type="dxa" w:w="50"/>
              <w:right w:type="dxa" w:w="90"/>
            </w:tcMar>
          </w:tcPr>
          <w:p>
            <w:r>
              <w:rPr>
                <w:sz w:val="19"/>
                <w:szCs w:val="19"/>
              </w:rPr>
              <w:t xml:space="preserve">Go with conditions</w:t>
            </w:r>
          </w:p>
        </w:tc>
      </w:tr>
      <w:tr>
        <w:tc>
          <w:tcPr>
            <w:tcMar>
              <w:top w:type="dxa" w:w="50"/>
              <w:left w:type="dxa" w:w="90"/>
              <w:bottom w:type="dxa" w:w="50"/>
              <w:right w:type="dxa" w:w="90"/>
            </w:tcMar>
          </w:tcPr>
          <w:p>
            <w:r>
              <w:rPr>
                <w:sz w:val="19"/>
                <w:szCs w:val="19"/>
              </w:rPr>
              <w:t xml:space="preserve">Conditions (blockers)</w:t>
            </w:r>
          </w:p>
        </w:tc>
        <w:tc>
          <w:tcPr>
            <w:tcMar>
              <w:top w:type="dxa" w:w="50"/>
              <w:left w:type="dxa" w:w="90"/>
              <w:bottom w:type="dxa" w:w="50"/>
              <w:right w:type="dxa" w:w="90"/>
            </w:tcMar>
          </w:tcPr>
          <w:p>
            <w:r>
              <w:rPr>
                <w:sz w:val="19"/>
                <w:szCs w:val="19"/>
              </w:rPr>
              <w:t xml:space="preserve">Flagged 5% rollout; capture-without-order alert live; reconciliation report at +1h and +24h; named on-call owner; rehearsed rollback</w:t>
            </w:r>
          </w:p>
        </w:tc>
      </w:tr>
      <w:tr>
        <w:tc>
          <w:tcPr>
            <w:tcMar>
              <w:top w:type="dxa" w:w="50"/>
              <w:left w:type="dxa" w:w="90"/>
              <w:bottom w:type="dxa" w:w="50"/>
              <w:right w:type="dxa" w:w="90"/>
            </w:tcMar>
          </w:tcPr>
          <w:p>
            <w:r>
              <w:rPr>
                <w:sz w:val="19"/>
                <w:szCs w:val="19"/>
              </w:rPr>
              <w:t xml:space="preserve">Decision owner</w:t>
            </w:r>
          </w:p>
        </w:tc>
        <w:tc>
          <w:tcPr>
            <w:tcMar>
              <w:top w:type="dxa" w:w="50"/>
              <w:left w:type="dxa" w:w="90"/>
              <w:bottom w:type="dxa" w:w="50"/>
              <w:right w:type="dxa" w:w="90"/>
            </w:tcMar>
          </w:tcPr>
          <w:p>
            <w:r>
              <w:rPr>
                <w:sz w:val="19"/>
                <w:szCs w:val="19"/>
              </w:rPr>
              <w:t xml:space="preserve">Priya Nadar (VP Engineering)</w:t>
            </w:r>
          </w:p>
        </w:tc>
      </w:tr>
      <w:tr>
        <w:tc>
          <w:tcPr>
            <w:tcMar>
              <w:top w:type="dxa" w:w="50"/>
              <w:left w:type="dxa" w:w="90"/>
              <w:bottom w:type="dxa" w:w="50"/>
              <w:right w:type="dxa" w:w="90"/>
            </w:tcMar>
          </w:tcPr>
          <w:p>
            <w:r>
              <w:rPr>
                <w:sz w:val="19"/>
                <w:szCs w:val="19"/>
              </w:rPr>
              <w:t xml:space="preserve">What was explicitly accepted</w:t>
            </w:r>
          </w:p>
        </w:tc>
        <w:tc>
          <w:tcPr>
            <w:tcMar>
              <w:top w:type="dxa" w:w="50"/>
              <w:left w:type="dxa" w:w="90"/>
              <w:bottom w:type="dxa" w:w="50"/>
              <w:right w:type="dxa" w:w="90"/>
            </w:tcMar>
          </w:tcPr>
          <w:p>
            <w:r>
              <w:rPr>
                <w:sz w:val="19"/>
                <w:szCs w:val="19"/>
              </w:rPr>
              <w:t xml:space="preserve">Untested behaviour under concurrent load, mitigated by staged rollout and monitoring</w:t>
            </w:r>
          </w:p>
        </w:tc>
      </w:tr>
      <w:tr>
        <w:tc>
          <w:tcPr>
            <w:tcMar>
              <w:top w:type="dxa" w:w="50"/>
              <w:left w:type="dxa" w:w="90"/>
              <w:bottom w:type="dxa" w:w="50"/>
              <w:right w:type="dxa" w:w="90"/>
            </w:tcMar>
          </w:tcPr>
          <w:p>
            <w:r>
              <w:rPr>
                <w:sz w:val="19"/>
                <w:szCs w:val="19"/>
              </w:rPr>
              <w:t xml:space="preserve">Review point</w:t>
            </w:r>
          </w:p>
        </w:tc>
        <w:tc>
          <w:tcPr>
            <w:tcMar>
              <w:top w:type="dxa" w:w="50"/>
              <w:left w:type="dxa" w:w="90"/>
              <w:bottom w:type="dxa" w:w="50"/>
              <w:right w:type="dxa" w:w="90"/>
            </w:tcMar>
          </w:tcPr>
          <w:p>
            <w:r>
              <w:rPr>
                <w:sz w:val="19"/>
                <w:szCs w:val="19"/>
              </w:rPr>
              <w:t xml:space="preserve">Reconciliation report reviewed at +24h before widening the rollout</w:t>
            </w:r>
          </w:p>
        </w:tc>
      </w:tr>
    </w:tbl>
    <w:p>
      <w:pPr>
        <w:spacing w:after="80"/>
      </w:pPr>
    </w:p>
    <w:p>
      <w:pPr>
        <w:spacing w:after="90"/>
      </w:pPr>
      <w:r>
        <w:rPr>
          <w:sz w:val="21"/>
          <w:szCs w:val="21"/>
        </w:rPr>
        <w:t xml:space="preserve">Everyone leaves knowing the same thing: it is shipping, but narrowly and watched, and the accepted risk is on the record with the person who accepted it. Marcus, sceptical of QA, sees QA enabling the release rather than blocking it — which does more for QA's credibility than any test-case count.</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Criterion</w:t>
            </w:r>
          </w:p>
        </w:tc>
        <w:tc>
          <w:tcPr>
            <w:shd w:fill="0d1b2a"/>
            <w:tcMar>
              <w:top w:type="dxa" w:w="60"/>
              <w:left w:type="dxa" w:w="90"/>
              <w:bottom w:type="dxa" w:w="60"/>
              <w:right w:type="dxa" w:w="90"/>
            </w:tcMar>
          </w:tcPr>
          <w:p>
            <w:r>
              <w:rPr>
                <w:b/>
                <w:bCs/>
                <w:color w:val="FFFFFF"/>
                <w:sz w:val="19"/>
                <w:szCs w:val="19"/>
              </w:rPr>
              <w:t xml:space="preserve">Status (R/A/G)</w:t>
            </w:r>
          </w:p>
        </w:tc>
        <w:tc>
          <w:tcPr>
            <w:shd w:fill="0d1b2a"/>
            <w:tcMar>
              <w:top w:type="dxa" w:w="60"/>
              <w:left w:type="dxa" w:w="90"/>
              <w:bottom w:type="dxa" w:w="60"/>
              <w:right w:type="dxa" w:w="90"/>
            </w:tcMar>
          </w:tcPr>
          <w:p>
            <w:r>
              <w:rPr>
                <w:b/>
                <w:bCs/>
                <w:color w:val="FFFFFF"/>
                <w:sz w:val="19"/>
                <w:szCs w:val="19"/>
              </w:rPr>
              <w:t xml:space="preserve">Evidence</w:t>
            </w:r>
          </w:p>
        </w:tc>
      </w:tr>
      <w:tr>
        <w:tc>
          <w:tcPr>
            <w:tcMar>
              <w:top w:type="dxa" w:w="50"/>
              <w:left w:type="dxa" w:w="90"/>
              <w:bottom w:type="dxa" w:w="50"/>
              <w:right w:type="dxa" w:w="90"/>
            </w:tcMar>
          </w:tcPr>
          <w:p>
            <w:r>
              <w:rPr>
                <w:sz w:val="19"/>
                <w:szCs w:val="19"/>
              </w:rPr>
              <w:t xml:space="preserve">All Critical and High risks tested or mitigated</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No open critical defects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Regression of impacted areas complete</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Rollback tested and fast</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Monitoring and alerting in place</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Environment / test-data confidence</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Stakeholders informed of residual risk</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Decision record</w:t>
            </w:r>
          </w:p>
        </w:tc>
        <w:tc>
          <w:tcPr>
            <w:shd w:fill="0d1b2a"/>
            <w:tcMar>
              <w:top w:type="dxa" w:w="60"/>
              <w:left w:type="dxa" w:w="90"/>
              <w:bottom w:type="dxa" w:w="60"/>
              <w:right w:type="dxa" w:w="90"/>
            </w:tcMar>
          </w:tcPr>
          <w:p>
            <w:r>
              <w:rPr>
                <w:b/>
                <w:bCs/>
                <w:color w:val="FFFFFF"/>
                <w:sz w:val="19"/>
                <w:szCs w:val="19"/>
              </w:rPr>
              <w:t xml:space="preserve">Value</w:t>
            </w:r>
          </w:p>
        </w:tc>
      </w:tr>
      <w:tr>
        <w:tc>
          <w:tcPr>
            <w:tcMar>
              <w:top w:type="dxa" w:w="50"/>
              <w:left w:type="dxa" w:w="90"/>
              <w:bottom w:type="dxa" w:w="50"/>
              <w:right w:type="dxa" w:w="90"/>
            </w:tcMar>
          </w:tcPr>
          <w:p>
            <w:r>
              <w:rPr>
                <w:sz w:val="19"/>
                <w:szCs w:val="19"/>
              </w:rPr>
              <w:t xml:space="preserve">Residual risk</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Confidence</w:t>
            </w:r>
          </w:p>
        </w:tc>
        <w:tc>
          <w:tcPr>
            <w:tcMar>
              <w:top w:type="dxa" w:w="50"/>
              <w:left w:type="dxa" w:w="90"/>
              <w:bottom w:type="dxa" w:w="50"/>
              <w:right w:type="dxa" w:w="90"/>
            </w:tcMar>
          </w:tcPr>
          <w:p>
            <w:r>
              <w:rPr>
                <w:sz w:val="19"/>
                <w:szCs w:val="19"/>
              </w:rPr>
              <w:t xml:space="preserve">High / Medium / Low</w:t>
            </w:r>
          </w:p>
        </w:tc>
      </w:tr>
      <w:tr>
        <w:tc>
          <w:tcPr>
            <w:tcMar>
              <w:top w:type="dxa" w:w="50"/>
              <w:left w:type="dxa" w:w="90"/>
              <w:bottom w:type="dxa" w:w="50"/>
              <w:right w:type="dxa" w:w="90"/>
            </w:tcMar>
          </w:tcPr>
          <w:p>
            <w:r>
              <w:rPr>
                <w:sz w:val="19"/>
                <w:szCs w:val="19"/>
              </w:rPr>
              <w:t xml:space="preserve">Decision</w:t>
            </w:r>
          </w:p>
        </w:tc>
        <w:tc>
          <w:tcPr>
            <w:tcMar>
              <w:top w:type="dxa" w:w="50"/>
              <w:left w:type="dxa" w:w="90"/>
              <w:bottom w:type="dxa" w:w="50"/>
              <w:right w:type="dxa" w:w="90"/>
            </w:tcMar>
          </w:tcPr>
          <w:p>
            <w:r>
              <w:rPr>
                <w:sz w:val="19"/>
                <w:szCs w:val="19"/>
              </w:rPr>
              <w:t xml:space="preserve">Go / Go with conditions / No-Go</w:t>
            </w:r>
          </w:p>
        </w:tc>
      </w:tr>
      <w:tr>
        <w:tc>
          <w:tcPr>
            <w:tcMar>
              <w:top w:type="dxa" w:w="50"/>
              <w:left w:type="dxa" w:w="90"/>
              <w:bottom w:type="dxa" w:w="50"/>
              <w:right w:type="dxa" w:w="90"/>
            </w:tcMar>
          </w:tcPr>
          <w:p>
            <w:r>
              <w:rPr>
                <w:sz w:val="19"/>
                <w:szCs w:val="19"/>
              </w:rPr>
              <w:t xml:space="preserve">Conditions (blockers)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Decision owner</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What was explicitly accepted</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Review point</w:t>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Letting QA "make the call" — QA advises on risk, the accountable owner decides; running the meeting as a rubber stamp where Red items are talked away without action; marking criteria on opinion rather than evidence; producing no written record, so nobody can reconstruct what was known; and treating every release as needing the full ceremony, which trains people to skip it.</w:t>
      </w:r>
    </w:p>
    <w:p>
      <w:pPr>
        <w:pStyle w:val="ListParagraph"/>
        <w:numPr>
          <w:ilvl w:val="0"/>
          <w:numId w:val="1"/>
        </w:numPr>
        <w:spacing w:after="40"/>
      </w:pPr>
      <w:r>
        <w:rPr>
          <w:sz w:val="21"/>
          <w:szCs w:val="21"/>
        </w:rPr>
        <w:t xml:space="preserve">Inviting people who cannot decide and excluding the one who can.</w:t>
      </w:r>
    </w:p>
    <w:p>
      <w:pPr>
        <w:pStyle w:val="ListParagraph"/>
        <w:numPr>
          <w:ilvl w:val="0"/>
          <w:numId w:val="1"/>
        </w:numPr>
        <w:spacing w:after="40"/>
      </w:pPr>
      <w:r>
        <w:rPr>
          <w:sz w:val="21"/>
          <w:szCs w:val="21"/>
        </w:rPr>
        <w:t xml:space="preserve">Accepting risk verbally without recording who accepted it and what exactly they accepted.</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Any Red on a Critical/High-risk criterion should force either a No-Go or a specific, owned mitigation — never a shrug.</w:t>
      </w:r>
    </w:p>
    <w:p>
      <w:pPr>
        <w:pStyle w:val="ListParagraph"/>
        <w:numPr>
          <w:ilvl w:val="0"/>
          <w:numId w:val="1"/>
        </w:numPr>
        <w:spacing w:after="40"/>
      </w:pPr>
      <w:r>
        <w:rPr>
          <w:sz w:val="21"/>
          <w:szCs w:val="21"/>
        </w:rPr>
        <w:t xml:space="preserve">A row of Ambers with real mitigations is a healthy "Go with conditions"; a row of Ambers with no mitigations is a No-Go wearing optimism.</w:t>
      </w:r>
    </w:p>
    <w:p>
      <w:pPr>
        <w:pStyle w:val="ListParagraph"/>
        <w:numPr>
          <w:ilvl w:val="0"/>
          <w:numId w:val="1"/>
        </w:numPr>
        <w:spacing w:after="40"/>
      </w:pPr>
      <w:r>
        <w:rPr>
          <w:sz w:val="21"/>
          <w:szCs w:val="21"/>
        </w:rPr>
        <w:t xml:space="preserve">The value is in the record. Six months later, the decision log is what protects the team and improves the next decision.</w:t>
      </w:r>
    </w:p>
    <w:p>
      <w:pPr>
        <w:pStyle w:val="ListParagraph"/>
        <w:numPr>
          <w:ilvl w:val="0"/>
          <w:numId w:val="1"/>
        </w:numPr>
        <w:spacing w:after="40"/>
      </w:pPr>
      <w:r>
        <w:rPr>
          <w:sz w:val="21"/>
          <w:szCs w:val="21"/>
        </w:rPr>
        <w:t xml:space="preserve">If the same criterion is Red release after release (for Northstar, environment stability), that is a systemic problem to escalate, not a per-release nuisance.</w:t>
      </w:r>
    </w:p>
    <w:p>
      <w:pPr>
        <w:pStyle w:val="ListParagraph"/>
        <w:numPr>
          <w:ilvl w:val="0"/>
          <w:numId w:val="1"/>
        </w:numPr>
        <w:spacing w:after="40"/>
      </w:pPr>
      <w:r>
        <w:rPr>
          <w:sz w:val="21"/>
          <w:szCs w:val="21"/>
        </w:rPr>
        <w:t xml:space="preserve">Right-size the ceremony: a small, low-risk change needs a two-minute async check; a payments change needs the full meeting.</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The decision owner is never QA. Your job is to make the risk impossible to misunderstand and then hand the decision to the person accountable for the outcome. Do this consistently and you convert QA from "the team that blocks releases" into "the team that lets us ship with our eyes open" — a reputation worth far more than a veto.</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 / No-Go Decision Template</dc:title>
  <dc:creator>Inside STLC Academy</dc:creator>
  <cp:lastModifiedBy>Un-named</cp:lastModifiedBy>
  <cp:revision>1</cp:revision>
  <dcterms:created xsi:type="dcterms:W3CDTF">2026-08-10T13:22:58.627Z</dcterms:created>
  <dcterms:modified xsi:type="dcterms:W3CDTF">2026-08-10T13:22:58.627Z</dcterms:modified>
</cp:coreProperties>
</file>

<file path=docProps/custom.xml><?xml version="1.0" encoding="utf-8"?>
<Properties xmlns="http://schemas.openxmlformats.org/officeDocument/2006/custom-properties" xmlns:vt="http://schemas.openxmlformats.org/officeDocument/2006/docPropsVTypes"/>
</file>