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QA LEADERSHIP ACADEMY</w:t>
      </w:r>
    </w:p>
    <w:p>
      <w:pPr>
        <w:spacing w:after="60"/>
      </w:pPr>
      <w:r>
        <w:rPr>
          <w:b/>
          <w:bCs/>
          <w:color w:val="0d1b2a"/>
          <w:sz w:val="40"/>
          <w:szCs w:val="40"/>
        </w:rPr>
        <w:t xml:space="preserve">QA Skills Matrix</w:t>
      </w:r>
    </w:p>
    <w:p>
      <w:pPr>
        <w:spacing w:after="120"/>
      </w:pPr>
      <w:r>
        <w:rPr>
          <w:i/>
          <w:iCs/>
          <w:color w:val="6b7280"/>
          <w:sz w:val="22"/>
          <w:szCs w:val="22"/>
        </w:rPr>
        <w:t xml:space="preserve">Map your team’s real capability across twelve competencies, expose gaps and spot key-person risk before it bites.</w:t>
      </w:r>
    </w:p>
    <w:p>
      <w:pPr>
        <w:pBdr>
          <w:bottom w:val="single" w:color="e9b949" w:sz="18"/>
        </w:pBdr>
        <w:spacing w:after="160"/>
      </w:pPr>
    </w:p>
    <w:p>
      <w:pPr>
        <w:pBdr>
          <w:bottom w:val="single" w:color="e9b949" w:sz="12"/>
        </w:pBdr>
        <w:spacing w:after="100" w:before="260"/>
      </w:pPr>
      <w:r>
        <w:rPr>
          <w:b/>
          <w:bCs/>
          <w:color w:val="d4a438"/>
          <w:sz w:val="30"/>
          <w:szCs w:val="30"/>
        </w:rPr>
        <w:t xml:space="preserve">Purpose</w:t>
      </w:r>
    </w:p>
    <w:p>
      <w:pPr>
        <w:spacing w:after="90"/>
      </w:pPr>
      <w:r>
        <w:rPr>
          <w:sz w:val="21"/>
          <w:szCs w:val="21"/>
        </w:rPr>
        <w:t xml:space="preserve">A skills matrix turns vague impressions ("Dan does the automation, Sofia is our strongest tester") into an evidence base you can act on. It plots each engineer against a defined set of competencies using a shared proficiency scale, so you can see where the team is deep, where it is thin, and where a single person is carrying a capability on their own.</w:t>
      </w:r>
    </w:p>
    <w:p>
      <w:pPr>
        <w:spacing w:after="90"/>
      </w:pPr>
      <w:r>
        <w:rPr>
          <w:sz w:val="21"/>
          <w:szCs w:val="21"/>
        </w:rPr>
        <w:t xml:space="preserve">Used well, it drives three decisions: what to hire for, what to develop, and where to reduce key-person risk.</w:t>
      </w:r>
    </w:p>
    <w:p>
      <w:pPr>
        <w:pBdr>
          <w:bottom w:val="single" w:color="e9b949" w:sz="12"/>
        </w:pBdr>
        <w:spacing w:after="100" w:before="260"/>
      </w:pPr>
      <w:r>
        <w:rPr>
          <w:b/>
          <w:bCs/>
          <w:color w:val="d4a438"/>
          <w:sz w:val="30"/>
          <w:szCs w:val="30"/>
        </w:rPr>
        <w:t xml:space="preserve">When to use it</w:t>
      </w:r>
    </w:p>
    <w:p>
      <w:pPr>
        <w:pStyle w:val="ListParagraph"/>
        <w:numPr>
          <w:ilvl w:val="0"/>
          <w:numId w:val="1"/>
        </w:numPr>
        <w:spacing w:after="40"/>
      </w:pPr>
      <w:r>
        <w:rPr>
          <w:sz w:val="21"/>
          <w:szCs w:val="21"/>
        </w:rPr>
        <w:t xml:space="preserve">In your first 90 days leading a team, to replace hearsay with a baseline.</w:t>
      </w:r>
    </w:p>
    <w:p>
      <w:pPr>
        <w:pStyle w:val="ListParagraph"/>
        <w:numPr>
          <w:ilvl w:val="0"/>
          <w:numId w:val="1"/>
        </w:numPr>
        <w:spacing w:after="40"/>
      </w:pPr>
      <w:r>
        <w:rPr>
          <w:sz w:val="21"/>
          <w:szCs w:val="21"/>
        </w:rPr>
        <w:t xml:space="preserve">Before writing a job description — so you hire for the gap, not for a clone of who you already have.</w:t>
      </w:r>
    </w:p>
    <w:p>
      <w:pPr>
        <w:pStyle w:val="ListParagraph"/>
        <w:numPr>
          <w:ilvl w:val="0"/>
          <w:numId w:val="1"/>
        </w:numPr>
        <w:spacing w:after="40"/>
      </w:pPr>
      <w:r>
        <w:rPr>
          <w:sz w:val="21"/>
          <w:szCs w:val="21"/>
        </w:rPr>
        <w:t xml:space="preserve">At planning time, to decide which work only one person can currently do.</w:t>
      </w:r>
    </w:p>
    <w:p>
      <w:pPr>
        <w:pStyle w:val="ListParagraph"/>
        <w:numPr>
          <w:ilvl w:val="0"/>
          <w:numId w:val="1"/>
        </w:numPr>
        <w:spacing w:after="40"/>
      </w:pPr>
      <w:r>
        <w:rPr>
          <w:sz w:val="21"/>
          <w:szCs w:val="21"/>
        </w:rPr>
        <w:t xml:space="preserve">Ahead of development conversations, to ground each person’s growth plan in evidence.</w:t>
      </w:r>
    </w:p>
    <w:p>
      <w:pPr>
        <w:pStyle w:val="ListParagraph"/>
        <w:numPr>
          <w:ilvl w:val="0"/>
          <w:numId w:val="1"/>
        </w:numPr>
        <w:spacing w:after="40"/>
      </w:pPr>
      <w:r>
        <w:rPr>
          <w:sz w:val="21"/>
          <w:szCs w:val="21"/>
        </w:rPr>
        <w:t xml:space="preserve">Twice a year as a living document — not a one-off audit that rots in a drawer.</w:t>
      </w:r>
    </w:p>
    <w:p>
      <w:pPr>
        <w:pBdr>
          <w:bottom w:val="single" w:color="e9b949" w:sz="12"/>
        </w:pBdr>
        <w:spacing w:after="100" w:before="260"/>
      </w:pPr>
      <w:r>
        <w:rPr>
          <w:b/>
          <w:bCs/>
          <w:color w:val="d4a438"/>
          <w:sz w:val="30"/>
          <w:szCs w:val="30"/>
        </w:rPr>
        <w:t xml:space="preserve">Instructions</w:t>
      </w:r>
    </w:p>
    <w:p>
      <w:pPr>
        <w:pStyle w:val="ListParagraph"/>
        <w:numPr>
          <w:ilvl w:val="0"/>
          <w:numId w:val="2"/>
        </w:numPr>
        <w:spacing w:after="40"/>
      </w:pPr>
      <w:r>
        <w:rPr>
          <w:sz w:val="21"/>
          <w:szCs w:val="21"/>
        </w:rPr>
        <w:t xml:space="preserve">Agree the competencies that matter for your context. Twelve is a sensible ceiling; more becomes noise.</w:t>
      </w:r>
    </w:p>
    <w:p>
      <w:pPr>
        <w:pStyle w:val="ListParagraph"/>
        <w:numPr>
          <w:ilvl w:val="0"/>
          <w:numId w:val="2"/>
        </w:numPr>
        <w:spacing w:after="40"/>
      </w:pPr>
      <w:r>
        <w:rPr>
          <w:sz w:val="21"/>
          <w:szCs w:val="21"/>
        </w:rPr>
        <w:t xml:space="preserve">Adopt the behaviourally-anchored 0–4 scale below so a "3" means the same thing for everyone.</w:t>
      </w:r>
    </w:p>
    <w:p>
      <w:pPr>
        <w:pStyle w:val="ListParagraph"/>
        <w:numPr>
          <w:ilvl w:val="0"/>
          <w:numId w:val="2"/>
        </w:numPr>
        <w:spacing w:after="40"/>
      </w:pPr>
      <w:r>
        <w:rPr>
          <w:sz w:val="21"/>
          <w:szCs w:val="21"/>
        </w:rPr>
        <w:t xml:space="preserve">Rate on observed behaviour, not job titles or how long someone has been testing.</w:t>
      </w:r>
    </w:p>
    <w:p>
      <w:pPr>
        <w:pStyle w:val="ListParagraph"/>
        <w:numPr>
          <w:ilvl w:val="0"/>
          <w:numId w:val="2"/>
        </w:numPr>
        <w:spacing w:after="40"/>
      </w:pPr>
      <w:r>
        <w:rPr>
          <w:sz w:val="21"/>
          <w:szCs w:val="21"/>
        </w:rPr>
        <w:t xml:space="preserve">Have each engineer self-assess first, then calibrate together. The conversation about the gap between the two scores is often more useful than either number.</w:t>
      </w:r>
    </w:p>
    <w:p>
      <w:pPr>
        <w:pStyle w:val="ListParagraph"/>
        <w:numPr>
          <w:ilvl w:val="0"/>
          <w:numId w:val="2"/>
        </w:numPr>
        <w:spacing w:after="40"/>
      </w:pPr>
      <w:r>
        <w:rPr>
          <w:sz w:val="21"/>
          <w:szCs w:val="21"/>
        </w:rPr>
        <w:t xml:space="preserve">Roll the ratings up into a gap analysis and a key-person-risk check.</w:t>
      </w:r>
    </w:p>
    <w:p>
      <w:pPr>
        <w:pStyle w:val="ListParagraph"/>
        <w:numPr>
          <w:ilvl w:val="0"/>
          <w:numId w:val="2"/>
        </w:numPr>
        <w:spacing w:after="40"/>
      </w:pPr>
      <w:r>
        <w:rPr>
          <w:sz w:val="21"/>
          <w:szCs w:val="21"/>
        </w:rPr>
        <w:t xml:space="preserve">Share it openly with the team. A secret matrix breeds suspicion; a shared one drives development.</w:t>
      </w:r>
    </w:p>
    <w:p>
      <w:pPr>
        <w:spacing w:after="60" w:before="180"/>
      </w:pPr>
      <w:r>
        <w:rPr>
          <w:b/>
          <w:bCs/>
          <w:color w:val="0d1b2a"/>
          <w:sz w:val="24"/>
          <w:szCs w:val="24"/>
        </w:rPr>
        <w:t xml:space="preserve">Proficiency scale (behaviourally anchored, 0–4)</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Level</w:t>
            </w:r>
          </w:p>
        </w:tc>
        <w:tc>
          <w:tcPr>
            <w:shd w:fill="0d1b2a"/>
            <w:tcMar>
              <w:top w:type="dxa" w:w="60"/>
              <w:left w:type="dxa" w:w="90"/>
              <w:bottom w:type="dxa" w:w="60"/>
              <w:right w:type="dxa" w:w="90"/>
            </w:tcMar>
          </w:tcPr>
          <w:p>
            <w:r>
              <w:rPr>
                <w:b/>
                <w:bCs/>
                <w:color w:val="FFFFFF"/>
                <w:sz w:val="19"/>
                <w:szCs w:val="19"/>
              </w:rPr>
              <w:t xml:space="preserve">Label</w:t>
            </w:r>
          </w:p>
        </w:tc>
        <w:tc>
          <w:tcPr>
            <w:shd w:fill="0d1b2a"/>
            <w:tcMar>
              <w:top w:type="dxa" w:w="60"/>
              <w:left w:type="dxa" w:w="90"/>
              <w:bottom w:type="dxa" w:w="60"/>
              <w:right w:type="dxa" w:w="90"/>
            </w:tcMar>
          </w:tcPr>
          <w:p>
            <w:r>
              <w:rPr>
                <w:b/>
                <w:bCs/>
                <w:color w:val="FFFFFF"/>
                <w:sz w:val="19"/>
                <w:szCs w:val="19"/>
              </w:rPr>
              <w:t xml:space="preserve">What it looks like in practice</w:t>
            </w:r>
          </w:p>
        </w:tc>
      </w:tr>
      <w:tr>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None</w:t>
            </w:r>
          </w:p>
        </w:tc>
        <w:tc>
          <w:tcPr>
            <w:tcMar>
              <w:top w:type="dxa" w:w="50"/>
              <w:left w:type="dxa" w:w="90"/>
              <w:bottom w:type="dxa" w:w="50"/>
              <w:right w:type="dxa" w:w="90"/>
            </w:tcMar>
          </w:tcPr>
          <w:p>
            <w:r>
              <w:rPr>
                <w:sz w:val="19"/>
                <w:szCs w:val="19"/>
              </w:rPr>
              <w:t xml:space="preserve">No exposure. Cannot yet contribute in this area.</w:t>
            </w:r>
          </w:p>
        </w:tc>
      </w:tr>
      <w:tr>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Awareness</w:t>
            </w:r>
          </w:p>
        </w:tc>
        <w:tc>
          <w:tcPr>
            <w:tcMar>
              <w:top w:type="dxa" w:w="50"/>
              <w:left w:type="dxa" w:w="90"/>
              <w:bottom w:type="dxa" w:w="50"/>
              <w:right w:type="dxa" w:w="90"/>
            </w:tcMar>
          </w:tcPr>
          <w:p>
            <w:r>
              <w:rPr>
                <w:sz w:val="19"/>
                <w:szCs w:val="19"/>
              </w:rPr>
              <w:t xml:space="preserve">Can describe the concept and why it matters; needs close guidance to do it. Follows a runbook someone else wrote.</w:t>
            </w:r>
          </w:p>
        </w:tc>
      </w:tr>
      <w:tr>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Working</w:t>
            </w:r>
          </w:p>
        </w:tc>
        <w:tc>
          <w:tcPr>
            <w:tcMar>
              <w:top w:type="dxa" w:w="50"/>
              <w:left w:type="dxa" w:w="90"/>
              <w:bottom w:type="dxa" w:w="50"/>
              <w:right w:type="dxa" w:w="90"/>
            </w:tcMar>
          </w:tcPr>
          <w:p>
            <w:r>
              <w:rPr>
                <w:sz w:val="19"/>
                <w:szCs w:val="19"/>
              </w:rPr>
              <w:t xml:space="preserve">Handles routine cases independently; asks for help on the harder ones. Reliable on the day-to-day.</w:t>
            </w:r>
          </w:p>
        </w:tc>
      </w:tr>
      <w:tr>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Proficient</w:t>
            </w:r>
          </w:p>
        </w:tc>
        <w:tc>
          <w:tcPr>
            <w:tcMar>
              <w:top w:type="dxa" w:w="50"/>
              <w:left w:type="dxa" w:w="90"/>
              <w:bottom w:type="dxa" w:w="50"/>
              <w:right w:type="dxa" w:w="90"/>
            </w:tcMar>
          </w:tcPr>
          <w:p>
            <w:r>
              <w:rPr>
                <w:sz w:val="19"/>
                <w:szCs w:val="19"/>
              </w:rPr>
              <w:t xml:space="preserve">Handles complex, ambiguous cases independently. Sets the local standard and reviews others’ work in this area.</w:t>
            </w:r>
          </w:p>
        </w:tc>
      </w:tr>
      <w:tr>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Expert</w:t>
            </w:r>
          </w:p>
        </w:tc>
        <w:tc>
          <w:tcPr>
            <w:tcMar>
              <w:top w:type="dxa" w:w="50"/>
              <w:left w:type="dxa" w:w="90"/>
              <w:bottom w:type="dxa" w:w="50"/>
              <w:right w:type="dxa" w:w="90"/>
            </w:tcMar>
          </w:tcPr>
          <w:p>
            <w:r>
              <w:rPr>
                <w:sz w:val="19"/>
                <w:szCs w:val="19"/>
              </w:rPr>
              <w:t xml:space="preserve">Defines the approach for the whole org, is the person others are sent to, and actively grows this capability in others.</w:t>
            </w:r>
          </w:p>
        </w:tc>
      </w:tr>
    </w:tbl>
    <w:p>
      <w:pPr>
        <w:spacing w:after="80"/>
      </w:pPr>
    </w:p>
    <w:p>
      <w:pPr>
        <w:pBdr>
          <w:bottom w:val="single" w:color="e9b949" w:sz="12"/>
        </w:pBdr>
        <w:spacing w:after="100" w:before="260"/>
      </w:pPr>
      <w:r>
        <w:rPr>
          <w:b/>
          <w:bCs/>
          <w:color w:val="d4a438"/>
          <w:sz w:val="30"/>
          <w:szCs w:val="30"/>
        </w:rPr>
        <w:t xml:space="preserve">Worked example</w:t>
      </w:r>
    </w:p>
    <w:p>
      <w:pPr>
        <w:spacing w:after="90"/>
      </w:pPr>
      <w:r>
        <w:rPr>
          <w:sz w:val="21"/>
          <w:szCs w:val="21"/>
        </w:rPr>
        <w:t xml:space="preserve">Northstar Digital’s inherited team of six, rated across twelve competencies. Ratings are the lead’s calibrated assessment, not the engineers’ self-scores.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Competency</w:t>
            </w:r>
          </w:p>
        </w:tc>
        <w:tc>
          <w:tcPr>
            <w:shd w:fill="0d1b2a"/>
            <w:tcMar>
              <w:top w:type="dxa" w:w="60"/>
              <w:left w:type="dxa" w:w="90"/>
              <w:bottom w:type="dxa" w:w="60"/>
              <w:right w:type="dxa" w:w="90"/>
            </w:tcMar>
          </w:tcPr>
          <w:p>
            <w:r>
              <w:rPr>
                <w:b/>
                <w:bCs/>
                <w:color w:val="FFFFFF"/>
                <w:sz w:val="19"/>
                <w:szCs w:val="19"/>
              </w:rPr>
              <w:t xml:space="preserve">Sofia</w:t>
            </w:r>
          </w:p>
        </w:tc>
        <w:tc>
          <w:tcPr>
            <w:shd w:fill="0d1b2a"/>
            <w:tcMar>
              <w:top w:type="dxa" w:w="60"/>
              <w:left w:type="dxa" w:w="90"/>
              <w:bottom w:type="dxa" w:w="60"/>
              <w:right w:type="dxa" w:w="90"/>
            </w:tcMar>
          </w:tcPr>
          <w:p>
            <w:r>
              <w:rPr>
                <w:b/>
                <w:bCs/>
                <w:color w:val="FFFFFF"/>
                <w:sz w:val="19"/>
                <w:szCs w:val="19"/>
              </w:rPr>
              <w:t xml:space="preserve">Dan</w:t>
            </w:r>
          </w:p>
        </w:tc>
        <w:tc>
          <w:tcPr>
            <w:shd w:fill="0d1b2a"/>
            <w:tcMar>
              <w:top w:type="dxa" w:w="60"/>
              <w:left w:type="dxa" w:w="90"/>
              <w:bottom w:type="dxa" w:w="60"/>
              <w:right w:type="dxa" w:w="90"/>
            </w:tcMar>
          </w:tcPr>
          <w:p>
            <w:r>
              <w:rPr>
                <w:b/>
                <w:bCs/>
                <w:color w:val="FFFFFF"/>
                <w:sz w:val="19"/>
                <w:szCs w:val="19"/>
              </w:rPr>
              <w:t xml:space="preserve">Ravi</w:t>
            </w:r>
          </w:p>
        </w:tc>
        <w:tc>
          <w:tcPr>
            <w:shd w:fill="0d1b2a"/>
            <w:tcMar>
              <w:top w:type="dxa" w:w="60"/>
              <w:left w:type="dxa" w:w="90"/>
              <w:bottom w:type="dxa" w:w="60"/>
              <w:right w:type="dxa" w:w="90"/>
            </w:tcMar>
          </w:tcPr>
          <w:p>
            <w:r>
              <w:rPr>
                <w:b/>
                <w:bCs/>
                <w:color w:val="FFFFFF"/>
                <w:sz w:val="19"/>
                <w:szCs w:val="19"/>
              </w:rPr>
              <w:t xml:space="preserve">Grace</w:t>
            </w:r>
          </w:p>
        </w:tc>
        <w:tc>
          <w:tcPr>
            <w:shd w:fill="0d1b2a"/>
            <w:tcMar>
              <w:top w:type="dxa" w:w="60"/>
              <w:left w:type="dxa" w:w="90"/>
              <w:bottom w:type="dxa" w:w="60"/>
              <w:right w:type="dxa" w:w="90"/>
            </w:tcMar>
          </w:tcPr>
          <w:p>
            <w:r>
              <w:rPr>
                <w:b/>
                <w:bCs/>
                <w:color w:val="FFFFFF"/>
                <w:sz w:val="19"/>
                <w:szCs w:val="19"/>
              </w:rPr>
              <w:t xml:space="preserve">Hassan</w:t>
            </w:r>
          </w:p>
        </w:tc>
        <w:tc>
          <w:tcPr>
            <w:shd w:fill="0d1b2a"/>
            <w:tcMar>
              <w:top w:type="dxa" w:w="60"/>
              <w:left w:type="dxa" w:w="90"/>
              <w:bottom w:type="dxa" w:w="60"/>
              <w:right w:type="dxa" w:w="90"/>
            </w:tcMar>
          </w:tcPr>
          <w:p>
            <w:r>
              <w:rPr>
                <w:b/>
                <w:bCs/>
                <w:color w:val="FFFFFF"/>
                <w:sz w:val="19"/>
                <w:szCs w:val="19"/>
              </w:rPr>
              <w:t xml:space="preserve">Emma</w:t>
            </w:r>
          </w:p>
        </w:tc>
        <w:tc>
          <w:tcPr>
            <w:shd w:fill="0d1b2a"/>
            <w:tcMar>
              <w:top w:type="dxa" w:w="60"/>
              <w:left w:type="dxa" w:w="90"/>
              <w:bottom w:type="dxa" w:w="60"/>
              <w:right w:type="dxa" w:w="90"/>
            </w:tcMar>
          </w:tcPr>
          <w:p>
            <w:r>
              <w:rPr>
                <w:b/>
                <w:bCs/>
                <w:color w:val="FFFFFF"/>
                <w:sz w:val="19"/>
                <w:szCs w:val="19"/>
              </w:rPr>
              <w:t xml:space="preserve">Team high</w:t>
            </w:r>
          </w:p>
        </w:tc>
      </w:tr>
      <w:tr>
        <w:tc>
          <w:tcPr>
            <w:tcMar>
              <w:top w:type="dxa" w:w="50"/>
              <w:left w:type="dxa" w:w="90"/>
              <w:bottom w:type="dxa" w:w="50"/>
              <w:right w:type="dxa" w:w="90"/>
            </w:tcMar>
          </w:tcPr>
          <w:p>
            <w:r>
              <w:rPr>
                <w:sz w:val="19"/>
                <w:szCs w:val="19"/>
              </w:rPr>
              <w:t xml:space="preserve">Exploratory testing</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4</w:t>
            </w:r>
          </w:p>
        </w:tc>
      </w:tr>
      <w:tr>
        <w:tc>
          <w:tcPr>
            <w:tcMar>
              <w:top w:type="dxa" w:w="50"/>
              <w:left w:type="dxa" w:w="90"/>
              <w:bottom w:type="dxa" w:w="50"/>
              <w:right w:type="dxa" w:w="90"/>
            </w:tcMar>
          </w:tcPr>
          <w:p>
            <w:r>
              <w:rPr>
                <w:sz w:val="19"/>
                <w:szCs w:val="19"/>
              </w:rPr>
              <w:t xml:space="preserve">Test design techniques</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r>
      <w:tr>
        <w:tc>
          <w:tcPr>
            <w:tcMar>
              <w:top w:type="dxa" w:w="50"/>
              <w:left w:type="dxa" w:w="90"/>
              <w:bottom w:type="dxa" w:w="50"/>
              <w:right w:type="dxa" w:w="90"/>
            </w:tcMar>
          </w:tcPr>
          <w:p>
            <w:r>
              <w:rPr>
                <w:sz w:val="19"/>
                <w:szCs w:val="19"/>
              </w:rPr>
              <w:t xml:space="preserve">UI automation</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r>
      <w:tr>
        <w:tc>
          <w:tcPr>
            <w:tcMar>
              <w:top w:type="dxa" w:w="50"/>
              <w:left w:type="dxa" w:w="90"/>
              <w:bottom w:type="dxa" w:w="50"/>
              <w:right w:type="dxa" w:w="90"/>
            </w:tcMar>
          </w:tcPr>
          <w:p>
            <w:r>
              <w:rPr>
                <w:sz w:val="19"/>
                <w:szCs w:val="19"/>
              </w:rPr>
              <w:t xml:space="preserve">API / contract testing</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r>
      <w:tr>
        <w:tc>
          <w:tcPr>
            <w:tcMar>
              <w:top w:type="dxa" w:w="50"/>
              <w:left w:type="dxa" w:w="90"/>
              <w:bottom w:type="dxa" w:w="50"/>
              <w:right w:type="dxa" w:w="90"/>
            </w:tcMar>
          </w:tcPr>
          <w:p>
            <w:r>
              <w:rPr>
                <w:sz w:val="19"/>
                <w:szCs w:val="19"/>
              </w:rPr>
              <w:t xml:space="preserve">Performance testing</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1</w:t>
            </w:r>
          </w:p>
        </w:tc>
      </w:tr>
      <w:tr>
        <w:tc>
          <w:tcPr>
            <w:tcMar>
              <w:top w:type="dxa" w:w="50"/>
              <w:left w:type="dxa" w:w="90"/>
              <w:bottom w:type="dxa" w:w="50"/>
              <w:right w:type="dxa" w:w="90"/>
            </w:tcMar>
          </w:tcPr>
          <w:p>
            <w:r>
              <w:rPr>
                <w:sz w:val="19"/>
                <w:szCs w:val="19"/>
              </w:rPr>
              <w:t xml:space="preserve">Security awareness</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r>
      <w:tr>
        <w:tc>
          <w:tcPr>
            <w:tcMar>
              <w:top w:type="dxa" w:w="50"/>
              <w:left w:type="dxa" w:w="90"/>
              <w:bottom w:type="dxa" w:w="50"/>
              <w:right w:type="dxa" w:w="90"/>
            </w:tcMar>
          </w:tcPr>
          <w:p>
            <w:r>
              <w:rPr>
                <w:sz w:val="19"/>
                <w:szCs w:val="19"/>
              </w:rPr>
              <w:t xml:space="preserve">Accessibility</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r>
      <w:tr>
        <w:tc>
          <w:tcPr>
            <w:tcMar>
              <w:top w:type="dxa" w:w="50"/>
              <w:left w:type="dxa" w:w="90"/>
              <w:bottom w:type="dxa" w:w="50"/>
              <w:right w:type="dxa" w:w="90"/>
            </w:tcMar>
          </w:tcPr>
          <w:p>
            <w:r>
              <w:rPr>
                <w:sz w:val="19"/>
                <w:szCs w:val="19"/>
              </w:rPr>
              <w:t xml:space="preserve">Domain knowledge (payments/finance)</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4</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4</w:t>
            </w:r>
          </w:p>
        </w:tc>
      </w:tr>
      <w:tr>
        <w:tc>
          <w:tcPr>
            <w:tcMar>
              <w:top w:type="dxa" w:w="50"/>
              <w:left w:type="dxa" w:w="90"/>
              <w:bottom w:type="dxa" w:w="50"/>
              <w:right w:type="dxa" w:w="90"/>
            </w:tcMar>
          </w:tcPr>
          <w:p>
            <w:r>
              <w:rPr>
                <w:sz w:val="19"/>
                <w:szCs w:val="19"/>
              </w:rPr>
              <w:t xml:space="preserve">Defect analysis &amp; reporting</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r>
      <w:tr>
        <w:tc>
          <w:tcPr>
            <w:tcMar>
              <w:top w:type="dxa" w:w="50"/>
              <w:left w:type="dxa" w:w="90"/>
              <w:bottom w:type="dxa" w:w="50"/>
              <w:right w:type="dxa" w:w="90"/>
            </w:tcMar>
          </w:tcPr>
          <w:p>
            <w:r>
              <w:rPr>
                <w:sz w:val="19"/>
                <w:szCs w:val="19"/>
              </w:rPr>
              <w:t xml:space="preserve">CI/CD &amp; pipelines</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3</w:t>
            </w:r>
          </w:p>
        </w:tc>
      </w:tr>
      <w:tr>
        <w:tc>
          <w:tcPr>
            <w:tcMar>
              <w:top w:type="dxa" w:w="50"/>
              <w:left w:type="dxa" w:w="90"/>
              <w:bottom w:type="dxa" w:w="50"/>
              <w:right w:type="dxa" w:w="90"/>
            </w:tcMar>
          </w:tcPr>
          <w:p>
            <w:r>
              <w:rPr>
                <w:sz w:val="19"/>
                <w:szCs w:val="19"/>
              </w:rPr>
              <w:t xml:space="preserve">Stakeholder communication</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3</w:t>
            </w:r>
          </w:p>
        </w:tc>
      </w:tr>
      <w:tr>
        <w:tc>
          <w:tcPr>
            <w:tcMar>
              <w:top w:type="dxa" w:w="50"/>
              <w:left w:type="dxa" w:w="90"/>
              <w:bottom w:type="dxa" w:w="50"/>
              <w:right w:type="dxa" w:w="90"/>
            </w:tcMar>
          </w:tcPr>
          <w:p>
            <w:r>
              <w:rPr>
                <w:sz w:val="19"/>
                <w:szCs w:val="19"/>
              </w:rPr>
              <w:t xml:space="preserve">Mentoring &amp; coaching</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0</w:t>
            </w:r>
          </w:p>
        </w:tc>
        <w:tc>
          <w:tcPr>
            <w:tcMar>
              <w:top w:type="dxa" w:w="50"/>
              <w:left w:type="dxa" w:w="90"/>
              <w:bottom w:type="dxa" w:w="50"/>
              <w:right w:type="dxa" w:w="90"/>
            </w:tcMar>
          </w:tcPr>
          <w:p>
            <w:r>
              <w:rPr>
                <w:sz w:val="19"/>
                <w:szCs w:val="19"/>
              </w:rPr>
              <w:t xml:space="preserve">3</w:t>
            </w:r>
          </w:p>
        </w:tc>
      </w:tr>
    </w:tbl>
    <w:p>
      <w:pPr>
        <w:spacing w:after="80"/>
      </w:pPr>
    </w:p>
    <w:p>
      <w:pPr>
        <w:spacing w:after="60" w:before="180"/>
      </w:pPr>
      <w:r>
        <w:rPr>
          <w:b/>
          <w:bCs/>
          <w:color w:val="0d1b2a"/>
          <w:sz w:val="24"/>
          <w:szCs w:val="24"/>
        </w:rPr>
        <w:t xml:space="preserve">Gap analysis</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Competency</w:t>
            </w:r>
          </w:p>
        </w:tc>
        <w:tc>
          <w:tcPr>
            <w:shd w:fill="0d1b2a"/>
            <w:tcMar>
              <w:top w:type="dxa" w:w="60"/>
              <w:left w:type="dxa" w:w="90"/>
              <w:bottom w:type="dxa" w:w="60"/>
              <w:right w:type="dxa" w:w="90"/>
            </w:tcMar>
          </w:tcPr>
          <w:p>
            <w:r>
              <w:rPr>
                <w:b/>
                <w:bCs/>
                <w:color w:val="FFFFFF"/>
                <w:sz w:val="19"/>
                <w:szCs w:val="19"/>
              </w:rPr>
              <w:t xml:space="preserve">Team high</w:t>
            </w:r>
          </w:p>
        </w:tc>
        <w:tc>
          <w:tcPr>
            <w:shd w:fill="0d1b2a"/>
            <w:tcMar>
              <w:top w:type="dxa" w:w="60"/>
              <w:left w:type="dxa" w:w="90"/>
              <w:bottom w:type="dxa" w:w="60"/>
              <w:right w:type="dxa" w:w="90"/>
            </w:tcMar>
          </w:tcPr>
          <w:p>
            <w:r>
              <w:rPr>
                <w:b/>
                <w:bCs/>
                <w:color w:val="FFFFFF"/>
                <w:sz w:val="19"/>
                <w:szCs w:val="19"/>
              </w:rPr>
              <w:t xml:space="preserve">Read</w:t>
            </w:r>
          </w:p>
        </w:tc>
        <w:tc>
          <w:tcPr>
            <w:shd w:fill="0d1b2a"/>
            <w:tcMar>
              <w:top w:type="dxa" w:w="60"/>
              <w:left w:type="dxa" w:w="90"/>
              <w:bottom w:type="dxa" w:w="60"/>
              <w:right w:type="dxa" w:w="90"/>
            </w:tcMar>
          </w:tcPr>
          <w:p>
            <w:r>
              <w:rPr>
                <w:b/>
                <w:bCs/>
                <w:color w:val="FFFFFF"/>
                <w:sz w:val="19"/>
                <w:szCs w:val="19"/>
              </w:rPr>
              <w:t xml:space="preserve">Priority</w:t>
            </w:r>
          </w:p>
        </w:tc>
      </w:tr>
      <w:tr>
        <w:tc>
          <w:tcPr>
            <w:tcMar>
              <w:top w:type="dxa" w:w="50"/>
              <w:left w:type="dxa" w:w="90"/>
              <w:bottom w:type="dxa" w:w="50"/>
              <w:right w:type="dxa" w:w="90"/>
            </w:tcMar>
          </w:tcPr>
          <w:p>
            <w:r>
              <w:rPr>
                <w:sz w:val="19"/>
                <w:szCs w:val="19"/>
              </w:rPr>
              <w:t xml:space="preserve">Performance testing</w:t>
            </w:r>
          </w:p>
        </w:tc>
        <w:tc>
          <w:tcPr>
            <w:tcMar>
              <w:top w:type="dxa" w:w="50"/>
              <w:left w:type="dxa" w:w="90"/>
              <w:bottom w:type="dxa" w:w="50"/>
              <w:right w:type="dxa" w:w="90"/>
            </w:tcMar>
          </w:tcPr>
          <w:p>
            <w:r>
              <w:rPr>
                <w:sz w:val="19"/>
                <w:szCs w:val="19"/>
              </w:rPr>
              <w:t xml:space="preserve">1</w:t>
            </w:r>
          </w:p>
        </w:tc>
        <w:tc>
          <w:tcPr>
            <w:tcMar>
              <w:top w:type="dxa" w:w="50"/>
              <w:left w:type="dxa" w:w="90"/>
              <w:bottom w:type="dxa" w:w="50"/>
              <w:right w:type="dxa" w:w="90"/>
            </w:tcMar>
          </w:tcPr>
          <w:p>
            <w:r>
              <w:rPr>
                <w:sz w:val="19"/>
                <w:szCs w:val="19"/>
              </w:rPr>
              <w:t xml:space="preserve">Nobody past Awareness. A genuine capability hole, and the B2B API is being sold against SLAs.</w:t>
            </w:r>
          </w:p>
        </w:tc>
        <w:tc>
          <w:tcPr>
            <w:tcMar>
              <w:top w:type="dxa" w:w="50"/>
              <w:left w:type="dxa" w:w="90"/>
              <w:bottom w:type="dxa" w:w="50"/>
              <w:right w:type="dxa" w:w="90"/>
            </w:tcMar>
          </w:tcPr>
          <w:p>
            <w:r>
              <w:rPr>
                <w:sz w:val="19"/>
                <w:szCs w:val="19"/>
              </w:rPr>
              <w:t xml:space="preserve">High</w:t>
            </w:r>
          </w:p>
        </w:tc>
      </w:tr>
      <w:tr>
        <w:tc>
          <w:tcPr>
            <w:tcMar>
              <w:top w:type="dxa" w:w="50"/>
              <w:left w:type="dxa" w:w="90"/>
              <w:bottom w:type="dxa" w:w="50"/>
              <w:right w:type="dxa" w:w="90"/>
            </w:tcMar>
          </w:tcPr>
          <w:p>
            <w:r>
              <w:rPr>
                <w:sz w:val="19"/>
                <w:szCs w:val="19"/>
              </w:rPr>
              <w:t xml:space="preserve">Accessibility</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Only Grace at Working; no depth. Legal and reputational exposure.</w:t>
            </w:r>
          </w:p>
        </w:tc>
        <w:tc>
          <w:tcPr>
            <w:tcMar>
              <w:top w:type="dxa" w:w="50"/>
              <w:left w:type="dxa" w:w="90"/>
              <w:bottom w:type="dxa" w:w="50"/>
              <w:right w:type="dxa" w:w="90"/>
            </w:tcMar>
          </w:tcPr>
          <w:p>
            <w:r>
              <w:rPr>
                <w:sz w:val="19"/>
                <w:szCs w:val="19"/>
              </w:rPr>
              <w:t xml:space="preserve">Medium</w:t>
            </w:r>
          </w:p>
        </w:tc>
      </w:tr>
      <w:tr>
        <w:tc>
          <w:tcPr>
            <w:tcMar>
              <w:top w:type="dxa" w:w="50"/>
              <w:left w:type="dxa" w:w="90"/>
              <w:bottom w:type="dxa" w:w="50"/>
              <w:right w:type="dxa" w:w="90"/>
            </w:tcMar>
          </w:tcPr>
          <w:p>
            <w:r>
              <w:rPr>
                <w:sz w:val="19"/>
                <w:szCs w:val="19"/>
              </w:rPr>
              <w:t xml:space="preserve">CI/CD &amp; pipelines</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One person (Dan) only. The team cannot maintain or improve the pipeline without him.</w:t>
            </w:r>
          </w:p>
        </w:tc>
        <w:tc>
          <w:tcPr>
            <w:tcMar>
              <w:top w:type="dxa" w:w="50"/>
              <w:left w:type="dxa" w:w="90"/>
              <w:bottom w:type="dxa" w:w="50"/>
              <w:right w:type="dxa" w:w="90"/>
            </w:tcMar>
          </w:tcPr>
          <w:p>
            <w:r>
              <w:rPr>
                <w:sz w:val="19"/>
                <w:szCs w:val="19"/>
              </w:rPr>
              <w:t xml:space="preserve">High</w:t>
            </w:r>
          </w:p>
        </w:tc>
      </w:tr>
      <w:tr>
        <w:tc>
          <w:tcPr>
            <w:tcMar>
              <w:top w:type="dxa" w:w="50"/>
              <w:left w:type="dxa" w:w="90"/>
              <w:bottom w:type="dxa" w:w="50"/>
              <w:right w:type="dxa" w:w="90"/>
            </w:tcMar>
          </w:tcPr>
          <w:p>
            <w:r>
              <w:rPr>
                <w:sz w:val="19"/>
                <w:szCs w:val="19"/>
              </w:rPr>
              <w:t xml:space="preserve">UI automation</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One person (Dan) at Proficient; everyone else at Awareness/Working. The flaky suite has a single owner.</w:t>
            </w:r>
          </w:p>
        </w:tc>
        <w:tc>
          <w:tcPr>
            <w:tcMar>
              <w:top w:type="dxa" w:w="50"/>
              <w:left w:type="dxa" w:w="90"/>
              <w:bottom w:type="dxa" w:w="50"/>
              <w:right w:type="dxa" w:w="90"/>
            </w:tcMar>
          </w:tcPr>
          <w:p>
            <w:r>
              <w:rPr>
                <w:sz w:val="19"/>
                <w:szCs w:val="19"/>
              </w:rPr>
              <w:t xml:space="preserve">High</w:t>
            </w:r>
          </w:p>
        </w:tc>
      </w:tr>
      <w:tr>
        <w:tc>
          <w:tcPr>
            <w:tcMar>
              <w:top w:type="dxa" w:w="50"/>
              <w:left w:type="dxa" w:w="90"/>
              <w:bottom w:type="dxa" w:w="50"/>
              <w:right w:type="dxa" w:w="90"/>
            </w:tcMar>
          </w:tcPr>
          <w:p>
            <w:r>
              <w:rPr>
                <w:sz w:val="19"/>
                <w:szCs w:val="19"/>
              </w:rPr>
              <w:t xml:space="preserve">API / contract testing</w:t>
            </w:r>
          </w:p>
        </w:tc>
        <w:tc>
          <w:tcPr>
            <w:tcMar>
              <w:top w:type="dxa" w:w="50"/>
              <w:left w:type="dxa" w:w="90"/>
              <w:bottom w:type="dxa" w:w="50"/>
              <w:right w:type="dxa" w:w="90"/>
            </w:tcMar>
          </w:tcPr>
          <w:p>
            <w:r>
              <w:rPr>
                <w:sz w:val="19"/>
                <w:szCs w:val="19"/>
              </w:rPr>
              <w:t xml:space="preserve">2</w:t>
            </w:r>
          </w:p>
        </w:tc>
        <w:tc>
          <w:tcPr>
            <w:tcMar>
              <w:top w:type="dxa" w:w="50"/>
              <w:left w:type="dxa" w:w="90"/>
              <w:bottom w:type="dxa" w:w="50"/>
              <w:right w:type="dxa" w:w="90"/>
            </w:tcMar>
          </w:tcPr>
          <w:p>
            <w:r>
              <w:rPr>
                <w:sz w:val="19"/>
                <w:szCs w:val="19"/>
              </w:rPr>
              <w:t xml:space="preserve">Broad but shallow — nobody at Proficient, despite a public API sold to partners.</w:t>
            </w:r>
          </w:p>
        </w:tc>
        <w:tc>
          <w:tcPr>
            <w:tcMar>
              <w:top w:type="dxa" w:w="50"/>
              <w:left w:type="dxa" w:w="90"/>
              <w:bottom w:type="dxa" w:w="50"/>
              <w:right w:type="dxa" w:w="90"/>
            </w:tcMar>
          </w:tcPr>
          <w:p>
            <w:r>
              <w:rPr>
                <w:sz w:val="19"/>
                <w:szCs w:val="19"/>
              </w:rPr>
              <w:t xml:space="preserve">Medium</w:t>
            </w:r>
          </w:p>
        </w:tc>
      </w:tr>
      <w:tr>
        <w:tc>
          <w:tcPr>
            <w:tcMar>
              <w:top w:type="dxa" w:w="50"/>
              <w:left w:type="dxa" w:w="90"/>
              <w:bottom w:type="dxa" w:w="50"/>
              <w:right w:type="dxa" w:w="90"/>
            </w:tcMar>
          </w:tcPr>
          <w:p>
            <w:r>
              <w:rPr>
                <w:sz w:val="19"/>
                <w:szCs w:val="19"/>
              </w:rPr>
              <w:t xml:space="preserve">Mentoring &amp; coaching</w:t>
            </w:r>
          </w:p>
        </w:tc>
        <w:tc>
          <w:tcPr>
            <w:tcMar>
              <w:top w:type="dxa" w:w="50"/>
              <w:left w:type="dxa" w:w="90"/>
              <w:bottom w:type="dxa" w:w="50"/>
              <w:right w:type="dxa" w:w="90"/>
            </w:tcMar>
          </w:tcPr>
          <w:p>
            <w:r>
              <w:rPr>
                <w:sz w:val="19"/>
                <w:szCs w:val="19"/>
              </w:rPr>
              <w:t xml:space="preserve">3</w:t>
            </w:r>
          </w:p>
        </w:tc>
        <w:tc>
          <w:tcPr>
            <w:tcMar>
              <w:top w:type="dxa" w:w="50"/>
              <w:left w:type="dxa" w:w="90"/>
              <w:bottom w:type="dxa" w:w="50"/>
              <w:right w:type="dxa" w:w="90"/>
            </w:tcMar>
          </w:tcPr>
          <w:p>
            <w:r>
              <w:rPr>
                <w:sz w:val="19"/>
                <w:szCs w:val="19"/>
              </w:rPr>
              <w:t xml:space="preserve">Concentrated in Sofia. Limits how fast the team can grow itself.</w:t>
            </w:r>
          </w:p>
        </w:tc>
        <w:tc>
          <w:tcPr>
            <w:tcMar>
              <w:top w:type="dxa" w:w="50"/>
              <w:left w:type="dxa" w:w="90"/>
              <w:bottom w:type="dxa" w:w="50"/>
              <w:right w:type="dxa" w:w="90"/>
            </w:tcMar>
          </w:tcPr>
          <w:p>
            <w:r>
              <w:rPr>
                <w:sz w:val="19"/>
                <w:szCs w:val="19"/>
              </w:rPr>
              <w:t xml:space="preserve">Medium</w:t>
            </w:r>
          </w:p>
        </w:tc>
      </w:tr>
    </w:tbl>
    <w:p>
      <w:pPr>
        <w:spacing w:after="80"/>
      </w:pPr>
    </w:p>
    <w:p>
      <w:pPr>
        <w:spacing w:after="60" w:before="180"/>
      </w:pPr>
      <w:r>
        <w:rPr>
          <w:b/>
          <w:bCs/>
          <w:color w:val="0d1b2a"/>
          <w:sz w:val="24"/>
          <w:szCs w:val="24"/>
        </w:rPr>
        <w:t xml:space="preserve">Key-person risk</w:t>
      </w:r>
    </w:p>
    <w:p>
      <w:pPr>
        <w:pStyle w:val="ListParagraph"/>
        <w:numPr>
          <w:ilvl w:val="0"/>
          <w:numId w:val="1"/>
        </w:numPr>
        <w:spacing w:after="40"/>
      </w:pPr>
      <w:r>
        <w:rPr>
          <w:sz w:val="21"/>
          <w:szCs w:val="21"/>
        </w:rPr>
        <w:t xml:space="preserve">Dan is the single point of failure for both UI automation and CI/CD (the only "3" in each). If he leaves — and he is quietly burning out — two capabilities collapse to Awareness overnight. This is the sharpest risk on the board.</w:t>
      </w:r>
    </w:p>
    <w:p>
      <w:pPr>
        <w:pStyle w:val="ListParagraph"/>
        <w:numPr>
          <w:ilvl w:val="0"/>
          <w:numId w:val="1"/>
        </w:numPr>
        <w:spacing w:after="40"/>
      </w:pPr>
      <w:r>
        <w:rPr>
          <w:sz w:val="21"/>
          <w:szCs w:val="21"/>
        </w:rPr>
        <w:t xml:space="preserve">Ravi is the only deep source of payments/finance domain knowledge (the only "4"). For a company whose legacy billing monolith is fragile, that is concentrated risk.</w:t>
      </w:r>
    </w:p>
    <w:p>
      <w:pPr>
        <w:pStyle w:val="ListParagraph"/>
        <w:numPr>
          <w:ilvl w:val="0"/>
          <w:numId w:val="1"/>
        </w:numPr>
        <w:spacing w:after="40"/>
      </w:pPr>
      <w:r>
        <w:rPr>
          <w:sz w:val="21"/>
          <w:szCs w:val="21"/>
        </w:rPr>
        <w:t xml:space="preserve">Sofia carries mentoring, stakeholder communication and exploratory leadership. She is also the informal lead — a lot of the team’s resilience runs through one person.</w:t>
      </w:r>
    </w:p>
    <w:p>
      <w:pPr>
        <w:pBdr>
          <w:bottom w:val="single" w:color="e9b949" w:sz="12"/>
        </w:pBdr>
        <w:spacing w:after="100" w:before="260"/>
      </w:pPr>
      <w:r>
        <w:rPr>
          <w:b/>
          <w:bCs/>
          <w:color w:val="d4a438"/>
          <w:sz w:val="30"/>
          <w:szCs w:val="30"/>
        </w:rPr>
        <w:t xml:space="preserve">How to interpret the results</w:t>
      </w:r>
    </w:p>
    <w:p>
      <w:pPr>
        <w:pStyle w:val="ListParagraph"/>
        <w:numPr>
          <w:ilvl w:val="0"/>
          <w:numId w:val="1"/>
        </w:numPr>
        <w:spacing w:after="40"/>
      </w:pPr>
      <w:r>
        <w:rPr>
          <w:sz w:val="21"/>
          <w:szCs w:val="21"/>
        </w:rPr>
        <w:t xml:space="preserve">Read down the columns for people (who is stretched, who is one-dimensional) and across the rows for capability (where the team is deep or exposed).</w:t>
      </w:r>
    </w:p>
    <w:p>
      <w:pPr>
        <w:pStyle w:val="ListParagraph"/>
        <w:numPr>
          <w:ilvl w:val="0"/>
          <w:numId w:val="1"/>
        </w:numPr>
        <w:spacing w:after="40"/>
      </w:pPr>
      <w:r>
        <w:rPr>
          <w:sz w:val="21"/>
          <w:szCs w:val="21"/>
        </w:rPr>
        <w:t xml:space="preserve">A row where the team high is 0–1 is a hiring or training decision, not a rota decision — no amount of reshuffling creates a skill nobody has.</w:t>
      </w:r>
    </w:p>
    <w:p>
      <w:pPr>
        <w:pStyle w:val="ListParagraph"/>
        <w:numPr>
          <w:ilvl w:val="0"/>
          <w:numId w:val="1"/>
        </w:numPr>
        <w:spacing w:after="40"/>
      </w:pPr>
      <w:r>
        <w:rPr>
          <w:sz w:val="21"/>
          <w:szCs w:val="21"/>
        </w:rPr>
        <w:t xml:space="preserve">A capability held by exactly one person at level 3–4 is key-person risk, regardless of how good that person is. Treat "we’re fine, Dan handles it" as a warning, not reassurance.</w:t>
      </w:r>
    </w:p>
    <w:p>
      <w:pPr>
        <w:pStyle w:val="ListParagraph"/>
        <w:numPr>
          <w:ilvl w:val="0"/>
          <w:numId w:val="1"/>
        </w:numPr>
        <w:spacing w:after="40"/>
      </w:pPr>
      <w:r>
        <w:rPr>
          <w:sz w:val="21"/>
          <w:szCs w:val="21"/>
        </w:rPr>
        <w:t xml:space="preserve">Do not chase a matrix of all 4s. A healthy team is deliberately shaped — deep where risk is high, adequate elsewhere. Aim for at least two people at Working-or-above on every business-critical capability (the "bus factor of two" rule).</w:t>
      </w:r>
    </w:p>
    <w:p>
      <w:pPr>
        <w:pBdr>
          <w:bottom w:val="single" w:color="e9b949" w:sz="12"/>
        </w:pBdr>
        <w:spacing w:after="100" w:before="260"/>
      </w:pPr>
      <w:r>
        <w:rPr>
          <w:b/>
          <w:bCs/>
          <w:color w:val="d4a438"/>
          <w:sz w:val="30"/>
          <w:szCs w:val="30"/>
        </w:rPr>
        <w:t xml:space="preserve">Blank reusable version</w:t>
      </w:r>
    </w:p>
    <w:tbl>
      <w:tblPr>
        <w:tblW w:type="pct" w:w="100%"/>
        <w:tblBorders>
          <w:top w:val="single" w:color="e2e8f0" w:sz="4"/>
          <w:left w:val="single" w:color="e2e8f0" w:sz="4"/>
          <w:bottom w:val="single" w:color="e2e8f0" w:sz="4"/>
          <w:right w:val="single" w:color="e2e8f0" w:sz="4"/>
          <w:insideH w:val="single" w:color="e2e8f0" w:sz="4"/>
          <w:insideV w:val="single" w:color="e2e8f0" w:sz="4"/>
        </w:tblBorders>
      </w:tblPr>
      <w:tblGrid>
        <w:gridCol w:w="100"/>
        <w:gridCol w:w="100"/>
        <w:gridCol w:w="100"/>
        <w:gridCol w:w="100"/>
        <w:gridCol w:w="100"/>
        <w:gridCol w:w="100"/>
        <w:gridCol w:w="100"/>
      </w:tblGrid>
      <w:tr>
        <w:trPr>
          <w:tblHeader/>
        </w:trPr>
        <w:tc>
          <w:tcPr>
            <w:shd w:fill="0d1b2a"/>
            <w:tcMar>
              <w:top w:type="dxa" w:w="60"/>
              <w:left w:type="dxa" w:w="90"/>
              <w:bottom w:type="dxa" w:w="60"/>
              <w:right w:type="dxa" w:w="90"/>
            </w:tcMar>
          </w:tcPr>
          <w:p>
            <w:r>
              <w:rPr>
                <w:b/>
                <w:bCs/>
                <w:color w:val="FFFFFF"/>
                <w:sz w:val="19"/>
                <w:szCs w:val="19"/>
              </w:rPr>
              <w:t xml:space="preserve">Competency</w:t>
            </w:r>
          </w:p>
        </w:tc>
        <w:tc>
          <w:tcPr>
            <w:shd w:fill="0d1b2a"/>
            <w:tcMar>
              <w:top w:type="dxa" w:w="60"/>
              <w:left w:type="dxa" w:w="90"/>
              <w:bottom w:type="dxa" w:w="60"/>
              <w:right w:type="dxa" w:w="90"/>
            </w:tcMar>
          </w:tcPr>
          <w:p>
            <w:r>
              <w:rPr>
                <w:b/>
                <w:bCs/>
                <w:color w:val="FFFFFF"/>
                <w:sz w:val="19"/>
                <w:szCs w:val="19"/>
              </w:rPr>
              <w:t xml:space="preserve">Person 1</w:t>
            </w:r>
          </w:p>
        </w:tc>
        <w:tc>
          <w:tcPr>
            <w:shd w:fill="0d1b2a"/>
            <w:tcMar>
              <w:top w:type="dxa" w:w="60"/>
              <w:left w:type="dxa" w:w="90"/>
              <w:bottom w:type="dxa" w:w="60"/>
              <w:right w:type="dxa" w:w="90"/>
            </w:tcMar>
          </w:tcPr>
          <w:p>
            <w:r>
              <w:rPr>
                <w:b/>
                <w:bCs/>
                <w:color w:val="FFFFFF"/>
                <w:sz w:val="19"/>
                <w:szCs w:val="19"/>
              </w:rPr>
              <w:t xml:space="preserve">Person 2</w:t>
            </w:r>
          </w:p>
        </w:tc>
        <w:tc>
          <w:tcPr>
            <w:shd w:fill="0d1b2a"/>
            <w:tcMar>
              <w:top w:type="dxa" w:w="60"/>
              <w:left w:type="dxa" w:w="90"/>
              <w:bottom w:type="dxa" w:w="60"/>
              <w:right w:type="dxa" w:w="90"/>
            </w:tcMar>
          </w:tcPr>
          <w:p>
            <w:r>
              <w:rPr>
                <w:b/>
                <w:bCs/>
                <w:color w:val="FFFFFF"/>
                <w:sz w:val="19"/>
                <w:szCs w:val="19"/>
              </w:rPr>
              <w:t xml:space="preserve">Person 3</w:t>
            </w:r>
          </w:p>
        </w:tc>
        <w:tc>
          <w:tcPr>
            <w:shd w:fill="0d1b2a"/>
            <w:tcMar>
              <w:top w:type="dxa" w:w="60"/>
              <w:left w:type="dxa" w:w="90"/>
              <w:bottom w:type="dxa" w:w="60"/>
              <w:right w:type="dxa" w:w="90"/>
            </w:tcMar>
          </w:tcPr>
          <w:p>
            <w:r>
              <w:rPr>
                <w:b/>
                <w:bCs/>
                <w:color w:val="FFFFFF"/>
                <w:sz w:val="19"/>
                <w:szCs w:val="19"/>
              </w:rPr>
              <w:t xml:space="preserve">Person 4</w:t>
            </w:r>
          </w:p>
        </w:tc>
        <w:tc>
          <w:tcPr>
            <w:shd w:fill="0d1b2a"/>
            <w:tcMar>
              <w:top w:type="dxa" w:w="60"/>
              <w:left w:type="dxa" w:w="90"/>
              <w:bottom w:type="dxa" w:w="60"/>
              <w:right w:type="dxa" w:w="90"/>
            </w:tcMar>
          </w:tcPr>
          <w:p>
            <w:r>
              <w:rPr>
                <w:b/>
                <w:bCs/>
                <w:color w:val="FFFFFF"/>
                <w:sz w:val="19"/>
                <w:szCs w:val="19"/>
              </w:rPr>
              <w:t xml:space="preserve">Team high</w:t>
            </w:r>
          </w:p>
        </w:tc>
        <w:tc>
          <w:tcPr>
            <w:shd w:fill="0d1b2a"/>
            <w:tcMar>
              <w:top w:type="dxa" w:w="60"/>
              <w:left w:type="dxa" w:w="90"/>
              <w:bottom w:type="dxa" w:w="60"/>
              <w:right w:type="dxa" w:w="90"/>
            </w:tcMar>
          </w:tcPr>
          <w:p>
            <w:r>
              <w:rPr>
                <w:b/>
                <w:bCs/>
                <w:color w:val="FFFFFF"/>
                <w:sz w:val="19"/>
                <w:szCs w:val="19"/>
              </w:rPr>
              <w:t xml:space="preserve">Gap? (Y/N)</w:t>
            </w:r>
          </w:p>
        </w:tc>
      </w:tr>
      <w:tr>
        <w:tc>
          <w:tcPr>
            <w:tcMar>
              <w:top w:type="dxa" w:w="50"/>
              <w:left w:type="dxa" w:w="90"/>
              <w:bottom w:type="dxa" w:w="50"/>
              <w:right w:type="dxa" w:w="90"/>
            </w:tcMar>
          </w:tcPr>
          <w:p>
            <w:r>
              <w:rPr>
                <w:sz w:val="19"/>
                <w:szCs w:val="19"/>
              </w:rPr>
              <w:t xml:space="preserve">Exploratory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Test design techniques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UI automation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API / contract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Performance testing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Security awareness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Accessibility</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Domain knowledge</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Defect analysis &amp; reporting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CI/CD &amp; pipelines</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Stakeholder communication</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r>
        <w:tc>
          <w:tcPr>
            <w:tcMar>
              <w:top w:type="dxa" w:w="50"/>
              <w:left w:type="dxa" w:w="90"/>
              <w:bottom w:type="dxa" w:w="50"/>
              <w:right w:type="dxa" w:w="90"/>
            </w:tcMar>
          </w:tcPr>
          <w:p>
            <w:r>
              <w:rPr>
                <w:sz w:val="19"/>
                <w:szCs w:val="19"/>
              </w:rPr>
              <w:t xml:space="preserve">Mentoring &amp; coaching</w:t>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c>
          <w:tcPr>
            <w:tcMar>
              <w:top w:type="dxa" w:w="50"/>
              <w:left w:type="dxa" w:w="90"/>
              <w:bottom w:type="dxa" w:w="50"/>
              <w:right w:type="dxa" w:w="90"/>
            </w:tcMar>
          </w:tcPr>
          <w:p>
            <w:r>
              <w:rPr>
                <w:sz w:val="19"/>
                <w:szCs w:val="19"/>
              </w:rPr>
              <w:t xml:space="preserve"/>
            </w:r>
          </w:p>
        </w:tc>
      </w:tr>
    </w:tbl>
    <w:p>
      <w:pPr>
        <w:spacing w:after="80"/>
      </w:pPr>
    </w:p>
    <w:p>
      <w:pPr>
        <w:spacing w:after="90"/>
      </w:pPr>
      <w:r>
        <w:rPr>
          <w:sz w:val="21"/>
          <w:szCs w:val="21"/>
        </w:rPr>
        <w:t xml:space="preserve">Scoring key: 0 None · 1 Awareness · 2 Working · 3 Proficient · 4 Expert. Add a "Key-person risk" note for any capability held by a single person at level 3–4.</w:t>
      </w:r>
    </w:p>
    <w:p>
      <w:pPr>
        <w:pBdr>
          <w:bottom w:val="single" w:color="e9b949" w:sz="12"/>
        </w:pBdr>
        <w:spacing w:after="100" w:before="260"/>
      </w:pPr>
      <w:r>
        <w:rPr>
          <w:b/>
          <w:bCs/>
          <w:color w:val="d4a438"/>
          <w:sz w:val="30"/>
          <w:szCs w:val="30"/>
        </w:rPr>
        <w:t xml:space="preserve">Common mistakes</w:t>
      </w:r>
    </w:p>
    <w:p>
      <w:pPr>
        <w:pBdr>
          <w:left w:val="single" w:color="b91c1c" w:sz="18"/>
        </w:pBdr>
        <w:shd w:fill="f8fafc"/>
        <w:spacing w:after="120" w:before="120"/>
      </w:pPr>
      <w:r>
        <w:rPr>
          <w:b/>
          <w:bCs/>
          <w:color w:val="b91c1c"/>
          <w:sz w:val="20"/>
          <w:szCs w:val="20"/>
        </w:rPr>
        <w:t xml:space="preserve">Common mistakes: </w:t>
      </w:r>
      <w:r>
        <w:rPr>
          <w:sz w:val="20"/>
          <w:szCs w:val="20"/>
        </w:rPr>
        <w:t xml:space="preserve">Rating on job title or tenure instead of observed behaviour. Scoring everyone generously to avoid awkward conversations, which hides the very gaps the tool exists to find. Treating the matrix as a performance ranking rather than a capability map — it is about the team’s shape, not who is "best". Building it once and never revisiting it. And celebrating a single brilliant specialist while ignoring that they are a single point of failure.</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The most valuable cell in the matrix is rarely the lowest score — it is the capability held by exactly one person. Fix your key-person risks before you chase your skill gaps: a gap slows you down, but a bus factor of one can stop you dead.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QA Leadership 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Skills Matrix</dc:title>
  <dc:creator>Inside STLC Academy</dc:creator>
  <cp:lastModifiedBy>Un-named</cp:lastModifiedBy>
  <cp:revision>1</cp:revision>
  <dcterms:created xsi:type="dcterms:W3CDTF">2026-08-10T13:23:03.377Z</dcterms:created>
  <dcterms:modified xsi:type="dcterms:W3CDTF">2026-08-10T13:23:03.377Z</dcterms:modified>
</cp:coreProperties>
</file>

<file path=docProps/custom.xml><?xml version="1.0" encoding="utf-8"?>
<Properties xmlns="http://schemas.openxmlformats.org/officeDocument/2006/custom-properties" xmlns:vt="http://schemas.openxmlformats.org/officeDocument/2006/docPropsVTypes"/>
</file>