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ISTQB FOUNDATION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Printable Formula Sheets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The counts, coverage figures and rules testers must be able to work out.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Using This Sheet</w:t>
      </w:r>
    </w:p>
    <w:p>
      <w:pPr>
        <w:spacing w:after="90"/>
      </w:pPr>
      <w:r>
        <w:rPr>
          <w:sz w:val="21"/>
          <w:szCs w:val="21"/>
        </w:rPr>
        <w:t xml:space="preserve">The Foundation exam includes a small number of calculation-style questions. Learn these rules, then practise the worked micro-examples until you can reproduce them without hesitation. Print this sheet and keep it beside you while revising.</w:t>
      </w:r>
    </w:p>
    <w:p/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Boundary Value Analysis (BVA)</w:t>
      </w:r>
    </w:p>
    <w:p>
      <w:pPr>
        <w:spacing w:after="90"/>
      </w:pPr>
      <w:r>
        <w:rPr>
          <w:sz w:val="21"/>
          <w:szCs w:val="21"/>
        </w:rPr>
        <w:t xml:space="preserve">For a valid range, the two-value BVA uses the minimum and maximum boundary values. The three-value BVA also adds the value just outside each boundary. Test the boundaries because defects cluster at the edges.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Two-value boundaries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Three-value boundaries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to 100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and 100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0, 1, 2 ... 99, 100, 101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 to 65 (age)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 and 65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17, 18, 19 ... 64, 65, 66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0.00 to 9.99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0.00 and 9.99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-0.01, 0.00, 0.01 ... 9.98, 9.99, 10.00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Equivalence Partitions per Range</w:t>
      </w:r>
    </w:p>
    <w:p>
      <w:pPr>
        <w:spacing w:after="90"/>
      </w:pPr>
      <w:r>
        <w:rPr>
          <w:sz w:val="21"/>
          <w:szCs w:val="21"/>
        </w:rPr>
        <w:t xml:space="preserve">A single bounded range typically yields three partitions: one valid partition (inside the range) and two invalid partitions (below the minimum and above the maximum). Test one representative value from each.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 partition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Invalid partitions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 to 100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e.g. 50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below (e.g. 0) and above (e.g. 101)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 to 65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e.g. 30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below (e.g. 17) and above (e.g. 66)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Decision Table — Rule Count</w:t>
      </w:r>
    </w:p>
    <w:p>
      <w:pPr>
        <w:spacing w:after="90"/>
      </w:pPr>
      <w:r>
        <w:rPr>
          <w:sz w:val="21"/>
          <w:szCs w:val="21"/>
        </w:rPr>
        <w:t xml:space="preserve">Rule count = 2 raised to the number of conditions (for binary Yes/No conditions). Each rule is one column combining a state of every condition.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Conditions (binary)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 2^n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Number of rules (columns)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 conditions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2^2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 rules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 conditions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2^3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 rules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 conditions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2^4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16 rules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 conditions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2^5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32 rules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Coverage — Statement and Branch</w:t>
      </w:r>
    </w:p>
    <w:p>
      <w:pPr>
        <w:spacing w:after="90"/>
      </w:pPr>
      <w:r>
        <w:rPr>
          <w:sz w:val="21"/>
          <w:szCs w:val="21"/>
        </w:rPr>
        <w:t xml:space="preserve">Coverage = (items exercised / total items) x 100%.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Worked 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Statement coverage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(statements executed / total statements) x 100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7 of 10 statements run = 70%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Branch coverage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(branches executed / total branches) x 100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 of 4 branches run = 75%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Test coverage (any item)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(items tested / total items) x 100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 of 20 requirements tested = 90%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Defect Density</w:t>
      </w:r>
    </w:p>
    <w:p>
      <w:pPr>
        <w:spacing w:after="90"/>
      </w:pPr>
      <w:r>
        <w:rPr>
          <w:sz w:val="21"/>
          <w:szCs w:val="21"/>
        </w:rPr>
        <w:t xml:space="preserve">Defect density = number of defects / size of the component or system. Size is commonly expressed in thousands of lines of code (KLOC) or in function points.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Defects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Defect density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40 defects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 KLOC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 defects per KLOC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15 defects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30 function points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0.5 defects per function point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Pass Rate and Failure Rate</w:t>
      </w:r>
    </w:p>
    <w:p>
      <w:pPr>
        <w:spacing w:after="90"/>
      </w:pPr>
      <w:r>
        <w:rPr>
          <w:sz w:val="21"/>
          <w:szCs w:val="21"/>
        </w:rPr>
        <w:t xml:space="preserve">Pass rate = (tests passed / tests executed) x 100%. Failure rate = (tests failed / tests executed) x 100%. The two add up to 100% of executed tests.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Tests executed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rate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180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90%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90%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75%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Defect Detection Percentage (DDP)</w:t>
      </w:r>
    </w:p>
    <w:p>
      <w:pPr>
        <w:spacing w:after="90"/>
      </w:pPr>
      <w:r>
        <w:rPr>
          <w:sz w:val="21"/>
          <w:szCs w:val="21"/>
        </w:rPr>
        <w:t xml:space="preserve">DDP = (defects found by testing / (defects found by testing + defects found later)) x 100%. It measures how effective a test phase was at finding defects.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Found in testing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Found after release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DDP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90%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80%</w:t>
            </w:r>
          </w:p>
        </w:tc>
      </w:tr>
    </w:tbl>
    <w:p>
      <w:pPr>
        <w:spacing w:after="80"/>
      </w:pPr>
    </w:p>
    <w:p>
      <w:pPr>
        <w:pBdr>
          <w:left w:val="single" w:color="b91c1c" w:sz="18"/>
        </w:pBdr>
        <w:shd w:fill="f8fafc"/>
        <w:spacing w:after="120" w:before="120"/>
      </w:pPr>
      <w:r>
        <w:rPr>
          <w:b/>
          <w:bCs/>
          <w:color w:val="b91c1c"/>
          <w:sz w:val="20"/>
          <w:szCs w:val="20"/>
        </w:rPr>
        <w:t xml:space="preserve">Common Mistake: </w:t>
      </w:r>
      <w:r>
        <w:rPr>
          <w:sz w:val="20"/>
          <w:szCs w:val="20"/>
        </w:rPr>
        <w:t xml:space="preserve">Coverage is not the same as quality. 100% statement coverage only proves every line ran — it does not prove every combination or requirement was tested. High coverage with weak assertions still misses defects.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For decision tables, always start from 2^n columns, then collapse impossible or duplicate combinations. Working out the full count first stops you from silently missing a rule.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ISTQB Foundation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Printable Formula Sheets</dc:title>
  <dc:creator>Inside STLC Academy</dc:creator>
  <cp:lastModifiedBy>Un-named</cp:lastModifiedBy>
  <cp:revision>1</cp:revision>
  <dcterms:created xsi:type="dcterms:W3CDTF">2026-07-13T11:04:39.211Z</dcterms:created>
  <dcterms:modified xsi:type="dcterms:W3CDTF">2026-07-13T11:04:39.211Z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