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Playwright Config Reference</w:t>
      </w:r>
    </w:p>
    <w:p>
      <w:pPr>
        <w:spacing w:after="120"/>
      </w:pPr>
      <w:r>
        <w:rPr>
          <w:i/>
          <w:iCs/>
          <w:color w:val="6b7280"/>
          <w:sz w:val="22"/>
          <w:szCs w:val="22"/>
        </w:rPr>
        <w:t xml:space="preserve">The settings in playwright.config.ts that matter most.</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The config file controls how your whole suite runs. Understanding the key options lets you make tests faster, more reliable and easier to debug. This reference covers the settings you will actually touch.</w:t>
      </w:r>
    </w:p>
    <w:p>
      <w:pPr>
        <w:pBdr>
          <w:bottom w:val="single" w:color="e9b949" w:sz="12"/>
        </w:pBdr>
        <w:spacing w:after="100" w:before="260"/>
      </w:pPr>
      <w:r>
        <w:rPr>
          <w:b/>
          <w:bCs/>
          <w:color w:val="d4a438"/>
          <w:sz w:val="30"/>
          <w:szCs w:val="30"/>
        </w:rPr>
        <w:t xml:space="preserve">Key Options</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Option</w:t>
            </w:r>
          </w:p>
        </w:tc>
        <w:tc>
          <w:tcPr>
            <w:shd w:fill="0d1b2a"/>
            <w:tcMar>
              <w:top w:type="dxa" w:w="60"/>
              <w:left w:type="dxa" w:w="90"/>
              <w:bottom w:type="dxa" w:w="60"/>
              <w:right w:type="dxa" w:w="90"/>
            </w:tcMar>
          </w:tcPr>
          <w:p>
            <w:r>
              <w:rPr>
                <w:b/>
                <w:bCs/>
                <w:color w:val="FFFFFF"/>
                <w:sz w:val="19"/>
                <w:szCs w:val="19"/>
              </w:rPr>
              <w:t xml:space="preserve">What it does</w:t>
            </w:r>
          </w:p>
        </w:tc>
      </w:tr>
      <w:tr>
        <w:tc>
          <w:tcPr>
            <w:tcMar>
              <w:top w:type="dxa" w:w="50"/>
              <w:left w:type="dxa" w:w="90"/>
              <w:bottom w:type="dxa" w:w="50"/>
              <w:right w:type="dxa" w:w="90"/>
            </w:tcMar>
          </w:tcPr>
          <w:p>
            <w:r>
              <w:rPr>
                <w:sz w:val="19"/>
                <w:szCs w:val="19"/>
              </w:rPr>
              <w:t xml:space="preserve">testDir</w:t>
            </w:r>
          </w:p>
        </w:tc>
        <w:tc>
          <w:tcPr>
            <w:tcMar>
              <w:top w:type="dxa" w:w="50"/>
              <w:left w:type="dxa" w:w="90"/>
              <w:bottom w:type="dxa" w:w="50"/>
              <w:right w:type="dxa" w:w="90"/>
            </w:tcMar>
          </w:tcPr>
          <w:p>
            <w:r>
              <w:rPr>
                <w:sz w:val="19"/>
                <w:szCs w:val="19"/>
              </w:rPr>
              <w:t xml:space="preserve">Where your tests live</w:t>
            </w:r>
          </w:p>
        </w:tc>
      </w:tr>
      <w:tr>
        <w:tc>
          <w:tcPr>
            <w:tcMar>
              <w:top w:type="dxa" w:w="50"/>
              <w:left w:type="dxa" w:w="90"/>
              <w:bottom w:type="dxa" w:w="50"/>
              <w:right w:type="dxa" w:w="90"/>
            </w:tcMar>
          </w:tcPr>
          <w:p>
            <w:r>
              <w:rPr>
                <w:sz w:val="19"/>
                <w:szCs w:val="19"/>
              </w:rPr>
              <w:t xml:space="preserve">use.baseURL</w:t>
            </w:r>
          </w:p>
        </w:tc>
        <w:tc>
          <w:tcPr>
            <w:tcMar>
              <w:top w:type="dxa" w:w="50"/>
              <w:left w:type="dxa" w:w="90"/>
              <w:bottom w:type="dxa" w:w="50"/>
              <w:right w:type="dxa" w:w="90"/>
            </w:tcMar>
          </w:tcPr>
          <w:p>
            <w:r>
              <w:rPr>
                <w:sz w:val="19"/>
                <w:szCs w:val="19"/>
              </w:rPr>
              <w:t xml:space="preserve">Base for page.goto('/path')</w:t>
            </w:r>
          </w:p>
        </w:tc>
      </w:tr>
      <w:tr>
        <w:tc>
          <w:tcPr>
            <w:tcMar>
              <w:top w:type="dxa" w:w="50"/>
              <w:left w:type="dxa" w:w="90"/>
              <w:bottom w:type="dxa" w:w="50"/>
              <w:right w:type="dxa" w:w="90"/>
            </w:tcMar>
          </w:tcPr>
          <w:p>
            <w:r>
              <w:rPr>
                <w:sz w:val="19"/>
                <w:szCs w:val="19"/>
              </w:rPr>
              <w:t xml:space="preserve">use.trace</w:t>
            </w:r>
          </w:p>
        </w:tc>
        <w:tc>
          <w:tcPr>
            <w:tcMar>
              <w:top w:type="dxa" w:w="50"/>
              <w:left w:type="dxa" w:w="90"/>
              <w:bottom w:type="dxa" w:w="50"/>
              <w:right w:type="dxa" w:w="90"/>
            </w:tcMar>
          </w:tcPr>
          <w:p>
            <w:r>
              <w:rPr>
                <w:sz w:val="19"/>
                <w:szCs w:val="19"/>
              </w:rPr>
              <w:t xml:space="preserve">Capture traces (e.g. 'on-first-retry')</w:t>
            </w:r>
          </w:p>
        </w:tc>
      </w:tr>
      <w:tr>
        <w:tc>
          <w:tcPr>
            <w:tcMar>
              <w:top w:type="dxa" w:w="50"/>
              <w:left w:type="dxa" w:w="90"/>
              <w:bottom w:type="dxa" w:w="50"/>
              <w:right w:type="dxa" w:w="90"/>
            </w:tcMar>
          </w:tcPr>
          <w:p>
            <w:r>
              <w:rPr>
                <w:sz w:val="19"/>
                <w:szCs w:val="19"/>
              </w:rPr>
              <w:t xml:space="preserve">use.screenshot / video</w:t>
            </w:r>
          </w:p>
        </w:tc>
        <w:tc>
          <w:tcPr>
            <w:tcMar>
              <w:top w:type="dxa" w:w="50"/>
              <w:left w:type="dxa" w:w="90"/>
              <w:bottom w:type="dxa" w:w="50"/>
              <w:right w:type="dxa" w:w="90"/>
            </w:tcMar>
          </w:tcPr>
          <w:p>
            <w:r>
              <w:rPr>
                <w:sz w:val="19"/>
                <w:szCs w:val="19"/>
              </w:rPr>
              <w:t xml:space="preserve">Capture on failure</w:t>
            </w:r>
          </w:p>
        </w:tc>
      </w:tr>
      <w:tr>
        <w:tc>
          <w:tcPr>
            <w:tcMar>
              <w:top w:type="dxa" w:w="50"/>
              <w:left w:type="dxa" w:w="90"/>
              <w:bottom w:type="dxa" w:w="50"/>
              <w:right w:type="dxa" w:w="90"/>
            </w:tcMar>
          </w:tcPr>
          <w:p>
            <w:r>
              <w:rPr>
                <w:sz w:val="19"/>
                <w:szCs w:val="19"/>
              </w:rPr>
              <w:t xml:space="preserve">retries</w:t>
            </w:r>
          </w:p>
        </w:tc>
        <w:tc>
          <w:tcPr>
            <w:tcMar>
              <w:top w:type="dxa" w:w="50"/>
              <w:left w:type="dxa" w:w="90"/>
              <w:bottom w:type="dxa" w:w="50"/>
              <w:right w:type="dxa" w:w="90"/>
            </w:tcMar>
          </w:tcPr>
          <w:p>
            <w:r>
              <w:rPr>
                <w:sz w:val="19"/>
                <w:szCs w:val="19"/>
              </w:rPr>
              <w:t xml:space="preserve">Re-run failed tests (useful in CI)</w:t>
            </w:r>
          </w:p>
        </w:tc>
      </w:tr>
      <w:tr>
        <w:tc>
          <w:tcPr>
            <w:tcMar>
              <w:top w:type="dxa" w:w="50"/>
              <w:left w:type="dxa" w:w="90"/>
              <w:bottom w:type="dxa" w:w="50"/>
              <w:right w:type="dxa" w:w="90"/>
            </w:tcMar>
          </w:tcPr>
          <w:p>
            <w:r>
              <w:rPr>
                <w:sz w:val="19"/>
                <w:szCs w:val="19"/>
              </w:rPr>
              <w:t xml:space="preserve">workers</w:t>
            </w:r>
          </w:p>
        </w:tc>
        <w:tc>
          <w:tcPr>
            <w:tcMar>
              <w:top w:type="dxa" w:w="50"/>
              <w:left w:type="dxa" w:w="90"/>
              <w:bottom w:type="dxa" w:w="50"/>
              <w:right w:type="dxa" w:w="90"/>
            </w:tcMar>
          </w:tcPr>
          <w:p>
            <w:r>
              <w:rPr>
                <w:sz w:val="19"/>
                <w:szCs w:val="19"/>
              </w:rPr>
              <w:t xml:space="preserve">Parallelism</w:t>
            </w:r>
          </w:p>
        </w:tc>
      </w:tr>
      <w:tr>
        <w:tc>
          <w:tcPr>
            <w:tcMar>
              <w:top w:type="dxa" w:w="50"/>
              <w:left w:type="dxa" w:w="90"/>
              <w:bottom w:type="dxa" w:w="50"/>
              <w:right w:type="dxa" w:w="90"/>
            </w:tcMar>
          </w:tcPr>
          <w:p>
            <w:r>
              <w:rPr>
                <w:sz w:val="19"/>
                <w:szCs w:val="19"/>
              </w:rPr>
              <w:t xml:space="preserve">projects</w:t>
            </w:r>
          </w:p>
        </w:tc>
        <w:tc>
          <w:tcPr>
            <w:tcMar>
              <w:top w:type="dxa" w:w="50"/>
              <w:left w:type="dxa" w:w="90"/>
              <w:bottom w:type="dxa" w:w="50"/>
              <w:right w:type="dxa" w:w="90"/>
            </w:tcMar>
          </w:tcPr>
          <w:p>
            <w:r>
              <w:rPr>
                <w:sz w:val="19"/>
                <w:szCs w:val="19"/>
              </w:rPr>
              <w:t xml:space="preserve">Run across browsers/devices</w:t>
            </w:r>
          </w:p>
        </w:tc>
      </w:tr>
      <w:tr>
        <w:tc>
          <w:tcPr>
            <w:tcMar>
              <w:top w:type="dxa" w:w="50"/>
              <w:left w:type="dxa" w:w="90"/>
              <w:bottom w:type="dxa" w:w="50"/>
              <w:right w:type="dxa" w:w="90"/>
            </w:tcMar>
          </w:tcPr>
          <w:p>
            <w:r>
              <w:rPr>
                <w:sz w:val="19"/>
                <w:szCs w:val="19"/>
              </w:rPr>
              <w:t xml:space="preserve">reporter</w:t>
            </w:r>
          </w:p>
        </w:tc>
        <w:tc>
          <w:tcPr>
            <w:tcMar>
              <w:top w:type="dxa" w:w="50"/>
              <w:left w:type="dxa" w:w="90"/>
              <w:bottom w:type="dxa" w:w="50"/>
              <w:right w:type="dxa" w:w="90"/>
            </w:tcMar>
          </w:tcPr>
          <w:p>
            <w:r>
              <w:rPr>
                <w:sz w:val="19"/>
                <w:szCs w:val="19"/>
              </w:rPr>
              <w:t xml:space="preserve">Output format (html, list, etc.)</w:t>
            </w:r>
          </w:p>
        </w:tc>
      </w:tr>
    </w:tbl>
    <w:p>
      <w:pPr>
        <w:spacing w:after="80"/>
      </w:pPr>
    </w:p>
    <w:p>
      <w:pPr>
        <w:pBdr>
          <w:bottom w:val="single" w:color="e9b949" w:sz="12"/>
        </w:pBdr>
        <w:spacing w:after="100" w:before="260"/>
      </w:pPr>
      <w:r>
        <w:rPr>
          <w:b/>
          <w:bCs/>
          <w:color w:val="d4a438"/>
          <w:sz w:val="30"/>
          <w:szCs w:val="30"/>
        </w:rPr>
        <w:t xml:space="preserve">Worked Example (sensible defaults)</w:t>
      </w:r>
    </w:p>
    <w:p>
      <w:pPr>
        <w:pStyle w:val="ListParagraph"/>
        <w:numPr>
          <w:ilvl w:val="0"/>
          <w:numId w:val="1"/>
        </w:numPr>
        <w:spacing w:after="40"/>
      </w:pPr>
      <w:r>
        <w:rPr>
          <w:sz w:val="21"/>
          <w:szCs w:val="21"/>
        </w:rPr>
        <w:t xml:space="preserve">use: { baseURL: 'https://app.example.com', trace: 'on-first-retry', screenshot: 'only-on-failure' }</w:t>
      </w:r>
    </w:p>
    <w:p>
      <w:pPr>
        <w:pStyle w:val="ListParagraph"/>
        <w:numPr>
          <w:ilvl w:val="0"/>
          <w:numId w:val="1"/>
        </w:numPr>
        <w:spacing w:after="40"/>
      </w:pPr>
      <w:r>
        <w:rPr>
          <w:sz w:val="21"/>
          <w:szCs w:val="21"/>
        </w:rPr>
        <w:t xml:space="preserve">retries: process.env.CI ? 2 : 0</w:t>
      </w:r>
    </w:p>
    <w:p>
      <w:pPr>
        <w:pStyle w:val="ListParagraph"/>
        <w:numPr>
          <w:ilvl w:val="0"/>
          <w:numId w:val="1"/>
        </w:numPr>
        <w:spacing w:after="40"/>
      </w:pPr>
      <w:r>
        <w:rPr>
          <w:sz w:val="21"/>
          <w:szCs w:val="21"/>
        </w:rPr>
        <w:t xml:space="preserve">reporter: 'html'</w:t>
      </w:r>
    </w:p>
    <w:p>
      <w:pPr>
        <w:pStyle w:val="ListParagraph"/>
        <w:numPr>
          <w:ilvl w:val="0"/>
          <w:numId w:val="1"/>
        </w:numPr>
        <w:spacing w:after="40"/>
      </w:pPr>
      <w:r>
        <w:rPr>
          <w:sz w:val="21"/>
          <w:szCs w:val="21"/>
        </w:rPr>
        <w:t xml:space="preserve">projects: [{ name: 'chromium' }, { name: 'firefox' }, { name: 'webkit' }]</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Set a baseURL and switch your tests to relative paths. Enable trace on-first-retry and confirm a trace is produced when a test is retried.</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Use baseURL so tests are environment-portable.</w:t>
      </w:r>
    </w:p>
    <w:p>
      <w:pPr>
        <w:pStyle w:val="ListParagraph"/>
        <w:numPr>
          <w:ilvl w:val="0"/>
          <w:numId w:val="1"/>
        </w:numPr>
        <w:spacing w:after="40"/>
      </w:pPr>
      <w:r>
        <w:rPr>
          <w:sz w:val="21"/>
          <w:szCs w:val="21"/>
        </w:rPr>
        <w:t xml:space="preserve">Enable traces/screenshots on failure for fast debugging.</w:t>
      </w:r>
    </w:p>
    <w:p>
      <w:pPr>
        <w:pStyle w:val="ListParagraph"/>
        <w:numPr>
          <w:ilvl w:val="0"/>
          <w:numId w:val="1"/>
        </w:numPr>
        <w:spacing w:after="40"/>
      </w:pPr>
      <w:r>
        <w:rPr>
          <w:sz w:val="21"/>
          <w:szCs w:val="21"/>
        </w:rPr>
        <w:t xml:space="preserve">Use retries in CI, not locally.</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Hard-coding full URLs everywhere.</w:t>
      </w:r>
    </w:p>
    <w:p>
      <w:pPr>
        <w:pStyle w:val="ListParagraph"/>
        <w:numPr>
          <w:ilvl w:val="0"/>
          <w:numId w:val="1"/>
        </w:numPr>
        <w:spacing w:after="40"/>
      </w:pPr>
      <w:r>
        <w:rPr>
          <w:sz w:val="21"/>
          <w:szCs w:val="21"/>
        </w:rPr>
        <w:t xml:space="preserve">High retries hiding genuinely flaky tests.</w:t>
      </w:r>
    </w:p>
    <w:p>
      <w:pPr>
        <w:pStyle w:val="ListParagraph"/>
        <w:numPr>
          <w:ilvl w:val="0"/>
          <w:numId w:val="1"/>
        </w:numPr>
        <w:spacing w:after="40"/>
      </w:pPr>
      <w:r>
        <w:rPr>
          <w:sz w:val="21"/>
          <w:szCs w:val="21"/>
        </w:rPr>
        <w:t xml:space="preserve">No artefacts captured on failure, so CI failures are hard to diagnose.</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Set retries in CI but keep them at 0 locally. Retries mask flakiness — you want to see and fix it on your machine, not paper over it in the pipeline.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Playwright Config Reference</dc:title>
  <dc:creator>Inside STLC Academy</dc:creator>
  <cp:lastModifiedBy>Un-named</cp:lastModifiedBy>
  <cp:revision>1</cp:revision>
  <dcterms:created xsi:type="dcterms:W3CDTF">2026-06-29T02:36:20.460Z</dcterms:created>
  <dcterms:modified xsi:type="dcterms:W3CDTF">2026-06-29T02:36:20.460Z</dcterms:modified>
</cp:coreProperties>
</file>

<file path=docProps/custom.xml><?xml version="1.0" encoding="utf-8"?>
<Properties xmlns="http://schemas.openxmlformats.org/officeDocument/2006/custom-properties" xmlns:vt="http://schemas.openxmlformats.org/officeDocument/2006/docPropsVTypes"/>
</file>