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ISTQB FOUNDATION MASTERCLASS</w:t>
      </w:r>
    </w:p>
    <w:p>
      <w:pPr>
        <w:spacing w:after="60"/>
      </w:pPr>
      <w:r>
        <w:rPr>
          <w:b/>
          <w:bCs/>
          <w:color w:val="0d1b2a"/>
          <w:sz w:val="40"/>
          <w:szCs w:val="40"/>
        </w:rPr>
        <w:t xml:space="preserve">Example Defect Reports</w:t>
      </w:r>
    </w:p>
    <w:p>
      <w:pPr>
        <w:spacing w:after="120"/>
      </w:pPr>
      <w:r>
        <w:rPr>
          <w:i/>
          <w:iCs/>
          <w:color w:val="6b7280"/>
          <w:sz w:val="22"/>
          <w:szCs w:val="22"/>
        </w:rPr>
        <w:t xml:space="preserve">Worked, high-quality defect reports and what makes them effective.</w:t>
      </w:r>
    </w:p>
    <w:p>
      <w:pPr>
        <w:pBdr>
          <w:bottom w:val="single" w:color="e9b949" w:sz="18"/>
        </w:pBdr>
        <w:spacing w:after="160"/>
      </w:pPr>
    </w:p>
    <w:p>
      <w:pPr>
        <w:pBdr>
          <w:bottom w:val="single" w:color="e9b949" w:sz="12"/>
        </w:pBdr>
        <w:spacing w:after="100" w:before="260"/>
      </w:pPr>
      <w:r>
        <w:rPr>
          <w:b/>
          <w:bCs/>
          <w:color w:val="d4a438"/>
          <w:sz w:val="30"/>
          <w:szCs w:val="30"/>
        </w:rPr>
        <w:t xml:space="preserve">Why Good Defect Reports Matter</w:t>
      </w:r>
    </w:p>
    <w:p>
      <w:pPr>
        <w:spacing w:after="90"/>
      </w:pPr>
      <w:r>
        <w:rPr>
          <w:sz w:val="21"/>
          <w:szCs w:val="21"/>
        </w:rPr>
        <w:t xml:space="preserve">A defect report is only useful if a developer can reproduce and fix the problem without asking you questions. Below are three worked examples of well-written reports. Notice how each one is specific, reproducible, and separates what happened from what should have happened.</w:t>
      </w:r>
    </w:p>
    <w:p>
      <w:pPr>
        <w:pBdr>
          <w:bottom w:val="single" w:color="e9b949" w:sz="12"/>
        </w:pBdr>
        <w:spacing w:after="100" w:before="260"/>
      </w:pPr>
      <w:r>
        <w:rPr>
          <w:b/>
          <w:bCs/>
          <w:color w:val="d4a438"/>
          <w:sz w:val="30"/>
          <w:szCs w:val="30"/>
        </w:rPr>
        <w:t xml:space="preserve">Example 1 — Functional Defect</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Field</w:t>
            </w:r>
          </w:p>
        </w:tc>
        <w:tc>
          <w:tcPr>
            <w:shd w:fill="0d1b2a"/>
            <w:tcMar>
              <w:top w:type="dxa" w:w="60"/>
              <w:left w:type="dxa" w:w="90"/>
              <w:bottom w:type="dxa" w:w="60"/>
              <w:right w:type="dxa" w:w="90"/>
            </w:tcMar>
          </w:tcPr>
          <w:p>
            <w:r>
              <w:rPr>
                <w:b/>
                <w:bCs/>
                <w:color w:val="FFFFFF"/>
                <w:sz w:val="19"/>
                <w:szCs w:val="19"/>
              </w:rPr>
              <w:t xml:space="preserve">Content</w:t>
            </w:r>
          </w:p>
        </w:tc>
      </w:tr>
      <w:tr>
        <w:tc>
          <w:tcPr>
            <w:tcMar>
              <w:top w:type="dxa" w:w="50"/>
              <w:left w:type="dxa" w:w="90"/>
              <w:bottom w:type="dxa" w:w="50"/>
              <w:right w:type="dxa" w:w="90"/>
            </w:tcMar>
          </w:tcPr>
          <w:p>
            <w:r>
              <w:rPr>
                <w:sz w:val="19"/>
                <w:szCs w:val="19"/>
              </w:rPr>
              <w:t xml:space="preserve">ID</w:t>
            </w:r>
          </w:p>
        </w:tc>
        <w:tc>
          <w:tcPr>
            <w:tcMar>
              <w:top w:type="dxa" w:w="50"/>
              <w:left w:type="dxa" w:w="90"/>
              <w:bottom w:type="dxa" w:w="50"/>
              <w:right w:type="dxa" w:w="90"/>
            </w:tcMar>
          </w:tcPr>
          <w:p>
            <w:r>
              <w:rPr>
                <w:sz w:val="19"/>
                <w:szCs w:val="19"/>
              </w:rPr>
              <w:t xml:space="preserve">ACME-OLB-DEF-118</w:t>
            </w:r>
          </w:p>
        </w:tc>
      </w:tr>
      <w:tr>
        <w:tc>
          <w:tcPr>
            <w:tcMar>
              <w:top w:type="dxa" w:w="50"/>
              <w:left w:type="dxa" w:w="90"/>
              <w:bottom w:type="dxa" w:w="50"/>
              <w:right w:type="dxa" w:w="90"/>
            </w:tcMar>
          </w:tcPr>
          <w:p>
            <w:r>
              <w:rPr>
                <w:sz w:val="19"/>
                <w:szCs w:val="19"/>
              </w:rPr>
              <w:t xml:space="preserve">Summary</w:t>
            </w:r>
          </w:p>
        </w:tc>
        <w:tc>
          <w:tcPr>
            <w:tcMar>
              <w:top w:type="dxa" w:w="50"/>
              <w:left w:type="dxa" w:w="90"/>
              <w:bottom w:type="dxa" w:w="50"/>
              <w:right w:type="dxa" w:w="90"/>
            </w:tcMar>
          </w:tcPr>
          <w:p>
            <w:r>
              <w:rPr>
                <w:sz w:val="19"/>
                <w:szCs w:val="19"/>
              </w:rPr>
              <w:t xml:space="preserve">Transfer of exactly £0.00 is accepted instead of being rejected</w:t>
            </w:r>
          </w:p>
        </w:tc>
      </w:tr>
      <w:tr>
        <w:tc>
          <w:tcPr>
            <w:tcMar>
              <w:top w:type="dxa" w:w="50"/>
              <w:left w:type="dxa" w:w="90"/>
              <w:bottom w:type="dxa" w:w="50"/>
              <w:right w:type="dxa" w:w="90"/>
            </w:tcMar>
          </w:tcPr>
          <w:p>
            <w:r>
              <w:rPr>
                <w:sz w:val="19"/>
                <w:szCs w:val="19"/>
              </w:rPr>
              <w:t xml:space="preserve">Environment</w:t>
            </w:r>
          </w:p>
        </w:tc>
        <w:tc>
          <w:tcPr>
            <w:tcMar>
              <w:top w:type="dxa" w:w="50"/>
              <w:left w:type="dxa" w:w="90"/>
              <w:bottom w:type="dxa" w:w="50"/>
              <w:right w:type="dxa" w:w="90"/>
            </w:tcMar>
          </w:tcPr>
          <w:p>
            <w:r>
              <w:rPr>
                <w:sz w:val="19"/>
                <w:szCs w:val="19"/>
              </w:rPr>
              <w:t xml:space="preserve">Release 2.4 build 812, Chrome 124, test environment</w:t>
            </w:r>
          </w:p>
        </w:tc>
      </w:tr>
      <w:tr>
        <w:tc>
          <w:tcPr>
            <w:tcMar>
              <w:top w:type="dxa" w:w="50"/>
              <w:left w:type="dxa" w:w="90"/>
              <w:bottom w:type="dxa" w:w="50"/>
              <w:right w:type="dxa" w:w="90"/>
            </w:tcMar>
          </w:tcPr>
          <w:p>
            <w:r>
              <w:rPr>
                <w:sz w:val="19"/>
                <w:szCs w:val="19"/>
              </w:rPr>
              <w:t xml:space="preserve">Steps to reproduce</w:t>
            </w:r>
          </w:p>
        </w:tc>
        <w:tc>
          <w:tcPr>
            <w:tcMar>
              <w:top w:type="dxa" w:w="50"/>
              <w:left w:type="dxa" w:w="90"/>
              <w:bottom w:type="dxa" w:w="50"/>
              <w:right w:type="dxa" w:w="90"/>
            </w:tcMar>
          </w:tcPr>
          <w:p>
            <w:r>
              <w:rPr>
                <w:sz w:val="19"/>
                <w:szCs w:val="19"/>
              </w:rPr>
              <w:t xml:space="preserve">1. Log in as test user. 2. Open "Make a payment". 3. Enter amount 0.00. 4. Select a payee. 5. Click "Send".</w:t>
            </w:r>
          </w:p>
        </w:tc>
      </w:tr>
      <w:tr>
        <w:tc>
          <w:tcPr>
            <w:tcMar>
              <w:top w:type="dxa" w:w="50"/>
              <w:left w:type="dxa" w:w="90"/>
              <w:bottom w:type="dxa" w:w="50"/>
              <w:right w:type="dxa" w:w="90"/>
            </w:tcMar>
          </w:tcPr>
          <w:p>
            <w:r>
              <w:rPr>
                <w:sz w:val="19"/>
                <w:szCs w:val="19"/>
              </w:rPr>
              <w:t xml:space="preserve">Expected result</w:t>
            </w:r>
          </w:p>
        </w:tc>
        <w:tc>
          <w:tcPr>
            <w:tcMar>
              <w:top w:type="dxa" w:w="50"/>
              <w:left w:type="dxa" w:w="90"/>
              <w:bottom w:type="dxa" w:w="50"/>
              <w:right w:type="dxa" w:w="90"/>
            </w:tcMar>
          </w:tcPr>
          <w:p>
            <w:r>
              <w:rPr>
                <w:sz w:val="19"/>
                <w:szCs w:val="19"/>
              </w:rPr>
              <w:t xml:space="preserve">Validation error: "Amount must be greater than £0.00"</w:t>
            </w:r>
          </w:p>
        </w:tc>
      </w:tr>
      <w:tr>
        <w:tc>
          <w:tcPr>
            <w:tcMar>
              <w:top w:type="dxa" w:w="50"/>
              <w:left w:type="dxa" w:w="90"/>
              <w:bottom w:type="dxa" w:w="50"/>
              <w:right w:type="dxa" w:w="90"/>
            </w:tcMar>
          </w:tcPr>
          <w:p>
            <w:r>
              <w:rPr>
                <w:sz w:val="19"/>
                <w:szCs w:val="19"/>
              </w:rPr>
              <w:t xml:space="preserve">Actual result</w:t>
            </w:r>
          </w:p>
        </w:tc>
        <w:tc>
          <w:tcPr>
            <w:tcMar>
              <w:top w:type="dxa" w:w="50"/>
              <w:left w:type="dxa" w:w="90"/>
              <w:bottom w:type="dxa" w:w="50"/>
              <w:right w:type="dxa" w:w="90"/>
            </w:tcMar>
          </w:tcPr>
          <w:p>
            <w:r>
              <w:rPr>
                <w:sz w:val="19"/>
                <w:szCs w:val="19"/>
              </w:rPr>
              <w:t xml:space="preserve">Payment is accepted and a £0.00 transaction appears in history</w:t>
            </w:r>
          </w:p>
        </w:tc>
      </w:tr>
      <w:tr>
        <w:tc>
          <w:tcPr>
            <w:tcMar>
              <w:top w:type="dxa" w:w="50"/>
              <w:left w:type="dxa" w:w="90"/>
              <w:bottom w:type="dxa" w:w="50"/>
              <w:right w:type="dxa" w:w="90"/>
            </w:tcMar>
          </w:tcPr>
          <w:p>
            <w:r>
              <w:rPr>
                <w:sz w:val="19"/>
                <w:szCs w:val="19"/>
              </w:rPr>
              <w:t xml:space="preserve">Severity</w:t>
            </w:r>
          </w:p>
        </w:tc>
        <w:tc>
          <w:tcPr>
            <w:tcMar>
              <w:top w:type="dxa" w:w="50"/>
              <w:left w:type="dxa" w:w="90"/>
              <w:bottom w:type="dxa" w:w="50"/>
              <w:right w:type="dxa" w:w="90"/>
            </w:tcMar>
          </w:tcPr>
          <w:p>
            <w:r>
              <w:rPr>
                <w:sz w:val="19"/>
                <w:szCs w:val="19"/>
              </w:rPr>
              <w:t xml:space="preserve">High</w:t>
            </w:r>
          </w:p>
        </w:tc>
      </w:tr>
      <w:tr>
        <w:tc>
          <w:tcPr>
            <w:tcMar>
              <w:top w:type="dxa" w:w="50"/>
              <w:left w:type="dxa" w:w="90"/>
              <w:bottom w:type="dxa" w:w="50"/>
              <w:right w:type="dxa" w:w="90"/>
            </w:tcMar>
          </w:tcPr>
          <w:p>
            <w:r>
              <w:rPr>
                <w:sz w:val="19"/>
                <w:szCs w:val="19"/>
              </w:rPr>
              <w:t xml:space="preserve">Priority</w:t>
            </w:r>
          </w:p>
        </w:tc>
        <w:tc>
          <w:tcPr>
            <w:tcMar>
              <w:top w:type="dxa" w:w="50"/>
              <w:left w:type="dxa" w:w="90"/>
              <w:bottom w:type="dxa" w:w="50"/>
              <w:right w:type="dxa" w:w="90"/>
            </w:tcMar>
          </w:tcPr>
          <w:p>
            <w:r>
              <w:rPr>
                <w:sz w:val="19"/>
                <w:szCs w:val="19"/>
              </w:rPr>
              <w:t xml:space="preserve">High</w:t>
            </w:r>
          </w:p>
        </w:tc>
      </w:tr>
    </w:tbl>
    <w:p>
      <w:pPr>
        <w:spacing w:after="80"/>
      </w:pPr>
    </w:p>
    <w:p>
      <w:pPr>
        <w:pBdr>
          <w:bottom w:val="single" w:color="e9b949" w:sz="12"/>
        </w:pBdr>
        <w:spacing w:after="100" w:before="260"/>
      </w:pPr>
      <w:r>
        <w:rPr>
          <w:b/>
          <w:bCs/>
          <w:color w:val="d4a438"/>
          <w:sz w:val="30"/>
          <w:szCs w:val="30"/>
        </w:rPr>
        <w:t xml:space="preserve">Example 2 — Boundary Defect</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Field</w:t>
            </w:r>
          </w:p>
        </w:tc>
        <w:tc>
          <w:tcPr>
            <w:shd w:fill="0d1b2a"/>
            <w:tcMar>
              <w:top w:type="dxa" w:w="60"/>
              <w:left w:type="dxa" w:w="90"/>
              <w:bottom w:type="dxa" w:w="60"/>
              <w:right w:type="dxa" w:w="90"/>
            </w:tcMar>
          </w:tcPr>
          <w:p>
            <w:r>
              <w:rPr>
                <w:b/>
                <w:bCs/>
                <w:color w:val="FFFFFF"/>
                <w:sz w:val="19"/>
                <w:szCs w:val="19"/>
              </w:rPr>
              <w:t xml:space="preserve">Content</w:t>
            </w:r>
          </w:p>
        </w:tc>
      </w:tr>
      <w:tr>
        <w:tc>
          <w:tcPr>
            <w:tcMar>
              <w:top w:type="dxa" w:w="50"/>
              <w:left w:type="dxa" w:w="90"/>
              <w:bottom w:type="dxa" w:w="50"/>
              <w:right w:type="dxa" w:w="90"/>
            </w:tcMar>
          </w:tcPr>
          <w:p>
            <w:r>
              <w:rPr>
                <w:sz w:val="19"/>
                <w:szCs w:val="19"/>
              </w:rPr>
              <w:t xml:space="preserve">ID</w:t>
            </w:r>
          </w:p>
        </w:tc>
        <w:tc>
          <w:tcPr>
            <w:tcMar>
              <w:top w:type="dxa" w:w="50"/>
              <w:left w:type="dxa" w:w="90"/>
              <w:bottom w:type="dxa" w:w="50"/>
              <w:right w:type="dxa" w:w="90"/>
            </w:tcMar>
          </w:tcPr>
          <w:p>
            <w:r>
              <w:rPr>
                <w:sz w:val="19"/>
                <w:szCs w:val="19"/>
              </w:rPr>
              <w:t xml:space="preserve">ACME-OLB-DEF-124</w:t>
            </w:r>
          </w:p>
        </w:tc>
      </w:tr>
      <w:tr>
        <w:tc>
          <w:tcPr>
            <w:tcMar>
              <w:top w:type="dxa" w:w="50"/>
              <w:left w:type="dxa" w:w="90"/>
              <w:bottom w:type="dxa" w:w="50"/>
              <w:right w:type="dxa" w:w="90"/>
            </w:tcMar>
          </w:tcPr>
          <w:p>
            <w:r>
              <w:rPr>
                <w:sz w:val="19"/>
                <w:szCs w:val="19"/>
              </w:rPr>
              <w:t xml:space="preserve">Summary</w:t>
            </w:r>
          </w:p>
        </w:tc>
        <w:tc>
          <w:tcPr>
            <w:tcMar>
              <w:top w:type="dxa" w:w="50"/>
              <w:left w:type="dxa" w:w="90"/>
              <w:bottom w:type="dxa" w:w="50"/>
              <w:right w:type="dxa" w:w="90"/>
            </w:tcMar>
          </w:tcPr>
          <w:p>
            <w:r>
              <w:rPr>
                <w:sz w:val="19"/>
                <w:szCs w:val="19"/>
              </w:rPr>
              <w:t xml:space="preserve">Password field accepts 129 characters; limit should be 128</w:t>
            </w:r>
          </w:p>
        </w:tc>
      </w:tr>
      <w:tr>
        <w:tc>
          <w:tcPr>
            <w:tcMar>
              <w:top w:type="dxa" w:w="50"/>
              <w:left w:type="dxa" w:w="90"/>
              <w:bottom w:type="dxa" w:w="50"/>
              <w:right w:type="dxa" w:w="90"/>
            </w:tcMar>
          </w:tcPr>
          <w:p>
            <w:r>
              <w:rPr>
                <w:sz w:val="19"/>
                <w:szCs w:val="19"/>
              </w:rPr>
              <w:t xml:space="preserve">Environment</w:t>
            </w:r>
          </w:p>
        </w:tc>
        <w:tc>
          <w:tcPr>
            <w:tcMar>
              <w:top w:type="dxa" w:w="50"/>
              <w:left w:type="dxa" w:w="90"/>
              <w:bottom w:type="dxa" w:w="50"/>
              <w:right w:type="dxa" w:w="90"/>
            </w:tcMar>
          </w:tcPr>
          <w:p>
            <w:r>
              <w:rPr>
                <w:sz w:val="19"/>
                <w:szCs w:val="19"/>
              </w:rPr>
              <w:t xml:space="preserve">Release 2.4 build 812, Edge 124, test environment</w:t>
            </w:r>
          </w:p>
        </w:tc>
      </w:tr>
      <w:tr>
        <w:tc>
          <w:tcPr>
            <w:tcMar>
              <w:top w:type="dxa" w:w="50"/>
              <w:left w:type="dxa" w:w="90"/>
              <w:bottom w:type="dxa" w:w="50"/>
              <w:right w:type="dxa" w:w="90"/>
            </w:tcMar>
          </w:tcPr>
          <w:p>
            <w:r>
              <w:rPr>
                <w:sz w:val="19"/>
                <w:szCs w:val="19"/>
              </w:rPr>
              <w:t xml:space="preserve">Steps to reproduce</w:t>
            </w:r>
          </w:p>
        </w:tc>
        <w:tc>
          <w:tcPr>
            <w:tcMar>
              <w:top w:type="dxa" w:w="50"/>
              <w:left w:type="dxa" w:w="90"/>
              <w:bottom w:type="dxa" w:w="50"/>
              <w:right w:type="dxa" w:w="90"/>
            </w:tcMar>
          </w:tcPr>
          <w:p>
            <w:r>
              <w:rPr>
                <w:sz w:val="19"/>
                <w:szCs w:val="19"/>
              </w:rPr>
              <w:t xml:space="preserve">1. Go to "Change password". 2. Paste a 129-character password. 3. Submit.</w:t>
            </w:r>
          </w:p>
        </w:tc>
      </w:tr>
      <w:tr>
        <w:tc>
          <w:tcPr>
            <w:tcMar>
              <w:top w:type="dxa" w:w="50"/>
              <w:left w:type="dxa" w:w="90"/>
              <w:bottom w:type="dxa" w:w="50"/>
              <w:right w:type="dxa" w:w="90"/>
            </w:tcMar>
          </w:tcPr>
          <w:p>
            <w:r>
              <w:rPr>
                <w:sz w:val="19"/>
                <w:szCs w:val="19"/>
              </w:rPr>
              <w:t xml:space="preserve">Expected result</w:t>
            </w:r>
          </w:p>
        </w:tc>
        <w:tc>
          <w:tcPr>
            <w:tcMar>
              <w:top w:type="dxa" w:w="50"/>
              <w:left w:type="dxa" w:w="90"/>
              <w:bottom w:type="dxa" w:w="50"/>
              <w:right w:type="dxa" w:w="90"/>
            </w:tcMar>
          </w:tcPr>
          <w:p>
            <w:r>
              <w:rPr>
                <w:sz w:val="19"/>
                <w:szCs w:val="19"/>
              </w:rPr>
              <w:t xml:space="preserve">Rejected with "Password must be 128 characters or fewer"</w:t>
            </w:r>
          </w:p>
        </w:tc>
      </w:tr>
      <w:tr>
        <w:tc>
          <w:tcPr>
            <w:tcMar>
              <w:top w:type="dxa" w:w="50"/>
              <w:left w:type="dxa" w:w="90"/>
              <w:bottom w:type="dxa" w:w="50"/>
              <w:right w:type="dxa" w:w="90"/>
            </w:tcMar>
          </w:tcPr>
          <w:p>
            <w:r>
              <w:rPr>
                <w:sz w:val="19"/>
                <w:szCs w:val="19"/>
              </w:rPr>
              <w:t xml:space="preserve">Actual result</w:t>
            </w:r>
          </w:p>
        </w:tc>
        <w:tc>
          <w:tcPr>
            <w:tcMar>
              <w:top w:type="dxa" w:w="50"/>
              <w:left w:type="dxa" w:w="90"/>
              <w:bottom w:type="dxa" w:w="50"/>
              <w:right w:type="dxa" w:w="90"/>
            </w:tcMar>
          </w:tcPr>
          <w:p>
            <w:r>
              <w:rPr>
                <w:sz w:val="19"/>
                <w:szCs w:val="19"/>
              </w:rPr>
              <w:t xml:space="preserve">Password is saved; user cannot log in afterwards</w:t>
            </w:r>
          </w:p>
        </w:tc>
      </w:tr>
      <w:tr>
        <w:tc>
          <w:tcPr>
            <w:tcMar>
              <w:top w:type="dxa" w:w="50"/>
              <w:left w:type="dxa" w:w="90"/>
              <w:bottom w:type="dxa" w:w="50"/>
              <w:right w:type="dxa" w:w="90"/>
            </w:tcMar>
          </w:tcPr>
          <w:p>
            <w:r>
              <w:rPr>
                <w:sz w:val="19"/>
                <w:szCs w:val="19"/>
              </w:rPr>
              <w:t xml:space="preserve">Severity</w:t>
            </w:r>
          </w:p>
        </w:tc>
        <w:tc>
          <w:tcPr>
            <w:tcMar>
              <w:top w:type="dxa" w:w="50"/>
              <w:left w:type="dxa" w:w="90"/>
              <w:bottom w:type="dxa" w:w="50"/>
              <w:right w:type="dxa" w:w="90"/>
            </w:tcMar>
          </w:tcPr>
          <w:p>
            <w:r>
              <w:rPr>
                <w:sz w:val="19"/>
                <w:szCs w:val="19"/>
              </w:rPr>
              <w:t xml:space="preserve">Medium</w:t>
            </w:r>
          </w:p>
        </w:tc>
      </w:tr>
      <w:tr>
        <w:tc>
          <w:tcPr>
            <w:tcMar>
              <w:top w:type="dxa" w:w="50"/>
              <w:left w:type="dxa" w:w="90"/>
              <w:bottom w:type="dxa" w:w="50"/>
              <w:right w:type="dxa" w:w="90"/>
            </w:tcMar>
          </w:tcPr>
          <w:p>
            <w:r>
              <w:rPr>
                <w:sz w:val="19"/>
                <w:szCs w:val="19"/>
              </w:rPr>
              <w:t xml:space="preserve">Priority</w:t>
            </w:r>
          </w:p>
        </w:tc>
        <w:tc>
          <w:tcPr>
            <w:tcMar>
              <w:top w:type="dxa" w:w="50"/>
              <w:left w:type="dxa" w:w="90"/>
              <w:bottom w:type="dxa" w:w="50"/>
              <w:right w:type="dxa" w:w="90"/>
            </w:tcMar>
          </w:tcPr>
          <w:p>
            <w:r>
              <w:rPr>
                <w:sz w:val="19"/>
                <w:szCs w:val="19"/>
              </w:rPr>
              <w:t xml:space="preserve">High</w:t>
            </w:r>
          </w:p>
        </w:tc>
      </w:tr>
    </w:tbl>
    <w:p>
      <w:pPr>
        <w:spacing w:after="80"/>
      </w:pPr>
    </w:p>
    <w:p>
      <w:pPr>
        <w:pBdr>
          <w:bottom w:val="single" w:color="e9b949" w:sz="12"/>
        </w:pBdr>
        <w:spacing w:after="100" w:before="260"/>
      </w:pPr>
      <w:r>
        <w:rPr>
          <w:b/>
          <w:bCs/>
          <w:color w:val="d4a438"/>
          <w:sz w:val="30"/>
          <w:szCs w:val="30"/>
        </w:rPr>
        <w:t xml:space="preserve">Example 3 — Usability / UI Defect</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Field</w:t>
            </w:r>
          </w:p>
        </w:tc>
        <w:tc>
          <w:tcPr>
            <w:shd w:fill="0d1b2a"/>
            <w:tcMar>
              <w:top w:type="dxa" w:w="60"/>
              <w:left w:type="dxa" w:w="90"/>
              <w:bottom w:type="dxa" w:w="60"/>
              <w:right w:type="dxa" w:w="90"/>
            </w:tcMar>
          </w:tcPr>
          <w:p>
            <w:r>
              <w:rPr>
                <w:b/>
                <w:bCs/>
                <w:color w:val="FFFFFF"/>
                <w:sz w:val="19"/>
                <w:szCs w:val="19"/>
              </w:rPr>
              <w:t xml:space="preserve">Content</w:t>
            </w:r>
          </w:p>
        </w:tc>
      </w:tr>
      <w:tr>
        <w:tc>
          <w:tcPr>
            <w:tcMar>
              <w:top w:type="dxa" w:w="50"/>
              <w:left w:type="dxa" w:w="90"/>
              <w:bottom w:type="dxa" w:w="50"/>
              <w:right w:type="dxa" w:w="90"/>
            </w:tcMar>
          </w:tcPr>
          <w:p>
            <w:r>
              <w:rPr>
                <w:sz w:val="19"/>
                <w:szCs w:val="19"/>
              </w:rPr>
              <w:t xml:space="preserve">ID</w:t>
            </w:r>
          </w:p>
        </w:tc>
        <w:tc>
          <w:tcPr>
            <w:tcMar>
              <w:top w:type="dxa" w:w="50"/>
              <w:left w:type="dxa" w:w="90"/>
              <w:bottom w:type="dxa" w:w="50"/>
              <w:right w:type="dxa" w:w="90"/>
            </w:tcMar>
          </w:tcPr>
          <w:p>
            <w:r>
              <w:rPr>
                <w:sz w:val="19"/>
                <w:szCs w:val="19"/>
              </w:rPr>
              <w:t xml:space="preserve">ACME-OLB-DEF-131</w:t>
            </w:r>
          </w:p>
        </w:tc>
      </w:tr>
      <w:tr>
        <w:tc>
          <w:tcPr>
            <w:tcMar>
              <w:top w:type="dxa" w:w="50"/>
              <w:left w:type="dxa" w:w="90"/>
              <w:bottom w:type="dxa" w:w="50"/>
              <w:right w:type="dxa" w:w="90"/>
            </w:tcMar>
          </w:tcPr>
          <w:p>
            <w:r>
              <w:rPr>
                <w:sz w:val="19"/>
                <w:szCs w:val="19"/>
              </w:rPr>
              <w:t xml:space="preserve">Summary</w:t>
            </w:r>
          </w:p>
        </w:tc>
        <w:tc>
          <w:tcPr>
            <w:tcMar>
              <w:top w:type="dxa" w:w="50"/>
              <w:left w:type="dxa" w:w="90"/>
              <w:bottom w:type="dxa" w:w="50"/>
              <w:right w:type="dxa" w:w="90"/>
            </w:tcMar>
          </w:tcPr>
          <w:p>
            <w:r>
              <w:rPr>
                <w:sz w:val="19"/>
                <w:szCs w:val="19"/>
              </w:rPr>
              <w:t xml:space="preserve">Error message overlaps the "Send" button on small screens</w:t>
            </w:r>
          </w:p>
        </w:tc>
      </w:tr>
      <w:tr>
        <w:tc>
          <w:tcPr>
            <w:tcMar>
              <w:top w:type="dxa" w:w="50"/>
              <w:left w:type="dxa" w:w="90"/>
              <w:bottom w:type="dxa" w:w="50"/>
              <w:right w:type="dxa" w:w="90"/>
            </w:tcMar>
          </w:tcPr>
          <w:p>
            <w:r>
              <w:rPr>
                <w:sz w:val="19"/>
                <w:szCs w:val="19"/>
              </w:rPr>
              <w:t xml:space="preserve">Environment</w:t>
            </w:r>
          </w:p>
        </w:tc>
        <w:tc>
          <w:tcPr>
            <w:tcMar>
              <w:top w:type="dxa" w:w="50"/>
              <w:left w:type="dxa" w:w="90"/>
              <w:bottom w:type="dxa" w:w="50"/>
              <w:right w:type="dxa" w:w="90"/>
            </w:tcMar>
          </w:tcPr>
          <w:p>
            <w:r>
              <w:rPr>
                <w:sz w:val="19"/>
                <w:szCs w:val="19"/>
              </w:rPr>
              <w:t xml:space="preserve">Release 2.4 build 812, Safari 17, viewport 375px wide</w:t>
            </w:r>
          </w:p>
        </w:tc>
      </w:tr>
      <w:tr>
        <w:tc>
          <w:tcPr>
            <w:tcMar>
              <w:top w:type="dxa" w:w="50"/>
              <w:left w:type="dxa" w:w="90"/>
              <w:bottom w:type="dxa" w:w="50"/>
              <w:right w:type="dxa" w:w="90"/>
            </w:tcMar>
          </w:tcPr>
          <w:p>
            <w:r>
              <w:rPr>
                <w:sz w:val="19"/>
                <w:szCs w:val="19"/>
              </w:rPr>
              <w:t xml:space="preserve">Steps to reproduce</w:t>
            </w:r>
          </w:p>
        </w:tc>
        <w:tc>
          <w:tcPr>
            <w:tcMar>
              <w:top w:type="dxa" w:w="50"/>
              <w:left w:type="dxa" w:w="90"/>
              <w:bottom w:type="dxa" w:w="50"/>
              <w:right w:type="dxa" w:w="90"/>
            </w:tcMar>
          </w:tcPr>
          <w:p>
            <w:r>
              <w:rPr>
                <w:sz w:val="19"/>
                <w:szCs w:val="19"/>
              </w:rPr>
              <w:t xml:space="preserve">1. Open payments on a 375px-wide viewport. 2. Trigger a validation error.</w:t>
            </w:r>
          </w:p>
        </w:tc>
      </w:tr>
      <w:tr>
        <w:tc>
          <w:tcPr>
            <w:tcMar>
              <w:top w:type="dxa" w:w="50"/>
              <w:left w:type="dxa" w:w="90"/>
              <w:bottom w:type="dxa" w:w="50"/>
              <w:right w:type="dxa" w:w="90"/>
            </w:tcMar>
          </w:tcPr>
          <w:p>
            <w:r>
              <w:rPr>
                <w:sz w:val="19"/>
                <w:szCs w:val="19"/>
              </w:rPr>
              <w:t xml:space="preserve">Expected result</w:t>
            </w:r>
          </w:p>
        </w:tc>
        <w:tc>
          <w:tcPr>
            <w:tcMar>
              <w:top w:type="dxa" w:w="50"/>
              <w:left w:type="dxa" w:w="90"/>
              <w:bottom w:type="dxa" w:w="50"/>
              <w:right w:type="dxa" w:w="90"/>
            </w:tcMar>
          </w:tcPr>
          <w:p>
            <w:r>
              <w:rPr>
                <w:sz w:val="19"/>
                <w:szCs w:val="19"/>
              </w:rPr>
              <w:t xml:space="preserve">Error text sits above the button and both are readable</w:t>
            </w:r>
          </w:p>
        </w:tc>
      </w:tr>
      <w:tr>
        <w:tc>
          <w:tcPr>
            <w:tcMar>
              <w:top w:type="dxa" w:w="50"/>
              <w:left w:type="dxa" w:w="90"/>
              <w:bottom w:type="dxa" w:w="50"/>
              <w:right w:type="dxa" w:w="90"/>
            </w:tcMar>
          </w:tcPr>
          <w:p>
            <w:r>
              <w:rPr>
                <w:sz w:val="19"/>
                <w:szCs w:val="19"/>
              </w:rPr>
              <w:t xml:space="preserve">Actual result</w:t>
            </w:r>
          </w:p>
        </w:tc>
        <w:tc>
          <w:tcPr>
            <w:tcMar>
              <w:top w:type="dxa" w:w="50"/>
              <w:left w:type="dxa" w:w="90"/>
              <w:bottom w:type="dxa" w:w="50"/>
              <w:right w:type="dxa" w:w="90"/>
            </w:tcMar>
          </w:tcPr>
          <w:p>
            <w:r>
              <w:rPr>
                <w:sz w:val="19"/>
                <w:szCs w:val="19"/>
              </w:rPr>
              <w:t xml:space="preserve">Error text overlaps the button, hiding the label</w:t>
            </w:r>
          </w:p>
        </w:tc>
      </w:tr>
      <w:tr>
        <w:tc>
          <w:tcPr>
            <w:tcMar>
              <w:top w:type="dxa" w:w="50"/>
              <w:left w:type="dxa" w:w="90"/>
              <w:bottom w:type="dxa" w:w="50"/>
              <w:right w:type="dxa" w:w="90"/>
            </w:tcMar>
          </w:tcPr>
          <w:p>
            <w:r>
              <w:rPr>
                <w:sz w:val="19"/>
                <w:szCs w:val="19"/>
              </w:rPr>
              <w:t xml:space="preserve">Severity</w:t>
            </w:r>
          </w:p>
        </w:tc>
        <w:tc>
          <w:tcPr>
            <w:tcMar>
              <w:top w:type="dxa" w:w="50"/>
              <w:left w:type="dxa" w:w="90"/>
              <w:bottom w:type="dxa" w:w="50"/>
              <w:right w:type="dxa" w:w="90"/>
            </w:tcMar>
          </w:tcPr>
          <w:p>
            <w:r>
              <w:rPr>
                <w:sz w:val="19"/>
                <w:szCs w:val="19"/>
              </w:rPr>
              <w:t xml:space="preserve">Low</w:t>
            </w:r>
          </w:p>
        </w:tc>
      </w:tr>
      <w:tr>
        <w:tc>
          <w:tcPr>
            <w:tcMar>
              <w:top w:type="dxa" w:w="50"/>
              <w:left w:type="dxa" w:w="90"/>
              <w:bottom w:type="dxa" w:w="50"/>
              <w:right w:type="dxa" w:w="90"/>
            </w:tcMar>
          </w:tcPr>
          <w:p>
            <w:r>
              <w:rPr>
                <w:sz w:val="19"/>
                <w:szCs w:val="19"/>
              </w:rPr>
              <w:t xml:space="preserve">Priority</w:t>
            </w:r>
          </w:p>
        </w:tc>
        <w:tc>
          <w:tcPr>
            <w:tcMar>
              <w:top w:type="dxa" w:w="50"/>
              <w:left w:type="dxa" w:w="90"/>
              <w:bottom w:type="dxa" w:w="50"/>
              <w:right w:type="dxa" w:w="90"/>
            </w:tcMar>
          </w:tcPr>
          <w:p>
            <w:r>
              <w:rPr>
                <w:sz w:val="19"/>
                <w:szCs w:val="19"/>
              </w:rPr>
              <w:t xml:space="preserve">Medium</w:t>
            </w:r>
          </w:p>
        </w:tc>
      </w:tr>
    </w:tbl>
    <w:p>
      <w:pPr>
        <w:spacing w:after="80"/>
      </w:pPr>
    </w:p>
    <w:p>
      <w:pPr>
        <w:pBdr>
          <w:bottom w:val="single" w:color="e9b949" w:sz="12"/>
        </w:pBdr>
        <w:spacing w:after="100" w:before="260"/>
      </w:pPr>
      <w:r>
        <w:rPr>
          <w:b/>
          <w:bCs/>
          <w:color w:val="d4a438"/>
          <w:sz w:val="30"/>
          <w:szCs w:val="30"/>
        </w:rPr>
        <w:t xml:space="preserve">Severity vs Priority</w:t>
      </w:r>
    </w:p>
    <w:p>
      <w:pPr>
        <w:spacing w:after="90"/>
      </w:pPr>
      <w:r>
        <w:rPr>
          <w:sz w:val="21"/>
          <w:szCs w:val="21"/>
        </w:rPr>
        <w:t xml:space="preserve">These are independent. Severity is the impact on the system; priority is how soon it should be fixed. A cosmetic logo error on the home page can be low severity but high priority if it damages the brand before a launch.</w:t>
      </w:r>
    </w:p>
    <w:p>
      <w:pPr>
        <w:pStyle w:val="ListParagraph"/>
        <w:numPr>
          <w:ilvl w:val="0"/>
          <w:numId w:val="1"/>
        </w:numPr>
        <w:spacing w:after="40"/>
      </w:pPr>
      <w:r>
        <w:rPr>
          <w:sz w:val="21"/>
          <w:szCs w:val="21"/>
        </w:rPr>
        <w:t xml:space="preserve">Severity — technical/business impact of the defect.</w:t>
      </w:r>
    </w:p>
    <w:p>
      <w:pPr>
        <w:pStyle w:val="ListParagraph"/>
        <w:numPr>
          <w:ilvl w:val="0"/>
          <w:numId w:val="1"/>
        </w:numPr>
        <w:spacing w:after="40"/>
      </w:pPr>
      <w:r>
        <w:rPr>
          <w:sz w:val="21"/>
          <w:szCs w:val="21"/>
        </w:rPr>
        <w:t xml:space="preserve">Priority — urgency of the fix relative to other work.</w:t>
      </w:r>
    </w:p>
    <w:p>
      <w:pPr>
        <w:pBdr>
          <w:bottom w:val="single" w:color="e9b949" w:sz="12"/>
        </w:pBdr>
        <w:spacing w:after="100" w:before="260"/>
      </w:pPr>
      <w:r>
        <w:rPr>
          <w:b/>
          <w:bCs/>
          <w:color w:val="d4a438"/>
          <w:sz w:val="30"/>
          <w:szCs w:val="30"/>
        </w:rPr>
        <w:t xml:space="preserve">What Makes a Good Report</w:t>
      </w:r>
    </w:p>
    <w:p>
      <w:pPr>
        <w:pStyle w:val="ListParagraph"/>
        <w:numPr>
          <w:ilvl w:val="0"/>
          <w:numId w:val="2"/>
        </w:numPr>
        <w:spacing w:after="40"/>
      </w:pPr>
      <w:r>
        <w:rPr>
          <w:sz w:val="21"/>
          <w:szCs w:val="21"/>
        </w:rPr>
        <w:t xml:space="preserve">A clear, specific summary that reads like a headline.</w:t>
      </w:r>
    </w:p>
    <w:p>
      <w:pPr>
        <w:pStyle w:val="ListParagraph"/>
        <w:numPr>
          <w:ilvl w:val="0"/>
          <w:numId w:val="2"/>
        </w:numPr>
        <w:spacing w:after="40"/>
      </w:pPr>
      <w:r>
        <w:rPr>
          <w:sz w:val="21"/>
          <w:szCs w:val="21"/>
        </w:rPr>
        <w:t xml:space="preserve">Exact environment and build so it can be reproduced.</w:t>
      </w:r>
    </w:p>
    <w:p>
      <w:pPr>
        <w:pStyle w:val="ListParagraph"/>
        <w:numPr>
          <w:ilvl w:val="0"/>
          <w:numId w:val="2"/>
        </w:numPr>
        <w:spacing w:after="40"/>
      </w:pPr>
      <w:r>
        <w:rPr>
          <w:sz w:val="21"/>
          <w:szCs w:val="21"/>
        </w:rPr>
        <w:t xml:space="preserve">Numbered, minimal steps to reproduce.</w:t>
      </w:r>
    </w:p>
    <w:p>
      <w:pPr>
        <w:pStyle w:val="ListParagraph"/>
        <w:numPr>
          <w:ilvl w:val="0"/>
          <w:numId w:val="2"/>
        </w:numPr>
        <w:spacing w:after="40"/>
      </w:pPr>
      <w:r>
        <w:rPr>
          <w:sz w:val="21"/>
          <w:szCs w:val="21"/>
        </w:rPr>
        <w:t xml:space="preserve">Expected and actual results stated separately.</w:t>
      </w:r>
    </w:p>
    <w:p>
      <w:pPr>
        <w:pStyle w:val="ListParagraph"/>
        <w:numPr>
          <w:ilvl w:val="0"/>
          <w:numId w:val="2"/>
        </w:numPr>
        <w:spacing w:after="40"/>
      </w:pPr>
      <w:r>
        <w:rPr>
          <w:sz w:val="21"/>
          <w:szCs w:val="21"/>
        </w:rPr>
        <w:t xml:space="preserve">Objective severity and priority, plus evidence (screenshot or log).</w:t>
      </w:r>
    </w:p>
    <w:p>
      <w:pPr>
        <w:pBdr>
          <w:left w:val="single" w:color="2a9d8f" w:sz="18"/>
        </w:pBdr>
        <w:shd w:fill="f8fafc"/>
        <w:spacing w:after="120" w:before="120"/>
      </w:pPr>
      <w:r>
        <w:rPr>
          <w:b/>
          <w:bCs/>
          <w:color w:val="2a9d8f"/>
          <w:sz w:val="20"/>
          <w:szCs w:val="20"/>
        </w:rPr>
        <w:t xml:space="preserve">What Makes a Good Report: </w:t>
      </w:r>
      <w:r>
        <w:rPr>
          <w:sz w:val="20"/>
          <w:szCs w:val="20"/>
        </w:rPr>
        <w:t xml:space="preserve">Write every defect so that a developer who has never seen the feature can reproduce it from your report alone. If you find yourself needing to explain it in person, the written report is not yet complete.</w:t>
      </w:r>
    </w:p>
    <w:p>
      <w:pPr>
        <w:pBdr>
          <w:left w:val="single" w:color="b91c1c" w:sz="18"/>
        </w:pBdr>
        <w:shd w:fill="f8fafc"/>
        <w:spacing w:after="120" w:before="120"/>
      </w:pPr>
      <w:r>
        <w:rPr>
          <w:b/>
          <w:bCs/>
          <w:color w:val="b91c1c"/>
          <w:sz w:val="20"/>
          <w:szCs w:val="20"/>
        </w:rPr>
        <w:t xml:space="preserve">Common Mistakes: </w:t>
      </w:r>
      <w:r>
        <w:rPr>
          <w:sz w:val="20"/>
          <w:szCs w:val="20"/>
        </w:rPr>
        <w:t xml:space="preserve">Vague summaries ("payment is broken"), missing steps, combining several issues in one report, and mixing up severity and priority. Each of these forces the developer to come back to you and slows the fix.</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Always attach evidence. A screenshot, a short recording, or the relevant log line turns a disputed "cannot reproduce" into an accepted, actionable defect — and protects your credibility as a tester.</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ISTQB Foundation Masterclass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Defect Reports</dc:title>
  <dc:creator>Inside STLC Academy</dc:creator>
  <cp:lastModifiedBy>Un-named</cp:lastModifiedBy>
  <cp:revision>1</cp:revision>
  <dcterms:created xsi:type="dcterms:W3CDTF">2026-07-13T11:04:36.810Z</dcterms:created>
  <dcterms:modified xsi:type="dcterms:W3CDTF">2026-07-13T11:04:36.810Z</dcterms:modified>
</cp:coreProperties>
</file>

<file path=docProps/custom.xml><?xml version="1.0" encoding="utf-8"?>
<Properties xmlns="http://schemas.openxmlformats.org/officeDocument/2006/custom-properties" xmlns:vt="http://schemas.openxmlformats.org/officeDocument/2006/docPropsVTypes"/>
</file>