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Risk Matrix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Assess likelihood and impact to prioritise your testing effort.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risk matrix helps you turn risk-based testing from a slogan into a plan. By scoring each risk on likelihood and impact, you decide where to test first and hardest. This template gives you a reusable structure.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Core Formula</w:t>
      </w:r>
    </w:p>
    <w:p>
      <w:pPr>
        <w:spacing w:after="90"/>
      </w:pPr>
      <w:r>
        <w:rPr>
          <w:sz w:val="21"/>
          <w:szCs w:val="21"/>
        </w:rPr>
        <w:t xml:space="preserve">Risk level = likelihood × impact. Likelihood is the probability the problem occurs; impact is the harm if it does. Multiplying the two gives a comparable score across risks.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Scoring Scale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— Low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Unlikely to occur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Minor inconvenience, easy workaround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 — 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Could reasonably occur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Noticeable disruption to users or business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 — High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Very likely to occur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Severe or business-critical harm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Risk Level Matrix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 \ Impact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Low (1)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Medium (2)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High (3)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 (3)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 — 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 — High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9 — Critical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 (2)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 — Low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 — 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 — High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 (1)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— Low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 — Low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 — Medium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Priority Bands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Testing response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7–9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earliest, most thoroughly; consider extra techniques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4–6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carefully within the plan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2–3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Standard coverage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Light or exploratory coverage only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Payment fails to process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Login rejects valid users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Cosmetic misalignment on footer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Report export corrupts 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(product/project)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 (1-3)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 (1-3)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 each identified risk, one per row.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Classify it as a product risk or a project risk.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Score likelihood and impact from 1 to 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Multiply to get the risk level and assign a priority band.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Record an owner and a mitigation or test response.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Re-review scores as the project progresses.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Involve both business and technical stakeholders in scoring.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Revisit the matrix at each milestone — risks change.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it to justify where testing effort goes.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Scoring impact alone and ignoring likelihood (or vice versa).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Treating the matrix as fixed for the whole project.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Confusing high severity with high risk — severity is only part of impact.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Keep the matrix visible to the whole team. When a stakeholder asks why a low-value feature was not tested exhaustively, the risk matrix is your evidence-based answer.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Matrix Template</dc:title>
  <dc:creator>Inside STLC Academy</dc:creator>
  <cp:lastModifiedBy>Un-named</cp:lastModifiedBy>
  <cp:revision>1</cp:revision>
  <dcterms:created xsi:type="dcterms:W3CDTF">2026-07-13T11:04:34.364Z</dcterms:created>
  <dcterms:modified xsi:type="dcterms:W3CDTF">2026-07-13T11:04:34.364Z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