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Sample Test Plan</w:t>
      </w:r>
    </w:p>
    <w:p>
      <w:pPr>
        <w:spacing w:after="120"/>
      </w:pPr>
      <w:r>
        <w:rPr>
          <w:i/>
          <w:iCs/>
          <w:color w:val="6b7280"/>
          <w:sz w:val="22"/>
          <w:szCs w:val="22"/>
        </w:rPr>
        <w:t xml:space="preserve">A worked IEEE-829-style test plan you can adapt for any project.</w:t>
      </w:r>
    </w:p>
    <w:p>
      <w:pPr>
        <w:pBdr>
          <w:bottom w:val="single" w:color="e9b949" w:sz="18"/>
        </w:pBdr>
        <w:spacing w:after="160"/>
      </w:pPr>
    </w:p>
    <w:p>
      <w:pPr>
        <w:pBdr>
          <w:bottom w:val="single" w:color="e9b949" w:sz="12"/>
        </w:pBdr>
        <w:spacing w:after="100" w:before="260"/>
      </w:pPr>
      <w:r>
        <w:rPr>
          <w:b/>
          <w:bCs/>
          <w:color w:val="d4a438"/>
          <w:sz w:val="30"/>
          <w:szCs w:val="30"/>
        </w:rPr>
        <w:t xml:space="preserve">How to Use This Sample</w:t>
      </w:r>
    </w:p>
    <w:p>
      <w:pPr>
        <w:spacing w:after="90"/>
      </w:pPr>
      <w:r>
        <w:rPr>
          <w:sz w:val="21"/>
          <w:szCs w:val="21"/>
        </w:rPr>
        <w:t xml:space="preserve">This is a completed test plan for a fictional project — the "Acme Online Banking" web application, Release 2.4. Read it to see what "good" looks like, then copy the section headings and replace the example content with your own. It follows the classic IEEE-829 structure that the ISTQB syllabus references.</w:t>
      </w:r>
    </w:p>
    <w:p>
      <w:pPr>
        <w:pBdr>
          <w:bottom w:val="single" w:color="e9b949" w:sz="12"/>
        </w:pBdr>
        <w:spacing w:after="100" w:before="260"/>
      </w:pPr>
      <w:r>
        <w:rPr>
          <w:b/>
          <w:bCs/>
          <w:color w:val="d4a438"/>
          <w:sz w:val="30"/>
          <w:szCs w:val="30"/>
        </w:rPr>
        <w:t xml:space="preserve">1. Test Plan Identifier</w:t>
      </w:r>
    </w:p>
    <w:p>
      <w:pPr>
        <w:spacing w:after="90"/>
      </w:pPr>
      <w:r>
        <w:rPr>
          <w:sz w:val="21"/>
          <w:szCs w:val="21"/>
        </w:rPr>
        <w:t xml:space="preserve">ACME-OLB-TP-2.4-v1.0. Approved by the Test Manager on 12 March. This identifier is referenced by every defect report and test summary produced for this release.</w:t>
      </w:r>
    </w:p>
    <w:p>
      <w:pPr>
        <w:pBdr>
          <w:bottom w:val="single" w:color="e9b949" w:sz="12"/>
        </w:pBdr>
        <w:spacing w:after="100" w:before="260"/>
      </w:pPr>
      <w:r>
        <w:rPr>
          <w:b/>
          <w:bCs/>
          <w:color w:val="d4a438"/>
          <w:sz w:val="30"/>
          <w:szCs w:val="30"/>
        </w:rPr>
        <w:t xml:space="preserve">2. Introduction and Scope</w:t>
      </w:r>
    </w:p>
    <w:p>
      <w:pPr>
        <w:spacing w:after="90"/>
      </w:pPr>
      <w:r>
        <w:rPr>
          <w:sz w:val="21"/>
          <w:szCs w:val="21"/>
        </w:rPr>
        <w:t xml:space="preserve">This plan covers system and system-integration testing for Release 2.4, which adds the "Instant Payments" feature and updates the login flow to support two-factor authentication.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In scope</w:t>
            </w:r>
          </w:p>
        </w:tc>
        <w:tc>
          <w:tcPr>
            <w:shd w:fill="0d1b2a"/>
            <w:tcMar>
              <w:top w:type="dxa" w:w="60"/>
              <w:left w:type="dxa" w:w="90"/>
              <w:bottom w:type="dxa" w:w="60"/>
              <w:right w:type="dxa" w:w="90"/>
            </w:tcMar>
          </w:tcPr>
          <w:p>
            <w:r>
              <w:rPr>
                <w:b/>
                <w:bCs/>
                <w:color w:val="FFFFFF"/>
                <w:sz w:val="19"/>
                <w:szCs w:val="19"/>
              </w:rPr>
              <w:t xml:space="preserve">Out of scope</w:t>
            </w:r>
          </w:p>
        </w:tc>
      </w:tr>
      <w:tr>
        <w:tc>
          <w:tcPr>
            <w:tcMar>
              <w:top w:type="dxa" w:w="50"/>
              <w:left w:type="dxa" w:w="90"/>
              <w:bottom w:type="dxa" w:w="50"/>
              <w:right w:type="dxa" w:w="90"/>
            </w:tcMar>
          </w:tcPr>
          <w:p>
            <w:r>
              <w:rPr>
                <w:sz w:val="19"/>
                <w:szCs w:val="19"/>
              </w:rPr>
              <w:t xml:space="preserve">Instant Payments end-to-end flow</w:t>
            </w:r>
          </w:p>
        </w:tc>
        <w:tc>
          <w:tcPr>
            <w:tcMar>
              <w:top w:type="dxa" w:w="50"/>
              <w:left w:type="dxa" w:w="90"/>
              <w:bottom w:type="dxa" w:w="50"/>
              <w:right w:type="dxa" w:w="90"/>
            </w:tcMar>
          </w:tcPr>
          <w:p>
            <w:r>
              <w:rPr>
                <w:sz w:val="19"/>
                <w:szCs w:val="19"/>
              </w:rPr>
              <w:t xml:space="preserve">Legacy batch-payments engine (unchanged)</w:t>
            </w:r>
          </w:p>
        </w:tc>
      </w:tr>
      <w:tr>
        <w:tc>
          <w:tcPr>
            <w:tcMar>
              <w:top w:type="dxa" w:w="50"/>
              <w:left w:type="dxa" w:w="90"/>
              <w:bottom w:type="dxa" w:w="50"/>
              <w:right w:type="dxa" w:w="90"/>
            </w:tcMar>
          </w:tcPr>
          <w:p>
            <w:r>
              <w:rPr>
                <w:sz w:val="19"/>
                <w:szCs w:val="19"/>
              </w:rPr>
              <w:t xml:space="preserve">Two-factor authentication login</w:t>
            </w:r>
          </w:p>
        </w:tc>
        <w:tc>
          <w:tcPr>
            <w:tcMar>
              <w:top w:type="dxa" w:w="50"/>
              <w:left w:type="dxa" w:w="90"/>
              <w:bottom w:type="dxa" w:w="50"/>
              <w:right w:type="dxa" w:w="90"/>
            </w:tcMar>
          </w:tcPr>
          <w:p>
            <w:r>
              <w:rPr>
                <w:sz w:val="19"/>
                <w:szCs w:val="19"/>
              </w:rPr>
              <w:t xml:space="preserve">Native mobile apps (separate plan)</w:t>
            </w:r>
          </w:p>
        </w:tc>
      </w:tr>
      <w:tr>
        <w:tc>
          <w:tcPr>
            <w:tcMar>
              <w:top w:type="dxa" w:w="50"/>
              <w:left w:type="dxa" w:w="90"/>
              <w:bottom w:type="dxa" w:w="50"/>
              <w:right w:type="dxa" w:w="90"/>
            </w:tcMar>
          </w:tcPr>
          <w:p>
            <w:r>
              <w:rPr>
                <w:sz w:val="19"/>
                <w:szCs w:val="19"/>
              </w:rPr>
              <w:t xml:space="preserve">Regression of existing transfer features</w:t>
            </w:r>
          </w:p>
        </w:tc>
        <w:tc>
          <w:tcPr>
            <w:tcMar>
              <w:top w:type="dxa" w:w="50"/>
              <w:left w:type="dxa" w:w="90"/>
              <w:bottom w:type="dxa" w:w="50"/>
              <w:right w:type="dxa" w:w="90"/>
            </w:tcMar>
          </w:tcPr>
          <w:p>
            <w:r>
              <w:rPr>
                <w:sz w:val="19"/>
                <w:szCs w:val="19"/>
              </w:rPr>
              <w:t xml:space="preserve">Non-functional load testing beyond agreed thresholds</w:t>
            </w:r>
          </w:p>
        </w:tc>
      </w:tr>
      <w:tr>
        <w:tc>
          <w:tcPr>
            <w:tcMar>
              <w:top w:type="dxa" w:w="50"/>
              <w:left w:type="dxa" w:w="90"/>
              <w:bottom w:type="dxa" w:w="50"/>
              <w:right w:type="dxa" w:w="90"/>
            </w:tcMar>
          </w:tcPr>
          <w:p>
            <w:r>
              <w:rPr>
                <w:sz w:val="19"/>
                <w:szCs w:val="19"/>
              </w:rPr>
              <w:t xml:space="preserve">Cross-browser testing (Chrome, Edge, Safari)</w:t>
            </w:r>
          </w:p>
        </w:tc>
        <w:tc>
          <w:tcPr>
            <w:tcMar>
              <w:top w:type="dxa" w:w="50"/>
              <w:left w:type="dxa" w:w="90"/>
              <w:bottom w:type="dxa" w:w="50"/>
              <w:right w:type="dxa" w:w="90"/>
            </w:tcMar>
          </w:tcPr>
          <w:p>
            <w:r>
              <w:rPr>
                <w:sz w:val="19"/>
                <w:szCs w:val="19"/>
              </w:rPr>
              <w:t xml:space="preserve">Internationalisation / localisation</w:t>
            </w:r>
          </w:p>
        </w:tc>
      </w:tr>
    </w:tbl>
    <w:p>
      <w:pPr>
        <w:spacing w:after="80"/>
      </w:pPr>
    </w:p>
    <w:p>
      <w:pPr>
        <w:pBdr>
          <w:bottom w:val="single" w:color="e9b949" w:sz="12"/>
        </w:pBdr>
        <w:spacing w:after="100" w:before="260"/>
      </w:pPr>
      <w:r>
        <w:rPr>
          <w:b/>
          <w:bCs/>
          <w:color w:val="d4a438"/>
          <w:sz w:val="30"/>
          <w:szCs w:val="30"/>
        </w:rPr>
        <w:t xml:space="preserve">3. Test Approach</w:t>
      </w:r>
    </w:p>
    <w:p>
      <w:pPr>
        <w:spacing w:after="90"/>
      </w:pPr>
      <w:r>
        <w:rPr>
          <w:sz w:val="21"/>
          <w:szCs w:val="21"/>
        </w:rPr>
        <w:t xml:space="preserve">Risk-based testing drives prioritisation: payment-handling and authentication carry the highest business risk and receive the deepest coverage. Test design uses equivalence partitioning and boundary value analysis for input fields, and state transition testing for the two-factor login flow. Exploratory sessions supplement scripted tests for the new payments screens.</w:t>
      </w:r>
    </w:p>
    <w:p>
      <w:pPr>
        <w:pStyle w:val="ListParagraph"/>
        <w:numPr>
          <w:ilvl w:val="0"/>
          <w:numId w:val="1"/>
        </w:numPr>
        <w:spacing w:after="40"/>
      </w:pPr>
      <w:r>
        <w:rPr>
          <w:sz w:val="21"/>
          <w:szCs w:val="21"/>
        </w:rPr>
        <w:t xml:space="preserve">Levels: component (developers), integration, system, and acceptance.</w:t>
      </w:r>
    </w:p>
    <w:p>
      <w:pPr>
        <w:pStyle w:val="ListParagraph"/>
        <w:numPr>
          <w:ilvl w:val="0"/>
          <w:numId w:val="1"/>
        </w:numPr>
        <w:spacing w:after="40"/>
      </w:pPr>
      <w:r>
        <w:rPr>
          <w:sz w:val="21"/>
          <w:szCs w:val="21"/>
        </w:rPr>
        <w:t xml:space="preserve">Types: functional, security-focused, and targeted performance checks.</w:t>
      </w:r>
    </w:p>
    <w:p>
      <w:pPr>
        <w:pStyle w:val="ListParagraph"/>
        <w:numPr>
          <w:ilvl w:val="0"/>
          <w:numId w:val="1"/>
        </w:numPr>
        <w:spacing w:after="40"/>
      </w:pPr>
      <w:r>
        <w:rPr>
          <w:sz w:val="21"/>
          <w:szCs w:val="21"/>
        </w:rPr>
        <w:t xml:space="preserve">Automation: regression suite runs in CI on every build; new features are automated after they stabilise.</w:t>
      </w:r>
    </w:p>
    <w:p>
      <w:pPr>
        <w:pBdr>
          <w:bottom w:val="single" w:color="e9b949" w:sz="12"/>
        </w:pBdr>
        <w:spacing w:after="100" w:before="260"/>
      </w:pPr>
      <w:r>
        <w:rPr>
          <w:b/>
          <w:bCs/>
          <w:color w:val="d4a438"/>
          <w:sz w:val="30"/>
          <w:szCs w:val="30"/>
        </w:rPr>
        <w:t xml:space="preserve">4. Test Items and Deliverables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Deliverable</w:t>
            </w:r>
          </w:p>
        </w:tc>
        <w:tc>
          <w:tcPr>
            <w:shd w:fill="0d1b2a"/>
            <w:tcMar>
              <w:top w:type="dxa" w:w="60"/>
              <w:left w:type="dxa" w:w="90"/>
              <w:bottom w:type="dxa" w:w="60"/>
              <w:right w:type="dxa" w:w="90"/>
            </w:tcMar>
          </w:tcPr>
          <w:p>
            <w:r>
              <w:rPr>
                <w:b/>
                <w:bCs/>
                <w:color w:val="FFFFFF"/>
                <w:sz w:val="19"/>
                <w:szCs w:val="19"/>
              </w:rPr>
              <w:t xml:space="preserve">Owner</w:t>
            </w:r>
          </w:p>
        </w:tc>
        <w:tc>
          <w:tcPr>
            <w:shd w:fill="0d1b2a"/>
            <w:tcMar>
              <w:top w:type="dxa" w:w="60"/>
              <w:left w:type="dxa" w:w="90"/>
              <w:bottom w:type="dxa" w:w="60"/>
              <w:right w:type="dxa" w:w="90"/>
            </w:tcMar>
          </w:tcPr>
          <w:p>
            <w:r>
              <w:rPr>
                <w:b/>
                <w:bCs/>
                <w:color w:val="FFFFFF"/>
                <w:sz w:val="19"/>
                <w:szCs w:val="19"/>
              </w:rPr>
              <w:t xml:space="preserve">When</w:t>
            </w:r>
          </w:p>
        </w:tc>
      </w:tr>
      <w:tr>
        <w:tc>
          <w:tcPr>
            <w:tcMar>
              <w:top w:type="dxa" w:w="50"/>
              <w:left w:type="dxa" w:w="90"/>
              <w:bottom w:type="dxa" w:w="50"/>
              <w:right w:type="dxa" w:w="90"/>
            </w:tcMar>
          </w:tcPr>
          <w:p>
            <w:r>
              <w:rPr>
                <w:sz w:val="19"/>
                <w:szCs w:val="19"/>
              </w:rPr>
              <w:t xml:space="preserve">Test plan (this document)</w:t>
            </w:r>
          </w:p>
        </w:tc>
        <w:tc>
          <w:tcPr>
            <w:tcMar>
              <w:top w:type="dxa" w:w="50"/>
              <w:left w:type="dxa" w:w="90"/>
              <w:bottom w:type="dxa" w:w="50"/>
              <w:right w:type="dxa" w:w="90"/>
            </w:tcMar>
          </w:tcPr>
          <w:p>
            <w:r>
              <w:rPr>
                <w:sz w:val="19"/>
                <w:szCs w:val="19"/>
              </w:rPr>
              <w:t xml:space="preserve">Test Manager</w:t>
            </w:r>
          </w:p>
        </w:tc>
        <w:tc>
          <w:tcPr>
            <w:tcMar>
              <w:top w:type="dxa" w:w="50"/>
              <w:left w:type="dxa" w:w="90"/>
              <w:bottom w:type="dxa" w:w="50"/>
              <w:right w:type="dxa" w:w="90"/>
            </w:tcMar>
          </w:tcPr>
          <w:p>
            <w:r>
              <w:rPr>
                <w:sz w:val="19"/>
                <w:szCs w:val="19"/>
              </w:rPr>
              <w:t xml:space="preserve">Before test execution starts</w:t>
            </w:r>
          </w:p>
        </w:tc>
      </w:tr>
      <w:tr>
        <w:tc>
          <w:tcPr>
            <w:tcMar>
              <w:top w:type="dxa" w:w="50"/>
              <w:left w:type="dxa" w:w="90"/>
              <w:bottom w:type="dxa" w:w="50"/>
              <w:right w:type="dxa" w:w="90"/>
            </w:tcMar>
          </w:tcPr>
          <w:p>
            <w:r>
              <w:rPr>
                <w:sz w:val="19"/>
                <w:szCs w:val="19"/>
              </w:rPr>
              <w:t xml:space="preserve">Test cases and test data</w:t>
            </w:r>
          </w:p>
        </w:tc>
        <w:tc>
          <w:tcPr>
            <w:tcMar>
              <w:top w:type="dxa" w:w="50"/>
              <w:left w:type="dxa" w:w="90"/>
              <w:bottom w:type="dxa" w:w="50"/>
              <w:right w:type="dxa" w:w="90"/>
            </w:tcMar>
          </w:tcPr>
          <w:p>
            <w:r>
              <w:rPr>
                <w:sz w:val="19"/>
                <w:szCs w:val="19"/>
              </w:rPr>
              <w:t xml:space="preserve">Test Analysts</w:t>
            </w:r>
          </w:p>
        </w:tc>
        <w:tc>
          <w:tcPr>
            <w:tcMar>
              <w:top w:type="dxa" w:w="50"/>
              <w:left w:type="dxa" w:w="90"/>
              <w:bottom w:type="dxa" w:w="50"/>
              <w:right w:type="dxa" w:w="90"/>
            </w:tcMar>
          </w:tcPr>
          <w:p>
            <w:r>
              <w:rPr>
                <w:sz w:val="19"/>
                <w:szCs w:val="19"/>
              </w:rPr>
              <w:t xml:space="preserve">During test analysis and design</w:t>
            </w:r>
          </w:p>
        </w:tc>
      </w:tr>
      <w:tr>
        <w:tc>
          <w:tcPr>
            <w:tcMar>
              <w:top w:type="dxa" w:w="50"/>
              <w:left w:type="dxa" w:w="90"/>
              <w:bottom w:type="dxa" w:w="50"/>
              <w:right w:type="dxa" w:w="90"/>
            </w:tcMar>
          </w:tcPr>
          <w:p>
            <w:r>
              <w:rPr>
                <w:sz w:val="19"/>
                <w:szCs w:val="19"/>
              </w:rPr>
              <w:t xml:space="preserve">Defect reports</w:t>
            </w:r>
          </w:p>
        </w:tc>
        <w:tc>
          <w:tcPr>
            <w:tcMar>
              <w:top w:type="dxa" w:w="50"/>
              <w:left w:type="dxa" w:w="90"/>
              <w:bottom w:type="dxa" w:w="50"/>
              <w:right w:type="dxa" w:w="90"/>
            </w:tcMar>
          </w:tcPr>
          <w:p>
            <w:r>
              <w:rPr>
                <w:sz w:val="19"/>
                <w:szCs w:val="19"/>
              </w:rPr>
              <w:t xml:space="preserve">Whole test team</w:t>
            </w:r>
          </w:p>
        </w:tc>
        <w:tc>
          <w:tcPr>
            <w:tcMar>
              <w:top w:type="dxa" w:w="50"/>
              <w:left w:type="dxa" w:w="90"/>
              <w:bottom w:type="dxa" w:w="50"/>
              <w:right w:type="dxa" w:w="90"/>
            </w:tcMar>
          </w:tcPr>
          <w:p>
            <w:r>
              <w:rPr>
                <w:sz w:val="19"/>
                <w:szCs w:val="19"/>
              </w:rPr>
              <w:t xml:space="preserve">Throughout execution</w:t>
            </w:r>
          </w:p>
        </w:tc>
      </w:tr>
      <w:tr>
        <w:tc>
          <w:tcPr>
            <w:tcMar>
              <w:top w:type="dxa" w:w="50"/>
              <w:left w:type="dxa" w:w="90"/>
              <w:bottom w:type="dxa" w:w="50"/>
              <w:right w:type="dxa" w:w="90"/>
            </w:tcMar>
          </w:tcPr>
          <w:p>
            <w:r>
              <w:rPr>
                <w:sz w:val="19"/>
                <w:szCs w:val="19"/>
              </w:rPr>
              <w:t xml:space="preserve">Test summary report</w:t>
            </w:r>
          </w:p>
        </w:tc>
        <w:tc>
          <w:tcPr>
            <w:tcMar>
              <w:top w:type="dxa" w:w="50"/>
              <w:left w:type="dxa" w:w="90"/>
              <w:bottom w:type="dxa" w:w="50"/>
              <w:right w:type="dxa" w:w="90"/>
            </w:tcMar>
          </w:tcPr>
          <w:p>
            <w:r>
              <w:rPr>
                <w:sz w:val="19"/>
                <w:szCs w:val="19"/>
              </w:rPr>
              <w:t xml:space="preserve">Test Manager</w:t>
            </w:r>
          </w:p>
        </w:tc>
        <w:tc>
          <w:tcPr>
            <w:tcMar>
              <w:top w:type="dxa" w:w="50"/>
              <w:left w:type="dxa" w:w="90"/>
              <w:bottom w:type="dxa" w:w="50"/>
              <w:right w:type="dxa" w:w="90"/>
            </w:tcMar>
          </w:tcPr>
          <w:p>
            <w:r>
              <w:rPr>
                <w:sz w:val="19"/>
                <w:szCs w:val="19"/>
              </w:rPr>
              <w:t xml:space="preserve">At end of each test cycle</w:t>
            </w:r>
          </w:p>
        </w:tc>
      </w:tr>
    </w:tbl>
    <w:p>
      <w:pPr>
        <w:spacing w:after="80"/>
      </w:pPr>
    </w:p>
    <w:p>
      <w:pPr>
        <w:pBdr>
          <w:bottom w:val="single" w:color="e9b949" w:sz="12"/>
        </w:pBdr>
        <w:spacing w:after="100" w:before="260"/>
      </w:pPr>
      <w:r>
        <w:rPr>
          <w:b/>
          <w:bCs/>
          <w:color w:val="d4a438"/>
          <w:sz w:val="30"/>
          <w:szCs w:val="30"/>
        </w:rPr>
        <w:t xml:space="preserve">5. Entry and Exit Criteria</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Entry criteria</w:t>
            </w:r>
          </w:p>
        </w:tc>
        <w:tc>
          <w:tcPr>
            <w:shd w:fill="0d1b2a"/>
            <w:tcMar>
              <w:top w:type="dxa" w:w="60"/>
              <w:left w:type="dxa" w:w="90"/>
              <w:bottom w:type="dxa" w:w="60"/>
              <w:right w:type="dxa" w:w="90"/>
            </w:tcMar>
          </w:tcPr>
          <w:p>
            <w:r>
              <w:rPr>
                <w:b/>
                <w:bCs/>
                <w:color w:val="FFFFFF"/>
                <w:sz w:val="19"/>
                <w:szCs w:val="19"/>
              </w:rPr>
              <w:t xml:space="preserve">Exit criteria</w:t>
            </w:r>
          </w:p>
        </w:tc>
      </w:tr>
      <w:tr>
        <w:tc>
          <w:tcPr>
            <w:tcMar>
              <w:top w:type="dxa" w:w="50"/>
              <w:left w:type="dxa" w:w="90"/>
              <w:bottom w:type="dxa" w:w="50"/>
              <w:right w:type="dxa" w:w="90"/>
            </w:tcMar>
          </w:tcPr>
          <w:p>
            <w:r>
              <w:rPr>
                <w:sz w:val="19"/>
                <w:szCs w:val="19"/>
              </w:rPr>
              <w:t xml:space="preserve">Build deployed to the test environment</w:t>
            </w:r>
          </w:p>
        </w:tc>
        <w:tc>
          <w:tcPr>
            <w:tcMar>
              <w:top w:type="dxa" w:w="50"/>
              <w:left w:type="dxa" w:w="90"/>
              <w:bottom w:type="dxa" w:w="50"/>
              <w:right w:type="dxa" w:w="90"/>
            </w:tcMar>
          </w:tcPr>
          <w:p>
            <w:r>
              <w:rPr>
                <w:sz w:val="19"/>
                <w:szCs w:val="19"/>
              </w:rPr>
              <w:t xml:space="preserve">All planned high-priority test cases executed</w:t>
            </w:r>
          </w:p>
        </w:tc>
      </w:tr>
      <w:tr>
        <w:tc>
          <w:tcPr>
            <w:tcMar>
              <w:top w:type="dxa" w:w="50"/>
              <w:left w:type="dxa" w:w="90"/>
              <w:bottom w:type="dxa" w:w="50"/>
              <w:right w:type="dxa" w:w="90"/>
            </w:tcMar>
          </w:tcPr>
          <w:p>
            <w:r>
              <w:rPr>
                <w:sz w:val="19"/>
                <w:szCs w:val="19"/>
              </w:rPr>
              <w:t xml:space="preserve">Smoke test passes</w:t>
            </w:r>
          </w:p>
        </w:tc>
        <w:tc>
          <w:tcPr>
            <w:tcMar>
              <w:top w:type="dxa" w:w="50"/>
              <w:left w:type="dxa" w:w="90"/>
              <w:bottom w:type="dxa" w:w="50"/>
              <w:right w:type="dxa" w:w="90"/>
            </w:tcMar>
          </w:tcPr>
          <w:p>
            <w:r>
              <w:rPr>
                <w:sz w:val="19"/>
                <w:szCs w:val="19"/>
              </w:rPr>
              <w:t xml:space="preserve">No open critical or high-severity defects</w:t>
            </w:r>
          </w:p>
        </w:tc>
      </w:tr>
      <w:tr>
        <w:tc>
          <w:tcPr>
            <w:tcMar>
              <w:top w:type="dxa" w:w="50"/>
              <w:left w:type="dxa" w:w="90"/>
              <w:bottom w:type="dxa" w:w="50"/>
              <w:right w:type="dxa" w:w="90"/>
            </w:tcMar>
          </w:tcPr>
          <w:p>
            <w:r>
              <w:rPr>
                <w:sz w:val="19"/>
                <w:szCs w:val="19"/>
              </w:rPr>
              <w:t xml:space="preserve">Test cases reviewed and approved</w:t>
            </w:r>
          </w:p>
        </w:tc>
        <w:tc>
          <w:tcPr>
            <w:tcMar>
              <w:top w:type="dxa" w:w="50"/>
              <w:left w:type="dxa" w:w="90"/>
              <w:bottom w:type="dxa" w:w="50"/>
              <w:right w:type="dxa" w:w="90"/>
            </w:tcMar>
          </w:tcPr>
          <w:p>
            <w:r>
              <w:rPr>
                <w:sz w:val="19"/>
                <w:szCs w:val="19"/>
              </w:rPr>
              <w:t xml:space="preserve">95% of planned test cases passed</w:t>
            </w:r>
          </w:p>
        </w:tc>
      </w:tr>
      <w:tr>
        <w:tc>
          <w:tcPr>
            <w:tcMar>
              <w:top w:type="dxa" w:w="50"/>
              <w:left w:type="dxa" w:w="90"/>
              <w:bottom w:type="dxa" w:w="50"/>
              <w:right w:type="dxa" w:w="90"/>
            </w:tcMar>
          </w:tcPr>
          <w:p>
            <w:r>
              <w:rPr>
                <w:sz w:val="19"/>
                <w:szCs w:val="19"/>
              </w:rPr>
              <w:t xml:space="preserve">Test data available</w:t>
            </w:r>
          </w:p>
        </w:tc>
        <w:tc>
          <w:tcPr>
            <w:tcMar>
              <w:top w:type="dxa" w:w="50"/>
              <w:left w:type="dxa" w:w="90"/>
              <w:bottom w:type="dxa" w:w="50"/>
              <w:right w:type="dxa" w:w="90"/>
            </w:tcMar>
          </w:tcPr>
          <w:p>
            <w:r>
              <w:rPr>
                <w:sz w:val="19"/>
                <w:szCs w:val="19"/>
              </w:rPr>
              <w:t xml:space="preserve">Known residual risks accepted by stakeholders</w:t>
            </w:r>
          </w:p>
        </w:tc>
      </w:tr>
    </w:tbl>
    <w:p>
      <w:pPr>
        <w:spacing w:after="80"/>
      </w:pPr>
    </w:p>
    <w:p>
      <w:pPr>
        <w:pBdr>
          <w:bottom w:val="single" w:color="e9b949" w:sz="12"/>
        </w:pBdr>
        <w:spacing w:after="100" w:before="260"/>
      </w:pPr>
      <w:r>
        <w:rPr>
          <w:b/>
          <w:bCs/>
          <w:color w:val="d4a438"/>
          <w:sz w:val="30"/>
          <w:szCs w:val="30"/>
        </w:rPr>
        <w:t xml:space="preserve">6. Risks and Mitigations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Risk</w:t>
            </w:r>
          </w:p>
        </w:tc>
        <w:tc>
          <w:tcPr>
            <w:shd w:fill="0d1b2a"/>
            <w:tcMar>
              <w:top w:type="dxa" w:w="60"/>
              <w:left w:type="dxa" w:w="90"/>
              <w:bottom w:type="dxa" w:w="60"/>
              <w:right w:type="dxa" w:w="90"/>
            </w:tcMar>
          </w:tcPr>
          <w:p>
            <w:r>
              <w:rPr>
                <w:b/>
                <w:bCs/>
                <w:color w:val="FFFFFF"/>
                <w:sz w:val="19"/>
                <w:szCs w:val="19"/>
              </w:rPr>
              <w:t xml:space="preserve">Likelihood</w:t>
            </w:r>
          </w:p>
        </w:tc>
        <w:tc>
          <w:tcPr>
            <w:shd w:fill="0d1b2a"/>
            <w:tcMar>
              <w:top w:type="dxa" w:w="60"/>
              <w:left w:type="dxa" w:w="90"/>
              <w:bottom w:type="dxa" w:w="60"/>
              <w:right w:type="dxa" w:w="90"/>
            </w:tcMar>
          </w:tcPr>
          <w:p>
            <w:r>
              <w:rPr>
                <w:b/>
                <w:bCs/>
                <w:color w:val="FFFFFF"/>
                <w:sz w:val="19"/>
                <w:szCs w:val="19"/>
              </w:rPr>
              <w:t xml:space="preserve">Mitigation</w:t>
            </w:r>
          </w:p>
        </w:tc>
      </w:tr>
      <w:tr>
        <w:tc>
          <w:tcPr>
            <w:tcMar>
              <w:top w:type="dxa" w:w="50"/>
              <w:left w:type="dxa" w:w="90"/>
              <w:bottom w:type="dxa" w:w="50"/>
              <w:right w:type="dxa" w:w="90"/>
            </w:tcMar>
          </w:tcPr>
          <w:p>
            <w:r>
              <w:rPr>
                <w:sz w:val="19"/>
                <w:szCs w:val="19"/>
              </w:rPr>
              <w:t xml:space="preserve">Payments environment unstable</w:t>
            </w:r>
          </w:p>
        </w:tc>
        <w:tc>
          <w:tcPr>
            <w:tcMar>
              <w:top w:type="dxa" w:w="50"/>
              <w:left w:type="dxa" w:w="90"/>
              <w:bottom w:type="dxa" w:w="50"/>
              <w:right w:type="dxa" w:w="90"/>
            </w:tcMar>
          </w:tcPr>
          <w:p>
            <w:r>
              <w:rPr>
                <w:sz w:val="19"/>
                <w:szCs w:val="19"/>
              </w:rPr>
              <w:t xml:space="preserve">Medium</w:t>
            </w:r>
          </w:p>
        </w:tc>
        <w:tc>
          <w:tcPr>
            <w:tcMar>
              <w:top w:type="dxa" w:w="50"/>
              <w:left w:type="dxa" w:w="90"/>
              <w:bottom w:type="dxa" w:w="50"/>
              <w:right w:type="dxa" w:w="90"/>
            </w:tcMar>
          </w:tcPr>
          <w:p>
            <w:r>
              <w:rPr>
                <w:sz w:val="19"/>
                <w:szCs w:val="19"/>
              </w:rPr>
              <w:t xml:space="preserve">Daily smoke test; dedicated support contact</w:t>
            </w:r>
          </w:p>
        </w:tc>
      </w:tr>
      <w:tr>
        <w:tc>
          <w:tcPr>
            <w:tcMar>
              <w:top w:type="dxa" w:w="50"/>
              <w:left w:type="dxa" w:w="90"/>
              <w:bottom w:type="dxa" w:w="50"/>
              <w:right w:type="dxa" w:w="90"/>
            </w:tcMar>
          </w:tcPr>
          <w:p>
            <w:r>
              <w:rPr>
                <w:sz w:val="19"/>
                <w:szCs w:val="19"/>
              </w:rPr>
              <w:t xml:space="preserve">Late delivery squeezes test window</w:t>
            </w:r>
          </w:p>
        </w:tc>
        <w:tc>
          <w:tcPr>
            <w:tcMar>
              <w:top w:type="dxa" w:w="50"/>
              <w:left w:type="dxa" w:w="90"/>
              <w:bottom w:type="dxa" w:w="50"/>
              <w:right w:type="dxa" w:w="90"/>
            </w:tcMar>
          </w:tcPr>
          <w:p>
            <w:r>
              <w:rPr>
                <w:sz w:val="19"/>
                <w:szCs w:val="19"/>
              </w:rPr>
              <w:t xml:space="preserve">High</w:t>
            </w:r>
          </w:p>
        </w:tc>
        <w:tc>
          <w:tcPr>
            <w:tcMar>
              <w:top w:type="dxa" w:w="50"/>
              <w:left w:type="dxa" w:w="90"/>
              <w:bottom w:type="dxa" w:w="50"/>
              <w:right w:type="dxa" w:w="90"/>
            </w:tcMar>
          </w:tcPr>
          <w:p>
            <w:r>
              <w:rPr>
                <w:sz w:val="19"/>
                <w:szCs w:val="19"/>
              </w:rPr>
              <w:t xml:space="preserve">Prioritise by risk; agree a reduced-scope fallback</w:t>
            </w:r>
          </w:p>
        </w:tc>
      </w:tr>
      <w:tr>
        <w:tc>
          <w:tcPr>
            <w:tcMar>
              <w:top w:type="dxa" w:w="50"/>
              <w:left w:type="dxa" w:w="90"/>
              <w:bottom w:type="dxa" w:w="50"/>
              <w:right w:type="dxa" w:w="90"/>
            </w:tcMar>
          </w:tcPr>
          <w:p>
            <w:r>
              <w:rPr>
                <w:sz w:val="19"/>
                <w:szCs w:val="19"/>
              </w:rPr>
              <w:t xml:space="preserve">Two-factor codes expire during testing</w:t>
            </w:r>
          </w:p>
        </w:tc>
        <w:tc>
          <w:tcPr>
            <w:tcMar>
              <w:top w:type="dxa" w:w="50"/>
              <w:left w:type="dxa" w:w="90"/>
              <w:bottom w:type="dxa" w:w="50"/>
              <w:right w:type="dxa" w:w="90"/>
            </w:tcMar>
          </w:tcPr>
          <w:p>
            <w:r>
              <w:rPr>
                <w:sz w:val="19"/>
                <w:szCs w:val="19"/>
              </w:rPr>
              <w:t xml:space="preserve">Low</w:t>
            </w:r>
          </w:p>
        </w:tc>
        <w:tc>
          <w:tcPr>
            <w:tcMar>
              <w:top w:type="dxa" w:w="50"/>
              <w:left w:type="dxa" w:w="90"/>
              <w:bottom w:type="dxa" w:w="50"/>
              <w:right w:type="dxa" w:w="90"/>
            </w:tcMar>
          </w:tcPr>
          <w:p>
            <w:r>
              <w:rPr>
                <w:sz w:val="19"/>
                <w:szCs w:val="19"/>
              </w:rPr>
              <w:t xml:space="preserve">Use test accounts with extended code validity</w:t>
            </w:r>
          </w:p>
        </w:tc>
      </w:tr>
    </w:tbl>
    <w:p>
      <w:pPr>
        <w:spacing w:after="80"/>
      </w:pPr>
    </w:p>
    <w:p>
      <w:pPr>
        <w:pBdr>
          <w:bottom w:val="single" w:color="e9b949" w:sz="12"/>
        </w:pBdr>
        <w:spacing w:after="100" w:before="260"/>
      </w:pPr>
      <w:r>
        <w:rPr>
          <w:b/>
          <w:bCs/>
          <w:color w:val="d4a438"/>
          <w:sz w:val="30"/>
          <w:szCs w:val="30"/>
        </w:rPr>
        <w:t xml:space="preserve">7. Schedule and Milestones</w:t>
      </w:r>
    </w:p>
    <w:p>
      <w:pPr>
        <w:pStyle w:val="ListParagraph"/>
        <w:numPr>
          <w:ilvl w:val="0"/>
          <w:numId w:val="2"/>
        </w:numPr>
        <w:spacing w:after="40"/>
      </w:pPr>
      <w:r>
        <w:rPr>
          <w:sz w:val="21"/>
          <w:szCs w:val="21"/>
        </w:rPr>
        <w:t xml:space="preserve">Week 1 — Test analysis and design; environment ready.</w:t>
      </w:r>
    </w:p>
    <w:p>
      <w:pPr>
        <w:pStyle w:val="ListParagraph"/>
        <w:numPr>
          <w:ilvl w:val="0"/>
          <w:numId w:val="2"/>
        </w:numPr>
        <w:spacing w:after="40"/>
      </w:pPr>
      <w:r>
        <w:rPr>
          <w:sz w:val="21"/>
          <w:szCs w:val="21"/>
        </w:rPr>
        <w:t xml:space="preserve">Week 2 — Cycle 1 execution (new features).</w:t>
      </w:r>
    </w:p>
    <w:p>
      <w:pPr>
        <w:pStyle w:val="ListParagraph"/>
        <w:numPr>
          <w:ilvl w:val="0"/>
          <w:numId w:val="2"/>
        </w:numPr>
        <w:spacing w:after="40"/>
      </w:pPr>
      <w:r>
        <w:rPr>
          <w:sz w:val="21"/>
          <w:szCs w:val="21"/>
        </w:rPr>
        <w:t xml:space="preserve">Week 3 — Defect fixes and Cycle 2 (regression).</w:t>
      </w:r>
    </w:p>
    <w:p>
      <w:pPr>
        <w:pStyle w:val="ListParagraph"/>
        <w:numPr>
          <w:ilvl w:val="0"/>
          <w:numId w:val="2"/>
        </w:numPr>
        <w:spacing w:after="40"/>
      </w:pPr>
      <w:r>
        <w:rPr>
          <w:sz w:val="21"/>
          <w:szCs w:val="21"/>
        </w:rPr>
        <w:t xml:space="preserve">Week 4 — Final regression, exit review, sign-off.</w:t>
      </w:r>
    </w:p>
    <w:p>
      <w:pPr>
        <w:pBdr>
          <w:bottom w:val="single" w:color="e9b949" w:sz="12"/>
        </w:pBdr>
        <w:spacing w:after="100" w:before="260"/>
      </w:pPr>
      <w:r>
        <w:rPr>
          <w:b/>
          <w:bCs/>
          <w:color w:val="d4a438"/>
          <w:sz w:val="30"/>
          <w:szCs w:val="30"/>
        </w:rPr>
        <w:t xml:space="preserve">8. Staffing and Responsibilities</w:t>
      </w:r>
    </w:p>
    <w:p>
      <w:pPr>
        <w:pStyle w:val="ListParagraph"/>
        <w:numPr>
          <w:ilvl w:val="0"/>
          <w:numId w:val="1"/>
        </w:numPr>
        <w:spacing w:after="40"/>
      </w:pPr>
      <w:r>
        <w:rPr>
          <w:sz w:val="21"/>
          <w:szCs w:val="21"/>
        </w:rPr>
        <w:t xml:space="preserve">Test Manager — planning, monitoring, control, reporting.</w:t>
      </w:r>
    </w:p>
    <w:p>
      <w:pPr>
        <w:pStyle w:val="ListParagraph"/>
        <w:numPr>
          <w:ilvl w:val="0"/>
          <w:numId w:val="1"/>
        </w:numPr>
        <w:spacing w:after="40"/>
      </w:pPr>
      <w:r>
        <w:rPr>
          <w:sz w:val="21"/>
          <w:szCs w:val="21"/>
        </w:rPr>
        <w:t xml:space="preserve">Two Test Analysts — design and execution.</w:t>
      </w:r>
    </w:p>
    <w:p>
      <w:pPr>
        <w:pStyle w:val="ListParagraph"/>
        <w:numPr>
          <w:ilvl w:val="0"/>
          <w:numId w:val="1"/>
        </w:numPr>
        <w:spacing w:after="40"/>
      </w:pPr>
      <w:r>
        <w:rPr>
          <w:sz w:val="21"/>
          <w:szCs w:val="21"/>
        </w:rPr>
        <w:t xml:space="preserve">One automation engineer — regression suite and CI.</w:t>
      </w:r>
    </w:p>
    <w:p>
      <w:pPr>
        <w:pBdr>
          <w:left w:val="single" w:color="2a9d8f" w:sz="18"/>
        </w:pBdr>
        <w:shd w:fill="f8fafc"/>
        <w:spacing w:after="120" w:before="120"/>
      </w:pPr>
      <w:r>
        <w:rPr>
          <w:b/>
          <w:bCs/>
          <w:color w:val="2a9d8f"/>
          <w:sz w:val="20"/>
          <w:szCs w:val="20"/>
        </w:rPr>
        <w:t xml:space="preserve">Best Practice: </w:t>
      </w:r>
      <w:r>
        <w:rPr>
          <w:sz w:val="20"/>
          <w:szCs w:val="20"/>
        </w:rPr>
        <w:t xml:space="preserve">A test plan is a living document. Revisit the risks and exit criteria at the start of each cycle — if the situation has changed, the plan should change with it, and the change should be visible to stakeholders.</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Examiners love the phrase "risk-based testing". When you write or read a test plan, always be able to answer: what is the biggest risk here, and where in the plan is it addressed? That single question ties the whole document together.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Test Plan</dc:title>
  <dc:creator>Inside STLC Academy</dc:creator>
  <cp:lastModifiedBy>Un-named</cp:lastModifiedBy>
  <cp:revision>1</cp:revision>
  <dcterms:created xsi:type="dcterms:W3CDTF">2026-07-13T11:04:35.988Z</dcterms:created>
  <dcterms:modified xsi:type="dcterms:W3CDTF">2026-07-13T11:04:35.988Z</dcterms:modified>
</cp:coreProperties>
</file>

<file path=docProps/custom.xml><?xml version="1.0" encoding="utf-8"?>
<Properties xmlns="http://schemas.openxmlformats.org/officeDocument/2006/custom-properties" xmlns:vt="http://schemas.openxmlformats.org/officeDocument/2006/docPropsVTypes"/>
</file>