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d4a438"/>
          <w:sz w:val="18"/>
          <w:szCs w:val="18"/>
        </w:rPr>
        <w:t xml:space="preserve">PRACTICAL TEST AUTOMATION WITH PLAYWRIGHT</w:t>
      </w:r>
    </w:p>
    <w:p>
      <w:pPr>
        <w:spacing w:after="60"/>
      </w:pPr>
      <w:r>
        <w:rPr>
          <w:b/>
          <w:bCs/>
          <w:color w:val="0d1b2a"/>
          <w:sz w:val="40"/>
          <w:szCs w:val="40"/>
        </w:rPr>
        <w:t xml:space="preserve">Playwright Locator Strategy Cheat Sheet</w:t>
      </w:r>
    </w:p>
    <w:p>
      <w:pPr>
        <w:spacing w:after="120"/>
      </w:pPr>
      <w:r>
        <w:rPr>
          <w:i/>
          <w:iCs/>
          <w:color w:val="6b7280"/>
          <w:sz w:val="22"/>
          <w:szCs w:val="22"/>
        </w:rPr>
        <w:t xml:space="preserve">Choose robust, user-facing locators that do not break.</w:t>
      </w:r>
    </w:p>
    <w:p>
      <w:pPr>
        <w:pBdr>
          <w:bottom w:val="single" w:color="e9b949" w:sz="18"/>
        </w:pBdr>
        <w:spacing w:after="160"/>
      </w:pP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Introduction</w:t>
      </w:r>
    </w:p>
    <w:p>
      <w:pPr>
        <w:spacing w:after="90"/>
      </w:pPr>
      <w:r>
        <w:rPr>
          <w:sz w:val="21"/>
          <w:szCs w:val="21"/>
        </w:rPr>
        <w:t xml:space="preserve">Locators are where automation succeeds or fails. This cheat sheet shows the recommended Playwright locators in priority order, so your tests are stable and readable.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Locator Priority (best first)</w:t>
      </w:r>
    </w:p>
    <w:tbl>
      <w:tblPr>
        <w:tblW w:type="pct" w:w="100%"/>
        <w:tblBorders>
          <w:top w:val="single" w:color="e2e8f0" w:sz="4"/>
          <w:left w:val="single" w:color="e2e8f0" w:sz="4"/>
          <w:bottom w:val="single" w:color="e2e8f0" w:sz="4"/>
          <w:right w:val="single" w:color="e2e8f0" w:sz="4"/>
          <w:insideH w:val="single" w:color="e2e8f0" w:sz="4"/>
          <w:insideV w:val="single" w:color="e2e8f0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fill="0d1b2a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Locator</w:t>
            </w:r>
          </w:p>
        </w:tc>
        <w:tc>
          <w:tcPr>
            <w:shd w:fill="0d1b2a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Use when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getByRole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Almost always — buttons, links, headings, inputs by role + name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getByLabel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Form fields with a label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getByPlaceholder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Inputs identified by placeholder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getByText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Non-interactive text content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getByTestId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When nothing user-facing is stable (data-testid)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CSS / XPath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Last resort only</w:t>
            </w:r>
          </w:p>
        </w:tc>
      </w:tr>
    </w:tbl>
    <w:p>
      <w:pPr>
        <w:spacing w:after="80"/>
      </w:pP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Worked Example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page.getByRole('button', { name: 'Sign in' })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page.getByLabel('Email address')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page.getByRole('heading', { name: 'Dashboard' })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page.getByTestId('cart-total')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Why User-Facing Locators Win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They survive CSS/markup refactors.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They double as accessibility checks.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They read like the user’s intent.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Practical Exercise</w:t>
      </w:r>
    </w:p>
    <w:p>
      <w:pPr>
        <w:spacing w:after="90"/>
      </w:pPr>
      <w:r>
        <w:rPr>
          <w:sz w:val="21"/>
          <w:szCs w:val="21"/>
        </w:rPr>
        <w:t xml:space="preserve">Take a page and locate five elements using only getByRole/getByLabel/getByText. Only fall back to getByTestId if you truly cannot.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Best Practices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Prefer role + accessible name.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Add data-testid for genuinely ambiguous elements.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Avoid brittle CSS chains and indexes.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Common Mistakes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Long CSS selectors tied to layout.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Using nth-child / indexes that shift.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XPath everywhere "because it works".</w:t>
      </w:r>
    </w:p>
    <w:p>
      <w:pPr>
        <w:pBdr>
          <w:left w:val="single" w:color="d4a438" w:sz="18"/>
        </w:pBdr>
        <w:shd w:fill="f8fafc"/>
        <w:spacing w:after="120" w:before="120"/>
      </w:pPr>
      <w:r>
        <w:rPr>
          <w:b/>
          <w:bCs/>
          <w:color w:val="d4a438"/>
          <w:sz w:val="20"/>
          <w:szCs w:val="20"/>
        </w:rPr>
        <w:t xml:space="preserve">Inside STLC Pro Tip: </w:t>
      </w:r>
      <w:r>
        <w:rPr>
          <w:sz w:val="20"/>
          <w:szCs w:val="20"/>
        </w:rPr>
        <w:t xml:space="preserve">A good rule: locate elements the way a user would describe them. If you would say "the Sign in button", use getByRole('button', { name: 'Sign in' }).</w:t>
      </w:r>
    </w:p>
    <w:sectPr>
      <w:footerReference w:type="default" r:id="rId7"/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drawing>
        <wp:inline distT="0" distB="0" distL="0" distR="0">
          <wp:extent cx="857250" cy="257175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57250" cy="2571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>
    <w:pPr>
      <w:jc w:val="center"/>
    </w:pPr>
    <w:r>
      <w:rPr>
        <w:color w:val="6b7280"/>
        <w:sz w:val="14"/>
        <w:szCs w:val="14"/>
      </w:rPr>
      <w:t xml:space="preserve">Inside STLC Academy  ·  Practical Test Automation with Playwright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003c7da8d2a8376ec03fae432c723f30d11f5717.undefined"/></Relationships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Playwright Locator Strategy Cheat Sheet</dc:title>
  <dc:creator>Inside STLC Academy</dc:creator>
  <cp:lastModifiedBy>Un-named</cp:lastModifiedBy>
  <cp:revision>1</cp:revision>
  <dcterms:created xsi:type="dcterms:W3CDTF">2026-06-29T12:39:49.438Z</dcterms:created>
  <dcterms:modified xsi:type="dcterms:W3CDTF">2026-06-29T12:39:49.438Z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