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QA LEADERSHIP ACADEMY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Automation Assessment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structured health-check of an existing automation suite before you invest another penny in it.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Purpose</w:t>
      </w:r>
    </w:p>
    <w:p>
      <w:pPr>
        <w:spacing w:after="90"/>
      </w:pPr>
      <w:r>
        <w:rPr>
          <w:sz w:val="21"/>
          <w:szCs w:val="21"/>
        </w:rPr>
        <w:t xml:space="preserve">This instrument gives you an honest, evidence-based picture of an inherited automation suite: what it costs, what it is worth, and whether it should be extended, stabilised, re-platformed or retired. It turns "the automation is flaky" into a defensible position you can take to your VP Engineering.</w:t>
      </w:r>
    </w:p>
    <w:p>
      <w:pPr>
        <w:spacing w:after="90"/>
      </w:pPr>
      <w:r>
        <w:rPr>
          <w:sz w:val="21"/>
          <w:szCs w:val="21"/>
        </w:rPr>
        <w:t xml:space="preserve">It scores a suite across seven dimensions — coverage, reliability, speed, maintainability, ownership, trust and value — so that a decision to invest (or stop investing) is grounded in the current state rather than in enthusiasm or frustration.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When to use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 your first 30–60 days in a QA leadership role, to baseline what you have inherited.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When leadership is pushing for "more automation" without agreeing what problem it solves.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Before approving a re-platform, a tooling change or a business case for automation headcount.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Annually, or after a major architecture change, as a portfolio review.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Instructions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Gather the evidence first: run history, average duration, flake/quarantine counts, who last touched the code, and where the tests sit in the pyramid (unit / API / UI).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Score each of the seven dimensions from 1 (poor) to 5 (strong) using the anchor descriptions, and write one sentence of evidence for each score — never a bare number.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Multiply each score by its weight and total the weighted column to get an overall health score out of 100.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Read the score band, then decide a direction of travel for the suite (stabilise / extend / re-platform / retire) rather than a to-do list.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Re-run the assessment on the same dimensions each quarter so the trend, not the snapshot, drives the conversation.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Northstar Digital has ~1,800 Selenium UI tests, a ~6-hour run and roughly 25% flakiness, owned by QA alone with developers not touching it and trust described as low. Scored against the model: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 (1–5)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Coverage vs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Broad UI coverage but thin at API/unit; critical payment paths only exercised end-to-end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Reliability (flake rate)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~25% flaky; results routinely re-run or ignored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Feedback speed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~6-hour run; cannot gate a pull request or a same-day release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Maintainability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One engineer (Dan) holds all context; no page-object discipline agreed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Ownership model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QA-only; developers do not read, write or fix the tests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Trust / usage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Low trust; squads route around it rather than block on it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Business value delivered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Rarely credited with catching an escaped defect; value is asserted, not shown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Weighted total: 33 / 100 — a low-trust, high-cost suite. The reading is not "add more tests"; it is "the current suite is a liability being propped up by one person". A sensible direction of travel: quarantine the flakiest ~25% to restore a trustworthy signal, push coverage down the pyramid to API level for the payment paths, and introduce shared ownership so Dan is not the single point of failure.</w:t>
      </w:r>
    </w:p>
    <w:p>
      <w:pPr>
        <w:pBdr>
          <w:left w:val="single" w:color="2a9d8f" w:sz="18"/>
        </w:pBdr>
        <w:shd w:fill="f8fafc"/>
        <w:spacing w:after="120" w:before="120"/>
      </w:pPr>
      <w:r>
        <w:rPr>
          <w:b/>
          <w:bCs/>
          <w:color w:val="2a9d8f"/>
          <w:sz w:val="20"/>
          <w:szCs w:val="20"/>
        </w:rPr>
        <w:t xml:space="preserve">Read the score as a direction, not a verdict: </w:t>
      </w:r>
      <w:r>
        <w:rPr>
          <w:sz w:val="20"/>
          <w:szCs w:val="20"/>
        </w:rPr>
        <w:t xml:space="preserve">A score of 33/100 does not mean "delete the suite". It means the fastest route to value is stability and trust before volume. Present it as a direction of travel leadership can fund in stages.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Blank reusable version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 (1–5)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 (one sentence)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Weighted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Coverage vs risk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Reliability (flake rate)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Feedback speed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Maintainability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Ownership model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Trust / usage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Business value delivered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TOTAL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b/>
          <w:bCs/>
          <w:color w:val="0d1b2a"/>
          <w:sz w:val="24"/>
          <w:szCs w:val="24"/>
        </w:rPr>
        <w:t xml:space="preserve">Score bands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75–100 — Healthy: extend deliberately against risk; protect what works.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50–74 — Serviceable: targeted improvement on the two weakest dimensions.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25–49 — Fragile: stabilise and rebuild trust before adding volume.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Below 25 — Liability: consider re-platform or retire; stop adding tests to it.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mistakes: </w:t>
      </w:r>
      <w:r>
        <w:rPr>
          <w:sz w:val="20"/>
          <w:szCs w:val="20"/>
        </w:rPr>
        <w:t xml:space="preserve">Scoring on gut feel with no evidence sentence; treating a low score as licence to delete everything overnight; assessing volume ("how many tests") instead of value and trust; and running it once as a stick to beat the previous owner with, rather than quarterly to show a trend.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to interpret the results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two lowest-weighted-scoring dimensions are your first investment, not the highest-coverage gap.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low reliability score caps the value of everything else — an untrusted suite delivers little regardless of coverage.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single-owner maintainability score is a key-person risk to name explicitly to leadership.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Compare quarter on quarter: a rising trend from a low base is a stronger story than a static high score.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Walk into the VP Engineering conversation with the weighted score and one evidence sentence per row. "Our UI suite scores 33/100, capped by 25% flakiness and single-person ownership" reframes the debate from "we need more automation" to "we need trustworthy automation first" — and that is a business case you can actually win.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QA Leadership Academy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Automation Assessment</dc:title>
  <dc:creator>Inside STLC Academy</dc:creator>
  <cp:lastModifiedBy>Un-named</cp:lastModifiedBy>
  <cp:revision>1</cp:revision>
  <dcterms:created xsi:type="dcterms:W3CDTF">2026-08-10T13:23:00.125Z</dcterms:created>
  <dcterms:modified xsi:type="dcterms:W3CDTF">2026-08-10T13:23:00.125Z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