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Product Risk Matrix</w:t>
      </w:r>
    </w:p>
    <w:p>
      <w:pPr>
        <w:spacing w:after="120"/>
      </w:pPr>
      <w:r>
        <w:rPr>
          <w:i/>
          <w:iCs/>
          <w:color w:val="6b7280"/>
          <w:sz w:val="22"/>
          <w:szCs w:val="22"/>
        </w:rPr>
        <w:t xml:space="preserve">Rank what could go wrong by probability and impact, then aim your testing effort where it earns its keep.</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A product risk matrix turns "we should test everything" into a defensible plan. You score each risk on two axes — how likely it is to occur (probability) and how badly it hurts if it does (impact) — and let the combined score decide how much test effort it deserves. It is the single most useful artefact for justifying where your team spends its time, and for saying no to low-value work without sounding defensive.</w:t>
      </w:r>
    </w:p>
    <w:p>
      <w:pPr>
        <w:spacing w:after="90"/>
      </w:pPr>
      <w:r>
        <w:rPr>
          <w:sz w:val="21"/>
          <w:szCs w:val="21"/>
        </w:rPr>
        <w:t xml:space="preserve">The matrix is a communication tool as much as a planning tool. A VP Engineering does not want a list of 400 test cases; she wants to know which handful of risks could genuinely hurt the business, and that you are covering them.</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At the start of a release or programme, to shape the test approach before writing a single case.</w:t>
      </w:r>
    </w:p>
    <w:p>
      <w:pPr>
        <w:pStyle w:val="ListParagraph"/>
        <w:numPr>
          <w:ilvl w:val="0"/>
          <w:numId w:val="1"/>
        </w:numPr>
        <w:spacing w:after="40"/>
      </w:pPr>
      <w:r>
        <w:rPr>
          <w:sz w:val="21"/>
          <w:szCs w:val="21"/>
        </w:rPr>
        <w:t xml:space="preserve">When you are time-boxed and cannot test everything — the matrix decides what gets cut safely.</w:t>
      </w:r>
    </w:p>
    <w:p>
      <w:pPr>
        <w:pStyle w:val="ListParagraph"/>
        <w:numPr>
          <w:ilvl w:val="0"/>
          <w:numId w:val="1"/>
        </w:numPr>
        <w:spacing w:after="40"/>
      </w:pPr>
      <w:r>
        <w:rPr>
          <w:sz w:val="21"/>
          <w:szCs w:val="21"/>
        </w:rPr>
        <w:t xml:space="preserve">When you need to justify test effort (or extra time) to product and engineering leaders.</w:t>
      </w:r>
    </w:p>
    <w:p>
      <w:pPr>
        <w:pStyle w:val="ListParagraph"/>
        <w:numPr>
          <w:ilvl w:val="0"/>
          <w:numId w:val="1"/>
        </w:numPr>
        <w:spacing w:after="40"/>
      </w:pPr>
      <w:r>
        <w:rPr>
          <w:sz w:val="21"/>
          <w:szCs w:val="21"/>
        </w:rPr>
        <w:t xml:space="preserve">During a go/no-go conversation, to show residual risk in plain terms.</w:t>
      </w:r>
    </w:p>
    <w:p>
      <w:pPr>
        <w:pStyle w:val="ListParagraph"/>
        <w:numPr>
          <w:ilvl w:val="0"/>
          <w:numId w:val="1"/>
        </w:numPr>
        <w:spacing w:after="40"/>
      </w:pPr>
      <w:r>
        <w:rPr>
          <w:sz w:val="21"/>
          <w:szCs w:val="21"/>
        </w:rPr>
        <w:t xml:space="preserve">Whenever a new area of the product changes and you must re-scope coverage.</w:t>
      </w:r>
    </w:p>
    <w:p>
      <w:pPr>
        <w:pBdr>
          <w:bottom w:val="single" w:color="e9b949" w:sz="12"/>
        </w:pBdr>
        <w:spacing w:after="100" w:before="260"/>
      </w:pPr>
      <w:r>
        <w:rPr>
          <w:b/>
          <w:bCs/>
          <w:color w:val="d4a438"/>
          <w:sz w:val="30"/>
          <w:szCs w:val="30"/>
        </w:rPr>
        <w:t xml:space="preserve">Instructions</w:t>
      </w:r>
    </w:p>
    <w:p>
      <w:pPr>
        <w:pStyle w:val="ListParagraph"/>
        <w:numPr>
          <w:ilvl w:val="0"/>
          <w:numId w:val="2"/>
        </w:numPr>
        <w:spacing w:after="40"/>
      </w:pPr>
      <w:r>
        <w:rPr>
          <w:sz w:val="21"/>
          <w:szCs w:val="21"/>
        </w:rPr>
        <w:t xml:space="preserve">Identify risks as concrete "what could go wrong" statements, not vague areas. "Payment is captured but no order is created" is a risk; "payments" is not.</w:t>
      </w:r>
    </w:p>
    <w:p>
      <w:pPr>
        <w:pStyle w:val="ListParagraph"/>
        <w:numPr>
          <w:ilvl w:val="0"/>
          <w:numId w:val="2"/>
        </w:numPr>
        <w:spacing w:after="40"/>
      </w:pPr>
      <w:r>
        <w:rPr>
          <w:sz w:val="21"/>
          <w:szCs w:val="21"/>
        </w:rPr>
        <w:t xml:space="preserve">Score probability on a 1-5 scale: 1 Rare, 2 Unlikely, 3 Possible, 4 Likely, 5 Almost certain. Base it on evidence — change size, code age, past defects, complexity, team familiarity.</w:t>
      </w:r>
    </w:p>
    <w:p>
      <w:pPr>
        <w:pStyle w:val="ListParagraph"/>
        <w:numPr>
          <w:ilvl w:val="0"/>
          <w:numId w:val="2"/>
        </w:numPr>
        <w:spacing w:after="40"/>
      </w:pPr>
      <w:r>
        <w:rPr>
          <w:sz w:val="21"/>
          <w:szCs w:val="21"/>
        </w:rPr>
        <w:t xml:space="preserve">Score impact on a 1-5 scale: 1 Negligible, 2 Minor, 3 Moderate, 4 Major, 5 Severe. Weigh customer harm, revenue, data integrity, legal/compliance and reputation.</w:t>
      </w:r>
    </w:p>
    <w:p>
      <w:pPr>
        <w:pStyle w:val="ListParagraph"/>
        <w:numPr>
          <w:ilvl w:val="0"/>
          <w:numId w:val="2"/>
        </w:numPr>
        <w:spacing w:after="40"/>
      </w:pPr>
      <w:r>
        <w:rPr>
          <w:sz w:val="21"/>
          <w:szCs w:val="21"/>
        </w:rPr>
        <w:t xml:space="preserve">Multiply the two scores to get a risk rating from 1 to 25, and band it: 1-4 Low, 5-9 Medium, 10-15 High, 16-25 Critical.</w:t>
      </w:r>
    </w:p>
    <w:p>
      <w:pPr>
        <w:pStyle w:val="ListParagraph"/>
        <w:numPr>
          <w:ilvl w:val="0"/>
          <w:numId w:val="2"/>
        </w:numPr>
        <w:spacing w:after="40"/>
      </w:pPr>
      <w:r>
        <w:rPr>
          <w:sz w:val="21"/>
          <w:szCs w:val="21"/>
        </w:rPr>
        <w:t xml:space="preserve">Map the band to a test-effort response so the plan is automatic and consistent across the team.</w:t>
      </w:r>
    </w:p>
    <w:p>
      <w:pPr>
        <w:pStyle w:val="ListParagraph"/>
        <w:numPr>
          <w:ilvl w:val="0"/>
          <w:numId w:val="2"/>
        </w:numPr>
        <w:spacing w:after="40"/>
      </w:pPr>
      <w:r>
        <w:rPr>
          <w:sz w:val="21"/>
          <w:szCs w:val="21"/>
        </w:rPr>
        <w:t xml:space="preserve">Review the matrix with product and engineering, and record who agreed. Shared ownership of risk is the whole point.</w:t>
      </w:r>
    </w:p>
    <w:p>
      <w:pPr>
        <w:spacing w:after="60" w:before="180"/>
      </w:pPr>
      <w:r>
        <w:rPr>
          <w:b/>
          <w:bCs/>
          <w:color w:val="0d1b2a"/>
          <w:sz w:val="24"/>
          <w:szCs w:val="24"/>
        </w:rPr>
        <w:t xml:space="preserve">The probability × impact grid</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Probability \ Impact</w:t>
            </w:r>
          </w:p>
        </w:tc>
        <w:tc>
          <w:tcPr>
            <w:shd w:fill="0d1b2a"/>
            <w:tcMar>
              <w:top w:type="dxa" w:w="60"/>
              <w:left w:type="dxa" w:w="90"/>
              <w:bottom w:type="dxa" w:w="60"/>
              <w:right w:type="dxa" w:w="90"/>
            </w:tcMar>
          </w:tcPr>
          <w:p>
            <w:r>
              <w:rPr>
                <w:b/>
                <w:bCs/>
                <w:color w:val="FFFFFF"/>
                <w:sz w:val="19"/>
                <w:szCs w:val="19"/>
              </w:rPr>
              <w:t xml:space="preserve">Negligible (1)</w:t>
            </w:r>
          </w:p>
        </w:tc>
        <w:tc>
          <w:tcPr>
            <w:shd w:fill="0d1b2a"/>
            <w:tcMar>
              <w:top w:type="dxa" w:w="60"/>
              <w:left w:type="dxa" w:w="90"/>
              <w:bottom w:type="dxa" w:w="60"/>
              <w:right w:type="dxa" w:w="90"/>
            </w:tcMar>
          </w:tcPr>
          <w:p>
            <w:r>
              <w:rPr>
                <w:b/>
                <w:bCs/>
                <w:color w:val="FFFFFF"/>
                <w:sz w:val="19"/>
                <w:szCs w:val="19"/>
              </w:rPr>
              <w:t xml:space="preserve">Minor (2)</w:t>
            </w:r>
          </w:p>
        </w:tc>
        <w:tc>
          <w:tcPr>
            <w:shd w:fill="0d1b2a"/>
            <w:tcMar>
              <w:top w:type="dxa" w:w="60"/>
              <w:left w:type="dxa" w:w="90"/>
              <w:bottom w:type="dxa" w:w="60"/>
              <w:right w:type="dxa" w:w="90"/>
            </w:tcMar>
          </w:tcPr>
          <w:p>
            <w:r>
              <w:rPr>
                <w:b/>
                <w:bCs/>
                <w:color w:val="FFFFFF"/>
                <w:sz w:val="19"/>
                <w:szCs w:val="19"/>
              </w:rPr>
              <w:t xml:space="preserve">Moderate (3)</w:t>
            </w:r>
          </w:p>
        </w:tc>
        <w:tc>
          <w:tcPr>
            <w:shd w:fill="0d1b2a"/>
            <w:tcMar>
              <w:top w:type="dxa" w:w="60"/>
              <w:left w:type="dxa" w:w="90"/>
              <w:bottom w:type="dxa" w:w="60"/>
              <w:right w:type="dxa" w:w="90"/>
            </w:tcMar>
          </w:tcPr>
          <w:p>
            <w:r>
              <w:rPr>
                <w:b/>
                <w:bCs/>
                <w:color w:val="FFFFFF"/>
                <w:sz w:val="19"/>
                <w:szCs w:val="19"/>
              </w:rPr>
              <w:t xml:space="preserve">Major (4)</w:t>
            </w:r>
          </w:p>
        </w:tc>
        <w:tc>
          <w:tcPr>
            <w:shd w:fill="0d1b2a"/>
            <w:tcMar>
              <w:top w:type="dxa" w:w="60"/>
              <w:left w:type="dxa" w:w="90"/>
              <w:bottom w:type="dxa" w:w="60"/>
              <w:right w:type="dxa" w:w="90"/>
            </w:tcMar>
          </w:tcPr>
          <w:p>
            <w:r>
              <w:rPr>
                <w:b/>
                <w:bCs/>
                <w:color w:val="FFFFFF"/>
                <w:sz w:val="19"/>
                <w:szCs w:val="19"/>
              </w:rPr>
              <w:t xml:space="preserve">Severe (5)</w:t>
            </w:r>
          </w:p>
        </w:tc>
      </w:tr>
      <w:tr>
        <w:tc>
          <w:tcPr>
            <w:tcMar>
              <w:top w:type="dxa" w:w="50"/>
              <w:left w:type="dxa" w:w="90"/>
              <w:bottom w:type="dxa" w:w="50"/>
              <w:right w:type="dxa" w:w="90"/>
            </w:tcMar>
          </w:tcPr>
          <w:p>
            <w:r>
              <w:rPr>
                <w:sz w:val="19"/>
                <w:szCs w:val="19"/>
              </w:rPr>
              <w:t xml:space="preserve">Almost certain (5)</w:t>
            </w:r>
          </w:p>
        </w:tc>
        <w:tc>
          <w:tcPr>
            <w:tcMar>
              <w:top w:type="dxa" w:w="50"/>
              <w:left w:type="dxa" w:w="90"/>
              <w:bottom w:type="dxa" w:w="50"/>
              <w:right w:type="dxa" w:w="90"/>
            </w:tcMar>
          </w:tcPr>
          <w:p>
            <w:r>
              <w:rPr>
                <w:sz w:val="19"/>
                <w:szCs w:val="19"/>
              </w:rPr>
              <w:t xml:space="preserve">5 · Med</w:t>
            </w:r>
          </w:p>
        </w:tc>
        <w:tc>
          <w:tcPr>
            <w:tcMar>
              <w:top w:type="dxa" w:w="50"/>
              <w:left w:type="dxa" w:w="90"/>
              <w:bottom w:type="dxa" w:w="50"/>
              <w:right w:type="dxa" w:w="90"/>
            </w:tcMar>
          </w:tcPr>
          <w:p>
            <w:r>
              <w:rPr>
                <w:sz w:val="19"/>
                <w:szCs w:val="19"/>
              </w:rPr>
              <w:t xml:space="preserve">10 · High</w:t>
            </w:r>
          </w:p>
        </w:tc>
        <w:tc>
          <w:tcPr>
            <w:tcMar>
              <w:top w:type="dxa" w:w="50"/>
              <w:left w:type="dxa" w:w="90"/>
              <w:bottom w:type="dxa" w:w="50"/>
              <w:right w:type="dxa" w:w="90"/>
            </w:tcMar>
          </w:tcPr>
          <w:p>
            <w:r>
              <w:rPr>
                <w:sz w:val="19"/>
                <w:szCs w:val="19"/>
              </w:rPr>
              <w:t xml:space="preserve">15 · High</w:t>
            </w:r>
          </w:p>
        </w:tc>
        <w:tc>
          <w:tcPr>
            <w:tcMar>
              <w:top w:type="dxa" w:w="50"/>
              <w:left w:type="dxa" w:w="90"/>
              <w:bottom w:type="dxa" w:w="50"/>
              <w:right w:type="dxa" w:w="90"/>
            </w:tcMar>
          </w:tcPr>
          <w:p>
            <w:r>
              <w:rPr>
                <w:sz w:val="19"/>
                <w:szCs w:val="19"/>
              </w:rPr>
              <w:t xml:space="preserve">20 · Critical</w:t>
            </w:r>
          </w:p>
        </w:tc>
        <w:tc>
          <w:tcPr>
            <w:tcMar>
              <w:top w:type="dxa" w:w="50"/>
              <w:left w:type="dxa" w:w="90"/>
              <w:bottom w:type="dxa" w:w="50"/>
              <w:right w:type="dxa" w:w="90"/>
            </w:tcMar>
          </w:tcPr>
          <w:p>
            <w:r>
              <w:rPr>
                <w:sz w:val="19"/>
                <w:szCs w:val="19"/>
              </w:rPr>
              <w:t xml:space="preserve">25 · Critical</w:t>
            </w:r>
          </w:p>
        </w:tc>
      </w:tr>
      <w:tr>
        <w:tc>
          <w:tcPr>
            <w:tcMar>
              <w:top w:type="dxa" w:w="50"/>
              <w:left w:type="dxa" w:w="90"/>
              <w:bottom w:type="dxa" w:w="50"/>
              <w:right w:type="dxa" w:w="90"/>
            </w:tcMar>
          </w:tcPr>
          <w:p>
            <w:r>
              <w:rPr>
                <w:sz w:val="19"/>
                <w:szCs w:val="19"/>
              </w:rPr>
              <w:t xml:space="preserve">Likely (4)</w:t>
            </w:r>
          </w:p>
        </w:tc>
        <w:tc>
          <w:tcPr>
            <w:tcMar>
              <w:top w:type="dxa" w:w="50"/>
              <w:left w:type="dxa" w:w="90"/>
              <w:bottom w:type="dxa" w:w="50"/>
              <w:right w:type="dxa" w:w="90"/>
            </w:tcMar>
          </w:tcPr>
          <w:p>
            <w:r>
              <w:rPr>
                <w:sz w:val="19"/>
                <w:szCs w:val="19"/>
              </w:rPr>
              <w:t xml:space="preserve">4 · Low</w:t>
            </w:r>
          </w:p>
        </w:tc>
        <w:tc>
          <w:tcPr>
            <w:tcMar>
              <w:top w:type="dxa" w:w="50"/>
              <w:left w:type="dxa" w:w="90"/>
              <w:bottom w:type="dxa" w:w="50"/>
              <w:right w:type="dxa" w:w="90"/>
            </w:tcMar>
          </w:tcPr>
          <w:p>
            <w:r>
              <w:rPr>
                <w:sz w:val="19"/>
                <w:szCs w:val="19"/>
              </w:rPr>
              <w:t xml:space="preserve">8 · Med</w:t>
            </w:r>
          </w:p>
        </w:tc>
        <w:tc>
          <w:tcPr>
            <w:tcMar>
              <w:top w:type="dxa" w:w="50"/>
              <w:left w:type="dxa" w:w="90"/>
              <w:bottom w:type="dxa" w:w="50"/>
              <w:right w:type="dxa" w:w="90"/>
            </w:tcMar>
          </w:tcPr>
          <w:p>
            <w:r>
              <w:rPr>
                <w:sz w:val="19"/>
                <w:szCs w:val="19"/>
              </w:rPr>
              <w:t xml:space="preserve">12 · High</w:t>
            </w:r>
          </w:p>
        </w:tc>
        <w:tc>
          <w:tcPr>
            <w:tcMar>
              <w:top w:type="dxa" w:w="50"/>
              <w:left w:type="dxa" w:w="90"/>
              <w:bottom w:type="dxa" w:w="50"/>
              <w:right w:type="dxa" w:w="90"/>
            </w:tcMar>
          </w:tcPr>
          <w:p>
            <w:r>
              <w:rPr>
                <w:sz w:val="19"/>
                <w:szCs w:val="19"/>
              </w:rPr>
              <w:t xml:space="preserve">16 · Critical</w:t>
            </w:r>
          </w:p>
        </w:tc>
        <w:tc>
          <w:tcPr>
            <w:tcMar>
              <w:top w:type="dxa" w:w="50"/>
              <w:left w:type="dxa" w:w="90"/>
              <w:bottom w:type="dxa" w:w="50"/>
              <w:right w:type="dxa" w:w="90"/>
            </w:tcMar>
          </w:tcPr>
          <w:p>
            <w:r>
              <w:rPr>
                <w:sz w:val="19"/>
                <w:szCs w:val="19"/>
              </w:rPr>
              <w:t xml:space="preserve">20 · Critical</w:t>
            </w:r>
          </w:p>
        </w:tc>
      </w:tr>
      <w:tr>
        <w:tc>
          <w:tcPr>
            <w:tcMar>
              <w:top w:type="dxa" w:w="50"/>
              <w:left w:type="dxa" w:w="90"/>
              <w:bottom w:type="dxa" w:w="50"/>
              <w:right w:type="dxa" w:w="90"/>
            </w:tcMar>
          </w:tcPr>
          <w:p>
            <w:r>
              <w:rPr>
                <w:sz w:val="19"/>
                <w:szCs w:val="19"/>
              </w:rPr>
              <w:t xml:space="preserve">Possible (3)</w:t>
            </w:r>
          </w:p>
        </w:tc>
        <w:tc>
          <w:tcPr>
            <w:tcMar>
              <w:top w:type="dxa" w:w="50"/>
              <w:left w:type="dxa" w:w="90"/>
              <w:bottom w:type="dxa" w:w="50"/>
              <w:right w:type="dxa" w:w="90"/>
            </w:tcMar>
          </w:tcPr>
          <w:p>
            <w:r>
              <w:rPr>
                <w:sz w:val="19"/>
                <w:szCs w:val="19"/>
              </w:rPr>
              <w:t xml:space="preserve">3 · Low</w:t>
            </w:r>
          </w:p>
        </w:tc>
        <w:tc>
          <w:tcPr>
            <w:tcMar>
              <w:top w:type="dxa" w:w="50"/>
              <w:left w:type="dxa" w:w="90"/>
              <w:bottom w:type="dxa" w:w="50"/>
              <w:right w:type="dxa" w:w="90"/>
            </w:tcMar>
          </w:tcPr>
          <w:p>
            <w:r>
              <w:rPr>
                <w:sz w:val="19"/>
                <w:szCs w:val="19"/>
              </w:rPr>
              <w:t xml:space="preserve">6 · Med</w:t>
            </w:r>
          </w:p>
        </w:tc>
        <w:tc>
          <w:tcPr>
            <w:tcMar>
              <w:top w:type="dxa" w:w="50"/>
              <w:left w:type="dxa" w:w="90"/>
              <w:bottom w:type="dxa" w:w="50"/>
              <w:right w:type="dxa" w:w="90"/>
            </w:tcMar>
          </w:tcPr>
          <w:p>
            <w:r>
              <w:rPr>
                <w:sz w:val="19"/>
                <w:szCs w:val="19"/>
              </w:rPr>
              <w:t xml:space="preserve">9 · Med</w:t>
            </w:r>
          </w:p>
        </w:tc>
        <w:tc>
          <w:tcPr>
            <w:tcMar>
              <w:top w:type="dxa" w:w="50"/>
              <w:left w:type="dxa" w:w="90"/>
              <w:bottom w:type="dxa" w:w="50"/>
              <w:right w:type="dxa" w:w="90"/>
            </w:tcMar>
          </w:tcPr>
          <w:p>
            <w:r>
              <w:rPr>
                <w:sz w:val="19"/>
                <w:szCs w:val="19"/>
              </w:rPr>
              <w:t xml:space="preserve">12 · High</w:t>
            </w:r>
          </w:p>
        </w:tc>
        <w:tc>
          <w:tcPr>
            <w:tcMar>
              <w:top w:type="dxa" w:w="50"/>
              <w:left w:type="dxa" w:w="90"/>
              <w:bottom w:type="dxa" w:w="50"/>
              <w:right w:type="dxa" w:w="90"/>
            </w:tcMar>
          </w:tcPr>
          <w:p>
            <w:r>
              <w:rPr>
                <w:sz w:val="19"/>
                <w:szCs w:val="19"/>
              </w:rPr>
              <w:t xml:space="preserve">15 · High</w:t>
            </w:r>
          </w:p>
        </w:tc>
      </w:tr>
      <w:tr>
        <w:tc>
          <w:tcPr>
            <w:tcMar>
              <w:top w:type="dxa" w:w="50"/>
              <w:left w:type="dxa" w:w="90"/>
              <w:bottom w:type="dxa" w:w="50"/>
              <w:right w:type="dxa" w:w="90"/>
            </w:tcMar>
          </w:tcPr>
          <w:p>
            <w:r>
              <w:rPr>
                <w:sz w:val="19"/>
                <w:szCs w:val="19"/>
              </w:rPr>
              <w:t xml:space="preserve">Unlikely (2)</w:t>
            </w:r>
          </w:p>
        </w:tc>
        <w:tc>
          <w:tcPr>
            <w:tcMar>
              <w:top w:type="dxa" w:w="50"/>
              <w:left w:type="dxa" w:w="90"/>
              <w:bottom w:type="dxa" w:w="50"/>
              <w:right w:type="dxa" w:w="90"/>
            </w:tcMar>
          </w:tcPr>
          <w:p>
            <w:r>
              <w:rPr>
                <w:sz w:val="19"/>
                <w:szCs w:val="19"/>
              </w:rPr>
              <w:t xml:space="preserve">2 · Low</w:t>
            </w:r>
          </w:p>
        </w:tc>
        <w:tc>
          <w:tcPr>
            <w:tcMar>
              <w:top w:type="dxa" w:w="50"/>
              <w:left w:type="dxa" w:w="90"/>
              <w:bottom w:type="dxa" w:w="50"/>
              <w:right w:type="dxa" w:w="90"/>
            </w:tcMar>
          </w:tcPr>
          <w:p>
            <w:r>
              <w:rPr>
                <w:sz w:val="19"/>
                <w:szCs w:val="19"/>
              </w:rPr>
              <w:t xml:space="preserve">4 · Low</w:t>
            </w:r>
          </w:p>
        </w:tc>
        <w:tc>
          <w:tcPr>
            <w:tcMar>
              <w:top w:type="dxa" w:w="50"/>
              <w:left w:type="dxa" w:w="90"/>
              <w:bottom w:type="dxa" w:w="50"/>
              <w:right w:type="dxa" w:w="90"/>
            </w:tcMar>
          </w:tcPr>
          <w:p>
            <w:r>
              <w:rPr>
                <w:sz w:val="19"/>
                <w:szCs w:val="19"/>
              </w:rPr>
              <w:t xml:space="preserve">6 · Med</w:t>
            </w:r>
          </w:p>
        </w:tc>
        <w:tc>
          <w:tcPr>
            <w:tcMar>
              <w:top w:type="dxa" w:w="50"/>
              <w:left w:type="dxa" w:w="90"/>
              <w:bottom w:type="dxa" w:w="50"/>
              <w:right w:type="dxa" w:w="90"/>
            </w:tcMar>
          </w:tcPr>
          <w:p>
            <w:r>
              <w:rPr>
                <w:sz w:val="19"/>
                <w:szCs w:val="19"/>
              </w:rPr>
              <w:t xml:space="preserve">8 · Med</w:t>
            </w:r>
          </w:p>
        </w:tc>
        <w:tc>
          <w:tcPr>
            <w:tcMar>
              <w:top w:type="dxa" w:w="50"/>
              <w:left w:type="dxa" w:w="90"/>
              <w:bottom w:type="dxa" w:w="50"/>
              <w:right w:type="dxa" w:w="90"/>
            </w:tcMar>
          </w:tcPr>
          <w:p>
            <w:r>
              <w:rPr>
                <w:sz w:val="19"/>
                <w:szCs w:val="19"/>
              </w:rPr>
              <w:t xml:space="preserve">10 · High</w:t>
            </w:r>
          </w:p>
        </w:tc>
      </w:tr>
      <w:tr>
        <w:tc>
          <w:tcPr>
            <w:tcMar>
              <w:top w:type="dxa" w:w="50"/>
              <w:left w:type="dxa" w:w="90"/>
              <w:bottom w:type="dxa" w:w="50"/>
              <w:right w:type="dxa" w:w="90"/>
            </w:tcMar>
          </w:tcPr>
          <w:p>
            <w:r>
              <w:rPr>
                <w:sz w:val="19"/>
                <w:szCs w:val="19"/>
              </w:rPr>
              <w:t xml:space="preserve">Rare (1)</w:t>
            </w:r>
          </w:p>
        </w:tc>
        <w:tc>
          <w:tcPr>
            <w:tcMar>
              <w:top w:type="dxa" w:w="50"/>
              <w:left w:type="dxa" w:w="90"/>
              <w:bottom w:type="dxa" w:w="50"/>
              <w:right w:type="dxa" w:w="90"/>
            </w:tcMar>
          </w:tcPr>
          <w:p>
            <w:r>
              <w:rPr>
                <w:sz w:val="19"/>
                <w:szCs w:val="19"/>
              </w:rPr>
              <w:t xml:space="preserve">1 · Low</w:t>
            </w:r>
          </w:p>
        </w:tc>
        <w:tc>
          <w:tcPr>
            <w:tcMar>
              <w:top w:type="dxa" w:w="50"/>
              <w:left w:type="dxa" w:w="90"/>
              <w:bottom w:type="dxa" w:w="50"/>
              <w:right w:type="dxa" w:w="90"/>
            </w:tcMar>
          </w:tcPr>
          <w:p>
            <w:r>
              <w:rPr>
                <w:sz w:val="19"/>
                <w:szCs w:val="19"/>
              </w:rPr>
              <w:t xml:space="preserve">2 · Low</w:t>
            </w:r>
          </w:p>
        </w:tc>
        <w:tc>
          <w:tcPr>
            <w:tcMar>
              <w:top w:type="dxa" w:w="50"/>
              <w:left w:type="dxa" w:w="90"/>
              <w:bottom w:type="dxa" w:w="50"/>
              <w:right w:type="dxa" w:w="90"/>
            </w:tcMar>
          </w:tcPr>
          <w:p>
            <w:r>
              <w:rPr>
                <w:sz w:val="19"/>
                <w:szCs w:val="19"/>
              </w:rPr>
              <w:t xml:space="preserve">3 · Low</w:t>
            </w:r>
          </w:p>
        </w:tc>
        <w:tc>
          <w:tcPr>
            <w:tcMar>
              <w:top w:type="dxa" w:w="50"/>
              <w:left w:type="dxa" w:w="90"/>
              <w:bottom w:type="dxa" w:w="50"/>
              <w:right w:type="dxa" w:w="90"/>
            </w:tcMar>
          </w:tcPr>
          <w:p>
            <w:r>
              <w:rPr>
                <w:sz w:val="19"/>
                <w:szCs w:val="19"/>
              </w:rPr>
              <w:t xml:space="preserve">4 · Low</w:t>
            </w:r>
          </w:p>
        </w:tc>
        <w:tc>
          <w:tcPr>
            <w:tcMar>
              <w:top w:type="dxa" w:w="50"/>
              <w:left w:type="dxa" w:w="90"/>
              <w:bottom w:type="dxa" w:w="50"/>
              <w:right w:type="dxa" w:w="90"/>
            </w:tcMar>
          </w:tcPr>
          <w:p>
            <w:r>
              <w:rPr>
                <w:sz w:val="19"/>
                <w:szCs w:val="19"/>
              </w:rPr>
              <w:t xml:space="preserve">5 · Med</w:t>
            </w:r>
          </w:p>
        </w:tc>
      </w:tr>
    </w:tbl>
    <w:p>
      <w:pPr>
        <w:spacing w:after="80"/>
      </w:pP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Band</w:t>
            </w:r>
          </w:p>
        </w:tc>
        <w:tc>
          <w:tcPr>
            <w:shd w:fill="0d1b2a"/>
            <w:tcMar>
              <w:top w:type="dxa" w:w="60"/>
              <w:left w:type="dxa" w:w="90"/>
              <w:bottom w:type="dxa" w:w="60"/>
              <w:right w:type="dxa" w:w="90"/>
            </w:tcMar>
          </w:tcPr>
          <w:p>
            <w:r>
              <w:rPr>
                <w:b/>
                <w:bCs/>
                <w:color w:val="FFFFFF"/>
                <w:sz w:val="19"/>
                <w:szCs w:val="19"/>
              </w:rPr>
              <w:t xml:space="preserve">Rating</w:t>
            </w:r>
          </w:p>
        </w:tc>
        <w:tc>
          <w:tcPr>
            <w:shd w:fill="0d1b2a"/>
            <w:tcMar>
              <w:top w:type="dxa" w:w="60"/>
              <w:left w:type="dxa" w:w="90"/>
              <w:bottom w:type="dxa" w:w="60"/>
              <w:right w:type="dxa" w:w="90"/>
            </w:tcMar>
          </w:tcPr>
          <w:p>
            <w:r>
              <w:rPr>
                <w:b/>
                <w:bCs/>
                <w:color w:val="FFFFFF"/>
                <w:sz w:val="19"/>
                <w:szCs w:val="19"/>
              </w:rPr>
              <w:t xml:space="preserve">Test-effort response</w:t>
            </w:r>
          </w:p>
        </w:tc>
      </w:tr>
      <w:tr>
        <w:tc>
          <w:tcPr>
            <w:tcMar>
              <w:top w:type="dxa" w:w="50"/>
              <w:left w:type="dxa" w:w="90"/>
              <w:bottom w:type="dxa" w:w="50"/>
              <w:right w:type="dxa" w:w="90"/>
            </w:tcMar>
          </w:tcPr>
          <w:p>
            <w:r>
              <w:rPr>
                <w:sz w:val="19"/>
                <w:szCs w:val="19"/>
              </w:rPr>
              <w:t xml:space="preserve">Critical</w:t>
            </w:r>
          </w:p>
        </w:tc>
        <w:tc>
          <w:tcPr>
            <w:tcMar>
              <w:top w:type="dxa" w:w="50"/>
              <w:left w:type="dxa" w:w="90"/>
              <w:bottom w:type="dxa" w:w="50"/>
              <w:right w:type="dxa" w:w="90"/>
            </w:tcMar>
          </w:tcPr>
          <w:p>
            <w:r>
              <w:rPr>
                <w:sz w:val="19"/>
                <w:szCs w:val="19"/>
              </w:rPr>
              <w:t xml:space="preserve">16-25</w:t>
            </w:r>
          </w:p>
        </w:tc>
        <w:tc>
          <w:tcPr>
            <w:tcMar>
              <w:top w:type="dxa" w:w="50"/>
              <w:left w:type="dxa" w:w="90"/>
              <w:bottom w:type="dxa" w:w="50"/>
              <w:right w:type="dxa" w:w="90"/>
            </w:tcMar>
          </w:tcPr>
          <w:p>
            <w:r>
              <w:rPr>
                <w:sz w:val="19"/>
                <w:szCs w:val="19"/>
              </w:rPr>
              <w:t xml:space="preserve">Deep, planned testing. Multiple techniques, negative and boundary cases, dedicated review, automated regression. Blocks release if unresolved.</w:t>
            </w:r>
          </w:p>
        </w:tc>
      </w:tr>
      <w:tr>
        <w:tc>
          <w:tcPr>
            <w:tcMar>
              <w:top w:type="dxa" w:w="50"/>
              <w:left w:type="dxa" w:w="90"/>
              <w:bottom w:type="dxa" w:w="50"/>
              <w:right w:type="dxa" w:w="90"/>
            </w:tcMar>
          </w:tcPr>
          <w:p>
            <w:r>
              <w:rPr>
                <w:sz w:val="19"/>
                <w:szCs w:val="19"/>
              </w:rPr>
              <w:t xml:space="preserve">High</w:t>
            </w:r>
          </w:p>
        </w:tc>
        <w:tc>
          <w:tcPr>
            <w:tcMar>
              <w:top w:type="dxa" w:w="50"/>
              <w:left w:type="dxa" w:w="90"/>
              <w:bottom w:type="dxa" w:w="50"/>
              <w:right w:type="dxa" w:w="90"/>
            </w:tcMar>
          </w:tcPr>
          <w:p>
            <w:r>
              <w:rPr>
                <w:sz w:val="19"/>
                <w:szCs w:val="19"/>
              </w:rPr>
              <w:t xml:space="preserve">10-15</w:t>
            </w:r>
          </w:p>
        </w:tc>
        <w:tc>
          <w:tcPr>
            <w:tcMar>
              <w:top w:type="dxa" w:w="50"/>
              <w:left w:type="dxa" w:w="90"/>
              <w:bottom w:type="dxa" w:w="50"/>
              <w:right w:type="dxa" w:w="90"/>
            </w:tcMar>
          </w:tcPr>
          <w:p>
            <w:r>
              <w:rPr>
                <w:sz w:val="19"/>
                <w:szCs w:val="19"/>
              </w:rPr>
              <w:t xml:space="preserve">Thorough scripted and exploratory testing of the risk. Regression coverage. Explicit sign-off on residual risk.</w:t>
            </w:r>
          </w:p>
        </w:tc>
      </w:tr>
      <w:tr>
        <w:tc>
          <w:tcPr>
            <w:tcMar>
              <w:top w:type="dxa" w:w="50"/>
              <w:left w:type="dxa" w:w="90"/>
              <w:bottom w:type="dxa" w:w="50"/>
              <w:right w:type="dxa" w:w="90"/>
            </w:tcMar>
          </w:tcPr>
          <w:p>
            <w:r>
              <w:rPr>
                <w:sz w:val="19"/>
                <w:szCs w:val="19"/>
              </w:rPr>
              <w:t xml:space="preserve">Medium</w:t>
            </w:r>
          </w:p>
        </w:tc>
        <w:tc>
          <w:tcPr>
            <w:tcMar>
              <w:top w:type="dxa" w:w="50"/>
              <w:left w:type="dxa" w:w="90"/>
              <w:bottom w:type="dxa" w:w="50"/>
              <w:right w:type="dxa" w:w="90"/>
            </w:tcMar>
          </w:tcPr>
          <w:p>
            <w:r>
              <w:rPr>
                <w:sz w:val="19"/>
                <w:szCs w:val="19"/>
              </w:rPr>
              <w:t xml:space="preserve">5-9</w:t>
            </w:r>
          </w:p>
        </w:tc>
        <w:tc>
          <w:tcPr>
            <w:tcMar>
              <w:top w:type="dxa" w:w="50"/>
              <w:left w:type="dxa" w:w="90"/>
              <w:bottom w:type="dxa" w:w="50"/>
              <w:right w:type="dxa" w:w="90"/>
            </w:tcMar>
          </w:tcPr>
          <w:p>
            <w:r>
              <w:rPr>
                <w:sz w:val="19"/>
                <w:szCs w:val="19"/>
              </w:rPr>
              <w:t xml:space="preserve">Targeted testing, mostly happy path plus the obvious failure modes. Time-box it.</w:t>
            </w:r>
          </w:p>
        </w:tc>
      </w:tr>
      <w:tr>
        <w:tc>
          <w:tcPr>
            <w:tcMar>
              <w:top w:type="dxa" w:w="50"/>
              <w:left w:type="dxa" w:w="90"/>
              <w:bottom w:type="dxa" w:w="50"/>
              <w:right w:type="dxa" w:w="90"/>
            </w:tcMar>
          </w:tcPr>
          <w:p>
            <w:r>
              <w:rPr>
                <w:sz w:val="19"/>
                <w:szCs w:val="19"/>
              </w:rPr>
              <w:t xml:space="preserve">Low</w:t>
            </w:r>
          </w:p>
        </w:tc>
        <w:tc>
          <w:tcPr>
            <w:tcMar>
              <w:top w:type="dxa" w:w="50"/>
              <w:left w:type="dxa" w:w="90"/>
              <w:bottom w:type="dxa" w:w="50"/>
              <w:right w:type="dxa" w:w="90"/>
            </w:tcMar>
          </w:tcPr>
          <w:p>
            <w:r>
              <w:rPr>
                <w:sz w:val="19"/>
                <w:szCs w:val="19"/>
              </w:rPr>
              <w:t xml:space="preserve">1-4</w:t>
            </w:r>
          </w:p>
        </w:tc>
        <w:tc>
          <w:tcPr>
            <w:tcMar>
              <w:top w:type="dxa" w:w="50"/>
              <w:left w:type="dxa" w:w="90"/>
              <w:bottom w:type="dxa" w:w="50"/>
              <w:right w:type="dxa" w:w="90"/>
            </w:tcMar>
          </w:tcPr>
          <w:p>
            <w:r>
              <w:rPr>
                <w:sz w:val="19"/>
                <w:szCs w:val="19"/>
              </w:rPr>
              <w:t xml:space="preserve">Light touch or sanity check only. Acceptable to defer or skip under time pressure — record the decision.</w:t>
            </w:r>
          </w:p>
        </w:tc>
      </w:tr>
    </w:tbl>
    <w:p>
      <w:pPr>
        <w:spacing w:after="80"/>
      </w:pP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Northstar Digital is releasing a change to the Payments squad's checkout flow that also touches the legacy in-house billing service. The QA lead scores five candidate risks. Probability reasoning draws on the known context: the billing monolith is old and fragile, shared staging is unstable, and payments span a third-party provider plus legacy code.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Risk (what could go wrong)</w:t>
            </w:r>
          </w:p>
        </w:tc>
        <w:tc>
          <w:tcPr>
            <w:shd w:fill="0d1b2a"/>
            <w:tcMar>
              <w:top w:type="dxa" w:w="60"/>
              <w:left w:type="dxa" w:w="90"/>
              <w:bottom w:type="dxa" w:w="60"/>
              <w:right w:type="dxa" w:w="90"/>
            </w:tcMar>
          </w:tcPr>
          <w:p>
            <w:r>
              <w:rPr>
                <w:b/>
                <w:bCs/>
                <w:color w:val="FFFFFF"/>
                <w:sz w:val="19"/>
                <w:szCs w:val="19"/>
              </w:rPr>
              <w:t xml:space="preserve">Prob.</w:t>
            </w:r>
          </w:p>
        </w:tc>
        <w:tc>
          <w:tcPr>
            <w:shd w:fill="0d1b2a"/>
            <w:tcMar>
              <w:top w:type="dxa" w:w="60"/>
              <w:left w:type="dxa" w:w="90"/>
              <w:bottom w:type="dxa" w:w="60"/>
              <w:right w:type="dxa" w:w="90"/>
            </w:tcMar>
          </w:tcPr>
          <w:p>
            <w:r>
              <w:rPr>
                <w:b/>
                <w:bCs/>
                <w:color w:val="FFFFFF"/>
                <w:sz w:val="19"/>
                <w:szCs w:val="19"/>
              </w:rPr>
              <w:t xml:space="preserve">Impact</w:t>
            </w:r>
          </w:p>
        </w:tc>
        <w:tc>
          <w:tcPr>
            <w:shd w:fill="0d1b2a"/>
            <w:tcMar>
              <w:top w:type="dxa" w:w="60"/>
              <w:left w:type="dxa" w:w="90"/>
              <w:bottom w:type="dxa" w:w="60"/>
              <w:right w:type="dxa" w:w="90"/>
            </w:tcMar>
          </w:tcPr>
          <w:p>
            <w:r>
              <w:rPr>
                <w:b/>
                <w:bCs/>
                <w:color w:val="FFFFFF"/>
                <w:sz w:val="19"/>
                <w:szCs w:val="19"/>
              </w:rPr>
              <w:t xml:space="preserve">Rating</w:t>
            </w:r>
          </w:p>
        </w:tc>
        <w:tc>
          <w:tcPr>
            <w:shd w:fill="0d1b2a"/>
            <w:tcMar>
              <w:top w:type="dxa" w:w="60"/>
              <w:left w:type="dxa" w:w="90"/>
              <w:bottom w:type="dxa" w:w="60"/>
              <w:right w:type="dxa" w:w="90"/>
            </w:tcMar>
          </w:tcPr>
          <w:p>
            <w:r>
              <w:rPr>
                <w:b/>
                <w:bCs/>
                <w:color w:val="FFFFFF"/>
                <w:sz w:val="19"/>
                <w:szCs w:val="19"/>
              </w:rPr>
              <w:t xml:space="preserve">Band</w:t>
            </w:r>
          </w:p>
        </w:tc>
        <w:tc>
          <w:tcPr>
            <w:shd w:fill="0d1b2a"/>
            <w:tcMar>
              <w:top w:type="dxa" w:w="60"/>
              <w:left w:type="dxa" w:w="90"/>
              <w:bottom w:type="dxa" w:w="60"/>
              <w:right w:type="dxa" w:w="90"/>
            </w:tcMar>
          </w:tcPr>
          <w:p>
            <w:r>
              <w:rPr>
                <w:b/>
                <w:bCs/>
                <w:color w:val="FFFFFF"/>
                <w:sz w:val="19"/>
                <w:szCs w:val="19"/>
              </w:rPr>
              <w:t xml:space="preserve">Why scored this way</w:t>
            </w:r>
          </w:p>
        </w:tc>
      </w:tr>
      <w:tr>
        <w:tc>
          <w:tcPr>
            <w:tcMar>
              <w:top w:type="dxa" w:w="50"/>
              <w:left w:type="dxa" w:w="90"/>
              <w:bottom w:type="dxa" w:w="50"/>
              <w:right w:type="dxa" w:w="90"/>
            </w:tcMar>
          </w:tcPr>
          <w:p>
            <w:r>
              <w:rPr>
                <w:sz w:val="19"/>
                <w:szCs w:val="19"/>
              </w:rPr>
              <w:t xml:space="preserve">Payment is captured by the provider but no order is created (customer charged, nothing delivered)</w:t>
            </w:r>
          </w:p>
        </w:tc>
        <w:tc>
          <w:tcPr>
            <w:tcMar>
              <w:top w:type="dxa" w:w="50"/>
              <w:left w:type="dxa" w:w="90"/>
              <w:bottom w:type="dxa" w:w="50"/>
              <w:right w:type="dxa" w:w="90"/>
            </w:tcMar>
          </w:tcPr>
          <w:p>
            <w:r>
              <w:rPr>
                <w:sz w:val="19"/>
                <w:szCs w:val="19"/>
              </w:rPr>
              <w:t xml:space="preserve">3 Possible</w:t>
            </w:r>
          </w:p>
        </w:tc>
        <w:tc>
          <w:tcPr>
            <w:tcMar>
              <w:top w:type="dxa" w:w="50"/>
              <w:left w:type="dxa" w:w="90"/>
              <w:bottom w:type="dxa" w:w="50"/>
              <w:right w:type="dxa" w:w="90"/>
            </w:tcMar>
          </w:tcPr>
          <w:p>
            <w:r>
              <w:rPr>
                <w:sz w:val="19"/>
                <w:szCs w:val="19"/>
              </w:rPr>
              <w:t xml:space="preserve">5 Severe</w:t>
            </w:r>
          </w:p>
        </w:tc>
        <w:tc>
          <w:tcPr>
            <w:tcMar>
              <w:top w:type="dxa" w:w="50"/>
              <w:left w:type="dxa" w:w="90"/>
              <w:bottom w:type="dxa" w:w="50"/>
              <w:right w:type="dxa" w:w="90"/>
            </w:tcMar>
          </w:tcPr>
          <w:p>
            <w:r>
              <w:rPr>
                <w:sz w:val="19"/>
                <w:szCs w:val="19"/>
              </w:rPr>
              <w:t xml:space="preserve">15</w:t>
            </w:r>
          </w:p>
        </w:tc>
        <w:tc>
          <w:tcPr>
            <w:tcMar>
              <w:top w:type="dxa" w:w="50"/>
              <w:left w:type="dxa" w:w="90"/>
              <w:bottom w:type="dxa" w:w="50"/>
              <w:right w:type="dxa" w:w="90"/>
            </w:tcMar>
          </w:tcPr>
          <w:p>
            <w:r>
              <w:rPr>
                <w:sz w:val="19"/>
                <w:szCs w:val="19"/>
              </w:rPr>
              <w:t xml:space="preserve">High</w:t>
            </w:r>
          </w:p>
        </w:tc>
        <w:tc>
          <w:tcPr>
            <w:tcMar>
              <w:top w:type="dxa" w:w="50"/>
              <w:left w:type="dxa" w:w="90"/>
              <w:bottom w:type="dxa" w:w="50"/>
              <w:right w:type="dxa" w:w="90"/>
            </w:tcMar>
          </w:tcPr>
          <w:p>
            <w:r>
              <w:rPr>
                <w:sz w:val="19"/>
                <w:szCs w:val="19"/>
              </w:rPr>
              <w:t xml:space="preserve">Split responsibility between provider and legacy billing makes a mismatch plausible; customer harm and refunds are severe.</w:t>
            </w:r>
          </w:p>
        </w:tc>
      </w:tr>
      <w:tr>
        <w:tc>
          <w:tcPr>
            <w:tcMar>
              <w:top w:type="dxa" w:w="50"/>
              <w:left w:type="dxa" w:w="90"/>
              <w:bottom w:type="dxa" w:w="50"/>
              <w:right w:type="dxa" w:w="90"/>
            </w:tcMar>
          </w:tcPr>
          <w:p>
            <w:r>
              <w:rPr>
                <w:sz w:val="19"/>
                <w:szCs w:val="19"/>
              </w:rPr>
              <w:t xml:space="preserve">Billing data corruption — a wrong amount written to the legacy billing records</w:t>
            </w:r>
          </w:p>
        </w:tc>
        <w:tc>
          <w:tcPr>
            <w:tcMar>
              <w:top w:type="dxa" w:w="50"/>
              <w:left w:type="dxa" w:w="90"/>
              <w:bottom w:type="dxa" w:w="50"/>
              <w:right w:type="dxa" w:w="90"/>
            </w:tcMar>
          </w:tcPr>
          <w:p>
            <w:r>
              <w:rPr>
                <w:sz w:val="19"/>
                <w:szCs w:val="19"/>
              </w:rPr>
              <w:t xml:space="preserve">2 Unlikely</w:t>
            </w:r>
          </w:p>
        </w:tc>
        <w:tc>
          <w:tcPr>
            <w:tcMar>
              <w:top w:type="dxa" w:w="50"/>
              <w:left w:type="dxa" w:w="90"/>
              <w:bottom w:type="dxa" w:w="50"/>
              <w:right w:type="dxa" w:w="90"/>
            </w:tcMar>
          </w:tcPr>
          <w:p>
            <w:r>
              <w:rPr>
                <w:sz w:val="19"/>
                <w:szCs w:val="19"/>
              </w:rPr>
              <w:t xml:space="preserve">5 Severe</w:t>
            </w:r>
          </w:p>
        </w:tc>
        <w:tc>
          <w:tcPr>
            <w:tcMar>
              <w:top w:type="dxa" w:w="50"/>
              <w:left w:type="dxa" w:w="90"/>
              <w:bottom w:type="dxa" w:w="50"/>
              <w:right w:type="dxa" w:w="90"/>
            </w:tcMar>
          </w:tcPr>
          <w:p>
            <w:r>
              <w:rPr>
                <w:sz w:val="19"/>
                <w:szCs w:val="19"/>
              </w:rPr>
              <w:t xml:space="preserve">10</w:t>
            </w:r>
          </w:p>
        </w:tc>
        <w:tc>
          <w:tcPr>
            <w:tcMar>
              <w:top w:type="dxa" w:w="50"/>
              <w:left w:type="dxa" w:w="90"/>
              <w:bottom w:type="dxa" w:w="50"/>
              <w:right w:type="dxa" w:w="90"/>
            </w:tcMar>
          </w:tcPr>
          <w:p>
            <w:r>
              <w:rPr>
                <w:sz w:val="19"/>
                <w:szCs w:val="19"/>
              </w:rPr>
              <w:t xml:space="preserve">High</w:t>
            </w:r>
          </w:p>
        </w:tc>
        <w:tc>
          <w:tcPr>
            <w:tcMar>
              <w:top w:type="dxa" w:w="50"/>
              <w:left w:type="dxa" w:w="90"/>
              <w:bottom w:type="dxa" w:w="50"/>
              <w:right w:type="dxa" w:w="90"/>
            </w:tcMar>
          </w:tcPr>
          <w:p>
            <w:r>
              <w:rPr>
                <w:sz w:val="19"/>
                <w:szCs w:val="19"/>
              </w:rPr>
              <w:t xml:space="preserve">The change is well isolated, but corrupted financial records are catastrophic and hard to unwind, so it still lands High.</w:t>
            </w:r>
          </w:p>
        </w:tc>
      </w:tr>
      <w:tr>
        <w:tc>
          <w:tcPr>
            <w:tcMar>
              <w:top w:type="dxa" w:w="50"/>
              <w:left w:type="dxa" w:w="90"/>
              <w:bottom w:type="dxa" w:w="50"/>
              <w:right w:type="dxa" w:w="90"/>
            </w:tcMar>
          </w:tcPr>
          <w:p>
            <w:r>
              <w:rPr>
                <w:sz w:val="19"/>
                <w:szCs w:val="19"/>
              </w:rPr>
              <w:t xml:space="preserve">Intermittent checkout failure under load or on flaky staging</w:t>
            </w:r>
          </w:p>
        </w:tc>
        <w:tc>
          <w:tcPr>
            <w:tcMar>
              <w:top w:type="dxa" w:w="50"/>
              <w:left w:type="dxa" w:w="90"/>
              <w:bottom w:type="dxa" w:w="50"/>
              <w:right w:type="dxa" w:w="90"/>
            </w:tcMar>
          </w:tcPr>
          <w:p>
            <w:r>
              <w:rPr>
                <w:sz w:val="19"/>
                <w:szCs w:val="19"/>
              </w:rPr>
              <w:t xml:space="preserve">3 Possible</w:t>
            </w:r>
          </w:p>
        </w:tc>
        <w:tc>
          <w:tcPr>
            <w:tcMar>
              <w:top w:type="dxa" w:w="50"/>
              <w:left w:type="dxa" w:w="90"/>
              <w:bottom w:type="dxa" w:w="50"/>
              <w:right w:type="dxa" w:w="90"/>
            </w:tcMar>
          </w:tcPr>
          <w:p>
            <w:r>
              <w:rPr>
                <w:sz w:val="19"/>
                <w:szCs w:val="19"/>
              </w:rPr>
              <w:t xml:space="preserve">4 Major</w:t>
            </w:r>
          </w:p>
        </w:tc>
        <w:tc>
          <w:tcPr>
            <w:tcMar>
              <w:top w:type="dxa" w:w="50"/>
              <w:left w:type="dxa" w:w="90"/>
              <w:bottom w:type="dxa" w:w="50"/>
              <w:right w:type="dxa" w:w="90"/>
            </w:tcMar>
          </w:tcPr>
          <w:p>
            <w:r>
              <w:rPr>
                <w:sz w:val="19"/>
                <w:szCs w:val="19"/>
              </w:rPr>
              <w:t xml:space="preserve">12</w:t>
            </w:r>
          </w:p>
        </w:tc>
        <w:tc>
          <w:tcPr>
            <w:tcMar>
              <w:top w:type="dxa" w:w="50"/>
              <w:left w:type="dxa" w:w="90"/>
              <w:bottom w:type="dxa" w:w="50"/>
              <w:right w:type="dxa" w:w="90"/>
            </w:tcMar>
          </w:tcPr>
          <w:p>
            <w:r>
              <w:rPr>
                <w:sz w:val="19"/>
                <w:szCs w:val="19"/>
              </w:rPr>
              <w:t xml:space="preserve">High</w:t>
            </w:r>
          </w:p>
        </w:tc>
        <w:tc>
          <w:tcPr>
            <w:tcMar>
              <w:top w:type="dxa" w:w="50"/>
              <w:left w:type="dxa" w:w="90"/>
              <w:bottom w:type="dxa" w:w="50"/>
              <w:right w:type="dxa" w:w="90"/>
            </w:tcMar>
          </w:tcPr>
          <w:p>
            <w:r>
              <w:rPr>
                <w:sz w:val="19"/>
                <w:szCs w:val="19"/>
              </w:rPr>
              <w:t xml:space="preserve">Shared staging is unstable and the symptom is intermittent; lost sales and lost trust make the impact Major.</w:t>
            </w:r>
          </w:p>
        </w:tc>
      </w:tr>
      <w:tr>
        <w:tc>
          <w:tcPr>
            <w:tcMar>
              <w:top w:type="dxa" w:w="50"/>
              <w:left w:type="dxa" w:w="90"/>
              <w:bottom w:type="dxa" w:w="50"/>
              <w:right w:type="dxa" w:w="90"/>
            </w:tcMar>
          </w:tcPr>
          <w:p>
            <w:r>
              <w:rPr>
                <w:sz w:val="19"/>
                <w:szCs w:val="19"/>
              </w:rPr>
              <w:t xml:space="preserve">Analytics event for "purchase" does not fire, so the funnel report is wrong</w:t>
            </w:r>
          </w:p>
        </w:tc>
        <w:tc>
          <w:tcPr>
            <w:tcMar>
              <w:top w:type="dxa" w:w="50"/>
              <w:left w:type="dxa" w:w="90"/>
              <w:bottom w:type="dxa" w:w="50"/>
              <w:right w:type="dxa" w:w="90"/>
            </w:tcMar>
          </w:tcPr>
          <w:p>
            <w:r>
              <w:rPr>
                <w:sz w:val="19"/>
                <w:szCs w:val="19"/>
              </w:rPr>
              <w:t xml:space="preserve">3 Possible</w:t>
            </w:r>
          </w:p>
        </w:tc>
        <w:tc>
          <w:tcPr>
            <w:tcMar>
              <w:top w:type="dxa" w:w="50"/>
              <w:left w:type="dxa" w:w="90"/>
              <w:bottom w:type="dxa" w:w="50"/>
              <w:right w:type="dxa" w:w="90"/>
            </w:tcMar>
          </w:tcPr>
          <w:p>
            <w:r>
              <w:rPr>
                <w:sz w:val="19"/>
                <w:szCs w:val="19"/>
              </w:rPr>
              <w:t xml:space="preserve">2 Minor</w:t>
            </w:r>
          </w:p>
        </w:tc>
        <w:tc>
          <w:tcPr>
            <w:tcMar>
              <w:top w:type="dxa" w:w="50"/>
              <w:left w:type="dxa" w:w="90"/>
              <w:bottom w:type="dxa" w:w="50"/>
              <w:right w:type="dxa" w:w="90"/>
            </w:tcMar>
          </w:tcPr>
          <w:p>
            <w:r>
              <w:rPr>
                <w:sz w:val="19"/>
                <w:szCs w:val="19"/>
              </w:rPr>
              <w:t xml:space="preserve">6</w:t>
            </w:r>
          </w:p>
        </w:tc>
        <w:tc>
          <w:tcPr>
            <w:tcMar>
              <w:top w:type="dxa" w:w="50"/>
              <w:left w:type="dxa" w:w="90"/>
              <w:bottom w:type="dxa" w:w="50"/>
              <w:right w:type="dxa" w:w="90"/>
            </w:tcMar>
          </w:tcPr>
          <w:p>
            <w:r>
              <w:rPr>
                <w:sz w:val="19"/>
                <w:szCs w:val="19"/>
              </w:rPr>
              <w:t xml:space="preserve">Medium</w:t>
            </w:r>
          </w:p>
        </w:tc>
        <w:tc>
          <w:tcPr>
            <w:tcMar>
              <w:top w:type="dxa" w:w="50"/>
              <w:left w:type="dxa" w:w="90"/>
              <w:bottom w:type="dxa" w:w="50"/>
              <w:right w:type="dxa" w:w="90"/>
            </w:tcMar>
          </w:tcPr>
          <w:p>
            <w:r>
              <w:rPr>
                <w:sz w:val="19"/>
                <w:szCs w:val="19"/>
              </w:rPr>
              <w:t xml:space="preserve">Reasonably likely with a checkout change, but it degrades a report rather than harming a customer.</w:t>
            </w:r>
          </w:p>
        </w:tc>
      </w:tr>
      <w:tr>
        <w:tc>
          <w:tcPr>
            <w:tcMar>
              <w:top w:type="dxa" w:w="50"/>
              <w:left w:type="dxa" w:w="90"/>
              <w:bottom w:type="dxa" w:w="50"/>
              <w:right w:type="dxa" w:w="90"/>
            </w:tcMar>
          </w:tcPr>
          <w:p>
            <w:r>
              <w:rPr>
                <w:sz w:val="19"/>
                <w:szCs w:val="19"/>
              </w:rPr>
              <w:t xml:space="preserve">Minor visual defect — the discount label is slightly misaligned on mobile</w:t>
            </w:r>
          </w:p>
        </w:tc>
        <w:tc>
          <w:tcPr>
            <w:tcMar>
              <w:top w:type="dxa" w:w="50"/>
              <w:left w:type="dxa" w:w="90"/>
              <w:bottom w:type="dxa" w:w="50"/>
              <w:right w:type="dxa" w:w="90"/>
            </w:tcMar>
          </w:tcPr>
          <w:p>
            <w:r>
              <w:rPr>
                <w:sz w:val="19"/>
                <w:szCs w:val="19"/>
              </w:rPr>
              <w:t xml:space="preserve">4 Likely</w:t>
            </w:r>
          </w:p>
        </w:tc>
        <w:tc>
          <w:tcPr>
            <w:tcMar>
              <w:top w:type="dxa" w:w="50"/>
              <w:left w:type="dxa" w:w="90"/>
              <w:bottom w:type="dxa" w:w="50"/>
              <w:right w:type="dxa" w:w="90"/>
            </w:tcMar>
          </w:tcPr>
          <w:p>
            <w:r>
              <w:rPr>
                <w:sz w:val="19"/>
                <w:szCs w:val="19"/>
              </w:rPr>
              <w:t xml:space="preserve">1 Negligible</w:t>
            </w:r>
          </w:p>
        </w:tc>
        <w:tc>
          <w:tcPr>
            <w:tcMar>
              <w:top w:type="dxa" w:w="50"/>
              <w:left w:type="dxa" w:w="90"/>
              <w:bottom w:type="dxa" w:w="50"/>
              <w:right w:type="dxa" w:w="90"/>
            </w:tcMar>
          </w:tcPr>
          <w:p>
            <w:r>
              <w:rPr>
                <w:sz w:val="19"/>
                <w:szCs w:val="19"/>
              </w:rPr>
              <w:t xml:space="preserve">4</w:t>
            </w:r>
          </w:p>
        </w:tc>
        <w:tc>
          <w:tcPr>
            <w:tcMar>
              <w:top w:type="dxa" w:w="50"/>
              <w:left w:type="dxa" w:w="90"/>
              <w:bottom w:type="dxa" w:w="50"/>
              <w:right w:type="dxa" w:w="90"/>
            </w:tcMar>
          </w:tcPr>
          <w:p>
            <w:r>
              <w:rPr>
                <w:sz w:val="19"/>
                <w:szCs w:val="19"/>
              </w:rPr>
              <w:t xml:space="preserve">Low</w:t>
            </w:r>
          </w:p>
        </w:tc>
        <w:tc>
          <w:tcPr>
            <w:tcMar>
              <w:top w:type="dxa" w:w="50"/>
              <w:left w:type="dxa" w:w="90"/>
              <w:bottom w:type="dxa" w:w="50"/>
              <w:right w:type="dxa" w:w="90"/>
            </w:tcMar>
          </w:tcPr>
          <w:p>
            <w:r>
              <w:rPr>
                <w:sz w:val="19"/>
                <w:szCs w:val="19"/>
              </w:rPr>
              <w:t xml:space="preserve">Cosmetic churn is common with UI changes, but the consequence is trivial.</w:t>
            </w:r>
          </w:p>
        </w:tc>
      </w:tr>
    </w:tbl>
    <w:p>
      <w:pPr>
        <w:spacing w:after="80"/>
      </w:pPr>
    </w:p>
    <w:p>
      <w:pPr>
        <w:spacing w:after="90"/>
      </w:pPr>
      <w:r>
        <w:rPr>
          <w:sz w:val="21"/>
          <w:szCs w:val="21"/>
        </w:rPr>
        <w:t xml:space="preserve">What the plan then becomes: the two High payment/billing risks and the intermittent-failure risk absorb the bulk of the effort — deep exploratory testing of the capture-to-order path, deliberate negative and reconciliation checks against billing, and a repeated run to expose intermittence. The analytics gap gets a single targeted check. The visual defect is logged for later and would not block the release. The QA lead can now stand in front of Tom Fielding, the Head of Product, and say precisely where the time is going and why the cosmetic issue is not getting any.</w:t>
      </w: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Risk (what could go wrong)</w:t>
            </w:r>
          </w:p>
        </w:tc>
        <w:tc>
          <w:tcPr>
            <w:shd w:fill="0d1b2a"/>
            <w:tcMar>
              <w:top w:type="dxa" w:w="60"/>
              <w:left w:type="dxa" w:w="90"/>
              <w:bottom w:type="dxa" w:w="60"/>
              <w:right w:type="dxa" w:w="90"/>
            </w:tcMar>
          </w:tcPr>
          <w:p>
            <w:r>
              <w:rPr>
                <w:b/>
                <w:bCs/>
                <w:color w:val="FFFFFF"/>
                <w:sz w:val="19"/>
                <w:szCs w:val="19"/>
              </w:rPr>
              <w:t xml:space="preserve">Prob. (1-5)</w:t>
            </w:r>
          </w:p>
        </w:tc>
        <w:tc>
          <w:tcPr>
            <w:shd w:fill="0d1b2a"/>
            <w:tcMar>
              <w:top w:type="dxa" w:w="60"/>
              <w:left w:type="dxa" w:w="90"/>
              <w:bottom w:type="dxa" w:w="60"/>
              <w:right w:type="dxa" w:w="90"/>
            </w:tcMar>
          </w:tcPr>
          <w:p>
            <w:r>
              <w:rPr>
                <w:b/>
                <w:bCs/>
                <w:color w:val="FFFFFF"/>
                <w:sz w:val="19"/>
                <w:szCs w:val="19"/>
              </w:rPr>
              <w:t xml:space="preserve">Impact (1-5)</w:t>
            </w:r>
          </w:p>
        </w:tc>
        <w:tc>
          <w:tcPr>
            <w:shd w:fill="0d1b2a"/>
            <w:tcMar>
              <w:top w:type="dxa" w:w="60"/>
              <w:left w:type="dxa" w:w="90"/>
              <w:bottom w:type="dxa" w:w="60"/>
              <w:right w:type="dxa" w:w="90"/>
            </w:tcMar>
          </w:tcPr>
          <w:p>
            <w:r>
              <w:rPr>
                <w:b/>
                <w:bCs/>
                <w:color w:val="FFFFFF"/>
                <w:sz w:val="19"/>
                <w:szCs w:val="19"/>
              </w:rPr>
              <w:t xml:space="preserve">Rating</w:t>
            </w:r>
          </w:p>
        </w:tc>
        <w:tc>
          <w:tcPr>
            <w:shd w:fill="0d1b2a"/>
            <w:tcMar>
              <w:top w:type="dxa" w:w="60"/>
              <w:left w:type="dxa" w:w="90"/>
              <w:bottom w:type="dxa" w:w="60"/>
              <w:right w:type="dxa" w:w="90"/>
            </w:tcMar>
          </w:tcPr>
          <w:p>
            <w:r>
              <w:rPr>
                <w:b/>
                <w:bCs/>
                <w:color w:val="FFFFFF"/>
                <w:sz w:val="19"/>
                <w:szCs w:val="19"/>
              </w:rPr>
              <w:t xml:space="preserve">Band</w:t>
            </w:r>
          </w:p>
        </w:tc>
        <w:tc>
          <w:tcPr>
            <w:shd w:fill="0d1b2a"/>
            <w:tcMar>
              <w:top w:type="dxa" w:w="60"/>
              <w:left w:type="dxa" w:w="90"/>
              <w:bottom w:type="dxa" w:w="60"/>
              <w:right w:type="dxa" w:w="90"/>
            </w:tcMar>
          </w:tcPr>
          <w:p>
            <w:r>
              <w:rPr>
                <w:b/>
                <w:bCs/>
                <w:color w:val="FFFFFF"/>
                <w:sz w:val="19"/>
                <w:szCs w:val="19"/>
              </w:rPr>
              <w:t xml:space="preserve">Test response / owner</w:t>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p>
      <w:pPr>
        <w:spacing w:after="90"/>
      </w:pPr>
      <w:r>
        <w:rPr>
          <w:sz w:val="21"/>
          <w:szCs w:val="21"/>
        </w:rPr>
        <w:t xml:space="preserve">Reuse the probability, impact and band definitions above unchanged so scores stay comparable across releases and squads.</w:t>
      </w: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Scoring everything High so nothing is prioritised; treating the numbers as science rather than a shared conversation; scoring probability on gut feel with no reference to change size or defect history; forgetting that a rare event with severe impact (data corruption) still deserves real effort; and building the matrix alone, so product and engineering never own the risk with you.</w:t>
      </w:r>
    </w:p>
    <w:p>
      <w:pPr>
        <w:pStyle w:val="ListParagraph"/>
        <w:numPr>
          <w:ilvl w:val="0"/>
          <w:numId w:val="1"/>
        </w:numPr>
        <w:spacing w:after="40"/>
      </w:pPr>
      <w:r>
        <w:rPr>
          <w:sz w:val="21"/>
          <w:szCs w:val="21"/>
        </w:rPr>
        <w:t xml:space="preserve">Vague risks ("the API") that cannot be tested for — always phrase risks as a specific failure.</w:t>
      </w:r>
    </w:p>
    <w:p>
      <w:pPr>
        <w:pStyle w:val="ListParagraph"/>
        <w:numPr>
          <w:ilvl w:val="0"/>
          <w:numId w:val="1"/>
        </w:numPr>
        <w:spacing w:after="40"/>
      </w:pPr>
      <w:r>
        <w:rPr>
          <w:sz w:val="21"/>
          <w:szCs w:val="21"/>
        </w:rPr>
        <w:t xml:space="preserve">Never revisiting the matrix, so it reflects the plan you imagined, not the product you shipped.</w:t>
      </w:r>
    </w:p>
    <w:p>
      <w:pPr>
        <w:pStyle w:val="ListParagraph"/>
        <w:numPr>
          <w:ilvl w:val="0"/>
          <w:numId w:val="1"/>
        </w:numPr>
        <w:spacing w:after="40"/>
      </w:pPr>
      <w:r>
        <w:rPr>
          <w:sz w:val="21"/>
          <w:szCs w:val="21"/>
        </w:rPr>
        <w:t xml:space="preserve">Confusing severity of a defect with impact of a risk — impact is about business consequence, not how loud the crash is.</w:t>
      </w:r>
    </w:p>
    <w:p>
      <w:pPr>
        <w:pBdr>
          <w:bottom w:val="single" w:color="e9b949" w:sz="12"/>
        </w:pBdr>
        <w:spacing w:after="100" w:before="260"/>
      </w:pPr>
      <w:r>
        <w:rPr>
          <w:b/>
          <w:bCs/>
          <w:color w:val="d4a438"/>
          <w:sz w:val="30"/>
          <w:szCs w:val="30"/>
        </w:rPr>
        <w:t xml:space="preserve">How to interpret the results</w:t>
      </w:r>
    </w:p>
    <w:p>
      <w:pPr>
        <w:pStyle w:val="ListParagraph"/>
        <w:numPr>
          <w:ilvl w:val="0"/>
          <w:numId w:val="1"/>
        </w:numPr>
        <w:spacing w:after="40"/>
      </w:pPr>
      <w:r>
        <w:rPr>
          <w:sz w:val="21"/>
          <w:szCs w:val="21"/>
        </w:rPr>
        <w:t xml:space="preserve">Critical and High risks are your test plan. If you can only test some things, test these — the matrix is your written justification for the rest.</w:t>
      </w:r>
    </w:p>
    <w:p>
      <w:pPr>
        <w:pStyle w:val="ListParagraph"/>
        <w:numPr>
          <w:ilvl w:val="0"/>
          <w:numId w:val="1"/>
        </w:numPr>
        <w:spacing w:after="40"/>
      </w:pPr>
      <w:r>
        <w:rPr>
          <w:sz w:val="21"/>
          <w:szCs w:val="21"/>
        </w:rPr>
        <w:t xml:space="preserve">A cluster of Critical risks in one area is a signal to raise scope or timeline before the release, not after.</w:t>
      </w:r>
    </w:p>
    <w:p>
      <w:pPr>
        <w:pStyle w:val="ListParagraph"/>
        <w:numPr>
          <w:ilvl w:val="0"/>
          <w:numId w:val="1"/>
        </w:numPr>
        <w:spacing w:after="40"/>
      </w:pPr>
      <w:r>
        <w:rPr>
          <w:sz w:val="21"/>
          <w:szCs w:val="21"/>
        </w:rPr>
        <w:t xml:space="preserve">Low risks are candidates to defer, automate later, or accept explicitly. "We chose not to test X because it scored 3" is a professional statement; silence is not.</w:t>
      </w:r>
    </w:p>
    <w:p>
      <w:pPr>
        <w:pStyle w:val="ListParagraph"/>
        <w:numPr>
          <w:ilvl w:val="0"/>
          <w:numId w:val="1"/>
        </w:numPr>
        <w:spacing w:after="40"/>
      </w:pPr>
      <w:r>
        <w:rPr>
          <w:sz w:val="21"/>
          <w:szCs w:val="21"/>
        </w:rPr>
        <w:t xml:space="preserve">A matrix where nearly everything is High usually means the scoring is uncalibrated — recheck probability against real evidence.</w:t>
      </w:r>
    </w:p>
    <w:p>
      <w:pPr>
        <w:pStyle w:val="ListParagraph"/>
        <w:numPr>
          <w:ilvl w:val="0"/>
          <w:numId w:val="1"/>
        </w:numPr>
        <w:spacing w:after="40"/>
      </w:pPr>
      <w:r>
        <w:rPr>
          <w:sz w:val="21"/>
          <w:szCs w:val="21"/>
        </w:rPr>
        <w:t xml:space="preserve">Residual risk is what remains High after testing. That, not a pass rate, is what you report at go/no-go.</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Score probability from evidence, not instinct. Before you write a number, ask: how large is the change, how old and fragile is the code, and how many defects has this area produced before? A matrix built on evidence survives challenge in the room; one built on feelings collapses the moment an engineer disagrees.</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Risk Matrix</dc:title>
  <dc:creator>Inside STLC Academy</dc:creator>
  <cp:lastModifiedBy>Un-named</cp:lastModifiedBy>
  <cp:revision>1</cp:revision>
  <dcterms:created xsi:type="dcterms:W3CDTF">2026-08-10T13:22:58.102Z</dcterms:created>
  <dcterms:modified xsi:type="dcterms:W3CDTF">2026-08-10T13:22:58.102Z</dcterms:modified>
</cp:coreProperties>
</file>

<file path=docProps/custom.xml><?xml version="1.0" encoding="utf-8"?>
<Properties xmlns="http://schemas.openxmlformats.org/officeDocument/2006/custom-properties" xmlns:vt="http://schemas.openxmlformats.org/officeDocument/2006/docPropsVTypes"/>
</file>