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S-AES用户指南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从main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文件夹中的S-AES.exe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启动界面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770120" cy="411480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选择解密、加密、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中间相遇攻击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密码分组链(CBC)模式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4个功能。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2583180" cy="251460"/>
            <wp:effectExtent l="0" t="0" r="7620" b="762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在加密和解密功能中，可通过下拉框选择binary，ascii，gbk，gb2312，gb18030五种编码。在中间相遇攻击和密码分组链(CBC)模式中，仅支持二进制编码(binary)。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1950720" cy="1264920"/>
            <wp:effectExtent l="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在明文或密文中按对应的编码格式输入。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binary编码，输入十六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进制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字符，字符串长度限制为4的倍数。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2217420" cy="350520"/>
            <wp:effectExtent l="0" t="0" r="7620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ascii，gbk，gb2312，gb18030编码，输入任意长度字符串，要求对应编码支持该字符。ascii支持ASCII字符，gb2312支持通用汉字字符，gbk支持绝大多数汉字字符，gb18030支持少数民族字符。ᠠᠡᠢᠣ ᠤᠥ ᠦᠧ</w:t>
      </w:r>
    </w:p>
    <w:p>
      <w:pPr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2217420" cy="342900"/>
            <wp:effectExtent l="0" t="0" r="7620" b="762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在密钥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或初始向量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中输入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十六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进制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字符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2156460" cy="350520"/>
            <wp:effectExtent l="0" t="0" r="762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每项功能只需输入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可编辑的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输入框，点击按钮，在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不可编辑的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输入框显示结果。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1.加密将明文通过密钥加密成密文，可以选择普通加密，双重加密，三重加密(32bits)，三重加密(48bits)四种模式。</w:t>
      </w:r>
    </w:p>
    <w:p>
      <w:r>
        <w:drawing>
          <wp:inline distT="0" distB="0" distL="114300" distR="114300">
            <wp:extent cx="4792980" cy="4114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2.解密将密文通过密钥解密成明文，可以选择普通解密，双重解密，三重解密(32bits)，三重解密(48bits)四种模式。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92980" cy="4114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3.中间相遇攻击通过明密文对来破解双重加密，来获取两个密钥，每次点击破解返回一个结果，在显示所有结果后则遍历完成，显示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无后序密钥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，运行可能较慢。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双重加密</w:t>
      </w:r>
    </w:p>
    <w:p>
      <w:r>
        <w:drawing>
          <wp:inline distT="0" distB="0" distL="114300" distR="114300">
            <wp:extent cx="4647565" cy="3996690"/>
            <wp:effectExtent l="0" t="0" r="6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中间相遇攻击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85360" cy="411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4.密码分组链(CBC)模式相较于普通加密解密，添加了初始向量，对明密文对进行了混淆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普通加密</w:t>
      </w:r>
    </w:p>
    <w:p>
      <w:r>
        <w:drawing>
          <wp:inline distT="0" distB="0" distL="114300" distR="114300">
            <wp:extent cx="4667885" cy="4013835"/>
            <wp:effectExtent l="0" t="0" r="1079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CBC加密</w:t>
      </w:r>
    </w:p>
    <w:p>
      <w:r>
        <w:drawing>
          <wp:inline distT="0" distB="0" distL="114300" distR="114300">
            <wp:extent cx="4785360" cy="4114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  <w:lang w:val="en-US" w:eastAsia="zh-CN"/>
        </w:rPr>
        <w:t>CBC解密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85360" cy="4114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密钥和初始向量位数必须为4位</w:t>
      </w:r>
    </w:p>
    <w:p>
      <w:r>
        <w:drawing>
          <wp:inline distT="0" distB="0" distL="114300" distR="114300">
            <wp:extent cx="4418330" cy="3799205"/>
            <wp:effectExtent l="0" t="0" r="127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  <w:lang w:val="en-US" w:eastAsia="zh-CN"/>
        </w:rPr>
        <w:t>密钥和初始向量必须为十六进制字符</w:t>
      </w:r>
    </w:p>
    <w:p>
      <w:r>
        <w:drawing>
          <wp:inline distT="0" distB="0" distL="114300" distR="114300">
            <wp:extent cx="4433570" cy="3812540"/>
            <wp:effectExtent l="0" t="0" r="127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binary编码明密文位数必须为4及4的倍数位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85360" cy="4114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明密文必须为对应编码支持的字符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77740" cy="41148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736832"/>
    <w:multiLevelType w:val="singleLevel"/>
    <w:tmpl w:val="C57368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25B2F"/>
    <w:rsid w:val="180E0BB2"/>
    <w:rsid w:val="19525B2F"/>
    <w:rsid w:val="1E9E6377"/>
    <w:rsid w:val="2AA92735"/>
    <w:rsid w:val="2F4F623F"/>
    <w:rsid w:val="36754420"/>
    <w:rsid w:val="69EC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公式"/>
    <w:basedOn w:val="1"/>
    <w:qFormat/>
    <w:uiPriority w:val="0"/>
    <w:pPr>
      <w:tabs>
        <w:tab w:val="center" w:pos="3570"/>
        <w:tab w:val="right" w:pos="8400"/>
      </w:tabs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452</Words>
  <Characters>554</Characters>
  <Lines>0</Lines>
  <Paragraphs>0</Paragraphs>
  <TotalTime>0</TotalTime>
  <ScaleCrop>false</ScaleCrop>
  <LinksUpToDate>false</LinksUpToDate>
  <CharactersWithSpaces>556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2023-10-04T13:54:00Z</dcterms:created>
  <dc:creator>又菜又贪</dc:creator>
  <cp:lastModifiedBy>又菜又贪</cp:lastModifiedBy>
  <dcterms:modified xsi:type="dcterms:W3CDTF">2023-10-27T08:02:11Z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DF1B6A5D41F14395B056AF4C73078565</vt:lpwstr>
  </property>
</Properties>
</file>