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oto Sans CJK SC" w:hAnsi="Noto Sans CJK SC" w:eastAsia="Noto Sans CJK SC"/>
          <w:b/>
          <w:color w:val="182F5E"/>
          <w:sz w:val="40"/>
        </w:rPr>
        <w:t>面向主动健康与健康老龄化的</w:t>
        <w:br/>
        <w:t>精准健康智能体系统建设方案</w:t>
      </w:r>
    </w:p>
    <w:p>
      <w:pPr>
        <w:spacing w:before="240"/>
        <w:jc w:val="center"/>
      </w:pPr>
      <w:r>
        <w:rPr>
          <w:rFonts w:ascii="Noto Serif CJK SC" w:hAnsi="Noto Serif CJK SC" w:eastAsia="Noto Serif CJK SC"/>
          <w:color w:val="5A5A5A"/>
          <w:sz w:val="24"/>
        </w:rPr>
        <w:t>—— 基于谱学衰老时钟与代谢组学科研成果转化的政府汇报稿</w:t>
      </w:r>
    </w:p>
    <w:tbl>
      <w:tblPr>
        <w:tblW w:type="auto" w:w="0"/>
        <w:jc w:val="center"/>
        <w:tblLayout w:type="fixed"/>
        <w:tblLook w:firstColumn="1" w:firstRow="1" w:lastColumn="0" w:lastRow="0" w:noHBand="0" w:noVBand="1" w:val="04A0"/>
        <w:tblBorders>
          <w:top w:val="single" w:sz="6" w:space="0" w:color="D6E0EF"/>
          <w:left w:val="single" w:sz="6" w:space="0" w:color="D6E0EF"/>
          <w:bottom w:val="single" w:sz="6" w:space="0" w:color="D6E0EF"/>
          <w:right w:val="single" w:sz="6" w:space="0" w:color="D6E0EF"/>
          <w:insideH w:val="single" w:sz="6" w:space="0" w:color="D6E0EF"/>
          <w:insideV w:val="single" w:sz="6" w:space="0" w:color="D6E0EF"/>
        </w:tblBorders>
      </w:tblPr>
      <w:tblGrid>
        <w:gridCol w:w="8391"/>
      </w:tblGrid>
      <w:tr>
        <w:tc>
          <w:tcPr>
            <w:tcW w:type="dxa" w:w="9178"/>
            <w:shd w:fill="EEF3FB"/>
            <w:tcMar>
              <w:top w:w="170" w:type="dxa"/>
              <w:start w:w="180" w:type="dxa"/>
              <w:bottom w:w="170" w:type="dxa"/>
              <w:end w:w="180" w:type="dxa"/>
            </w:tcMar>
          </w:tcPr>
          <w:p>
            <w:pPr>
              <w:pStyle w:val="BodyNoIndent"/>
              <w:jc w:val="left"/>
            </w:pPr>
            <w:r>
              <w:rPr>
                <w:rFonts w:ascii="Noto Sans CJK SC" w:hAnsi="Noto Sans CJK SC" w:eastAsia="Noto Sans CJK SC"/>
                <w:b/>
                <w:color w:val="182F5E"/>
                <w:sz w:val="23"/>
              </w:rPr>
              <w:t>汇报要点</w:t>
              <w:br/>
            </w:r>
            <w:r>
              <w:rPr>
                <w:rFonts w:ascii="Noto Serif CJK SC" w:hAnsi="Noto Serif CJK SC" w:eastAsia="Noto Serif CJK SC"/>
                <w:sz w:val="22"/>
              </w:rPr>
              <w:t>本项目建议以“代谢组学锚定 + 动态监测驱动 + 智能体主动干预”为切入口，先聚焦血糖波动、脂肪肝风险、代谢异常与健康老龄化评估等高频场景，构建可在社区、体检中心和健康管理机构落地的主动健康服务体系。项目第一阶段定位为健康管理与风险分层工具，不替代临床诊断；在此基础上逐步推进多中心验证、标准制定、产业化试点和区域健康数据平台建设。</w:t>
            </w:r>
          </w:p>
        </w:tc>
      </w:tr>
    </w:tbl>
    <w:p>
      <w:pPr>
        <w:pStyle w:val="BodyNoIndent"/>
        <w:spacing w:before="120"/>
        <w:jc w:val="center"/>
      </w:pPr>
      <w:r>
        <w:rPr>
          <w:rFonts w:ascii="Noto Serif CJK SC" w:hAnsi="Noto Serif CJK SC" w:eastAsia="Noto Serif CJK SC"/>
          <w:color w:val="5A5A5A"/>
          <w:sz w:val="22"/>
        </w:rPr>
        <w:t>汇报单位：中国科学技术大学精准健康智能体研究团队</w:t>
      </w:r>
    </w:p>
    <w:p>
      <w:pPr>
        <w:pStyle w:val="BodyNoIndent"/>
        <w:spacing w:before="120"/>
        <w:jc w:val="center"/>
      </w:pPr>
      <w:r>
        <w:rPr>
          <w:rFonts w:ascii="Noto Serif CJK SC" w:hAnsi="Noto Serif CJK SC" w:eastAsia="Noto Serif CJK SC"/>
          <w:color w:val="5A5A5A"/>
          <w:sz w:val="22"/>
        </w:rPr>
        <w:t>报告用途：面向政府主管部门和地方领导的项目汇报材料</w:t>
      </w:r>
    </w:p>
    <w:p>
      <w:pPr>
        <w:pStyle w:val="BodyNoIndent"/>
        <w:spacing w:before="120"/>
        <w:jc w:val="center"/>
      </w:pPr>
      <w:r>
        <w:rPr>
          <w:rFonts w:ascii="Noto Serif CJK SC" w:hAnsi="Noto Serif CJK SC" w:eastAsia="Noto Serif CJK SC"/>
          <w:color w:val="5A5A5A"/>
          <w:sz w:val="22"/>
        </w:rPr>
        <w:t>形成日期：2026年4月</w:t>
      </w:r>
    </w:p>
    <w:p>
      <w:r>
        <w:br w:type="page"/>
      </w:r>
    </w:p>
    <w:p>
      <w:pPr>
        <w:pStyle w:val="H1Custom"/>
        <w:keepNext/>
      </w:pPr>
      <w:r>
        <w:rPr>
          <w:rFonts w:ascii="Noto Sans CJK SC" w:hAnsi="Noto Sans CJK SC" w:eastAsia="Noto Sans CJK SC"/>
          <w:b/>
          <w:color w:val="19396A"/>
          <w:sz w:val="30"/>
        </w:rPr>
        <w:t>一、建议领导优先把握的三点判断</w:t>
      </w:r>
    </w:p>
    <w:p>
      <w:pPr/>
      <w:r>
        <w:rPr>
          <w:rFonts w:ascii="Noto Serif CJK SC" w:hAnsi="Noto Serif CJK SC" w:eastAsia="Noto Serif CJK SC"/>
          <w:sz w:val="22"/>
        </w:rPr>
        <w:t>第一，这不是一个“单纯做大模型”的项目，而是依托自有代谢组学平台、自建队列与算法能力，建设面向主动健康和健康老龄化的科技成果转化工程。其关键价值在于把高水平科研能力转化为可及、可用、可持续的公共健康服务能力。</w:t>
      </w:r>
    </w:p>
    <w:p>
      <w:pPr/>
      <w:r>
        <w:rPr>
          <w:rFonts w:ascii="Noto Serif CJK SC" w:hAnsi="Noto Serif CJK SC" w:eastAsia="Noto Serif CJK SC"/>
          <w:sz w:val="22"/>
        </w:rPr>
        <w:t>第二，项目不宜一开始铺得过大，而应坚持“小切口、强验证、可复制”的建设思路。建议第一阶段先聚焦血糖波动、脂肪肝风险、代谢异常评估等高频代谢健康场景，形成“一次深度检测 + 持续动态监测 + 智能体主动干预”的闭环服务。</w:t>
      </w:r>
    </w:p>
    <w:p>
      <w:pPr/>
      <w:r>
        <w:rPr>
          <w:rFonts w:ascii="Noto Serif CJK SC" w:hAnsi="Noto Serif CJK SC" w:eastAsia="Noto Serif CJK SC"/>
          <w:sz w:val="22"/>
        </w:rPr>
        <w:t>第三，项目应明确边界：第一阶段定位为健康管理、风险分层和行为干预支持工具，不替代医生诊断，不直接输出临床确诊结论。通过真实世界验证、标准化流程和合规治理逐步走向更高等级的医疗应用。</w:t>
      </w:r>
    </w:p>
    <w:p>
      <w:pPr>
        <w:pStyle w:val="H1Custom"/>
        <w:keepNext/>
      </w:pPr>
      <w:r>
        <w:rPr>
          <w:rFonts w:ascii="Noto Sans CJK SC" w:hAnsi="Noto Sans CJK SC" w:eastAsia="Noto Sans CJK SC"/>
          <w:b/>
          <w:color w:val="19396A"/>
          <w:sz w:val="30"/>
        </w:rPr>
        <w:t>二、项目背景与现实意义</w:t>
      </w:r>
    </w:p>
    <w:p>
      <w:pPr>
        <w:pStyle w:val="H2Custom"/>
        <w:keepNext/>
      </w:pPr>
      <w:r>
        <w:rPr>
          <w:rFonts w:ascii="Noto Sans CJK SC" w:hAnsi="Noto Sans CJK SC" w:eastAsia="Noto Sans CJK SC"/>
          <w:b/>
          <w:color w:val="2C4E80"/>
          <w:sz w:val="25"/>
        </w:rPr>
        <w:t>（一）项目契合国家主动健康与健康老龄化方向</w:t>
      </w:r>
    </w:p>
    <w:p>
      <w:pPr/>
      <w:r>
        <w:rPr>
          <w:rFonts w:ascii="Noto Serif CJK SC" w:hAnsi="Noto Serif CJK SC" w:eastAsia="Noto Serif CJK SC"/>
          <w:sz w:val="22"/>
        </w:rPr>
        <w:t>我国正处于慢病高发、老龄化加速和医疗资源结构性紧张并存的阶段。传统健康管理模式往往依赖年度体检或症状出现后的被动就医，难以及早识别代谢异常、行为风险和衰老加速趋势。围绕“防大病、管慢病、促健康”的现实需求，迫切需要建设面向群众、可持续运行、可形成数据闭环的新型健康服务体系。</w:t>
      </w:r>
    </w:p>
    <w:p>
      <w:pPr/>
      <w:r>
        <w:rPr>
          <w:rFonts w:ascii="Noto Serif CJK SC" w:hAnsi="Noto Serif CJK SC" w:eastAsia="Noto Serif CJK SC"/>
          <w:sz w:val="22"/>
        </w:rPr>
        <w:t>本项目所依托的代谢组学与谱学衰老时钟技术，可在分子层面提供更早期、更细颗粒度的健康信息，再与连续血糖监测、体检、病历和可穿戴设备数据融合，为主动健康干预提供可量化、可追踪、可解释的抓手。该方向与“健康中国2030”、健康老龄化、人工智能赋能医疗卫生以及科技成果转化等政策导向高度一致。</w:t>
      </w:r>
    </w:p>
    <w:p>
      <w:pPr>
        <w:pStyle w:val="H2Custom"/>
        <w:keepNext/>
      </w:pPr>
      <w:r>
        <w:rPr>
          <w:rFonts w:ascii="Noto Sans CJK SC" w:hAnsi="Noto Sans CJK SC" w:eastAsia="Noto Sans CJK SC"/>
          <w:b/>
          <w:color w:val="2C4E80"/>
          <w:sz w:val="25"/>
        </w:rPr>
        <w:t>（二）项目拟解决的核心问题</w:t>
      </w:r>
    </w:p>
    <w:p>
      <w:pPr>
        <w:pStyle w:val="BodyNoIndent"/>
        <w:ind w:left="227" w:hanging="227"/>
      </w:pPr>
      <w:r>
        <w:rPr>
          <w:rFonts w:ascii="Noto Serif CJK SC" w:hAnsi="Noto Serif CJK SC" w:eastAsia="Noto Serif CJK SC"/>
          <w:sz w:val="22"/>
        </w:rPr>
        <w:t>• 解决“科研成果强、群众获得感弱”的问题，把实验室中的高分辨质谱、算法和模型能力转化为普通群众可感知、可复测、可持续使用的健康服务。</w:t>
      </w:r>
    </w:p>
    <w:p>
      <w:pPr>
        <w:pStyle w:val="BodyNoIndent"/>
        <w:ind w:left="227" w:hanging="227"/>
      </w:pPr>
      <w:r>
        <w:rPr>
          <w:rFonts w:ascii="Noto Serif CJK SC" w:hAnsi="Noto Serif CJK SC" w:eastAsia="Noto Serif CJK SC"/>
          <w:sz w:val="22"/>
        </w:rPr>
        <w:t>• 解决“体检有结果、干预不连续”的问题，把一次深度检测结果转化为后续动态监测和日常管理的长期依据。</w:t>
      </w:r>
    </w:p>
    <w:p>
      <w:pPr>
        <w:pStyle w:val="BodyNoIndent"/>
        <w:ind w:left="227" w:hanging="227"/>
      </w:pPr>
      <w:r>
        <w:rPr>
          <w:rFonts w:ascii="Noto Serif CJK SC" w:hAnsi="Noto Serif CJK SC" w:eastAsia="Noto Serif CJK SC"/>
          <w:sz w:val="22"/>
        </w:rPr>
        <w:t>• 解决“健康数据分散、难以形成闭环”的问题，逐步建立覆盖静态分子画像与动态行为数据的区域型健康数据汇聚与服务体系。</w:t>
      </w:r>
    </w:p>
    <w:p>
      <w:pPr>
        <w:pStyle w:val="H1Custom"/>
        <w:keepNext/>
      </w:pPr>
      <w:r>
        <w:rPr>
          <w:rFonts w:ascii="Noto Sans CJK SC" w:hAnsi="Noto Sans CJK SC" w:eastAsia="Noto Sans CJK SC"/>
          <w:b/>
          <w:color w:val="19396A"/>
          <w:sz w:val="30"/>
        </w:rPr>
        <w:t>三、项目定位与总体思路</w:t>
      </w:r>
    </w:p>
    <w:p>
      <w:pPr>
        <w:pStyle w:val="H2Custom"/>
        <w:keepNext/>
      </w:pPr>
      <w:r>
        <w:rPr>
          <w:rFonts w:ascii="Noto Sans CJK SC" w:hAnsi="Noto Sans CJK SC" w:eastAsia="Noto Sans CJK SC"/>
          <w:b/>
          <w:color w:val="2C4E80"/>
          <w:sz w:val="25"/>
        </w:rPr>
        <w:t>（一）建议采用更聚焦的建设定位</w:t>
      </w:r>
    </w:p>
    <w:p>
      <w:pPr/>
      <w:r>
        <w:rPr>
          <w:rFonts w:ascii="Noto Serif CJK SC" w:hAnsi="Noto Serif CJK SC" w:eastAsia="Noto Serif CJK SC"/>
          <w:sz w:val="22"/>
        </w:rPr>
        <w:t>建议将项目定位表述为：“面向主动健康与健康老龄化的精准健康智能体系统”。其核心不是追求概念上的全能平台，而是以代谢组学为锚点，以动态监测为抓手，以智能体为服务引擎，先形成可落地、可验证、可推广的主动健康管理产品形态。</w:t>
      </w:r>
    </w:p>
    <w:p>
      <w:pPr/>
      <w:r>
        <w:rPr>
          <w:rFonts w:ascii="Noto Serif CJK SC" w:hAnsi="Noto Serif CJK SC" w:eastAsia="Noto Serif CJK SC"/>
          <w:sz w:val="22"/>
        </w:rPr>
        <w:t>相较于原始科研 brief 中覆盖多组学、多疾病、多设备、全生命周期数字孪生等宏大愿景，政府汇报更需要突出首期切入口、落地路径和社会效益。因此建议在表述上坚持“先聚焦后拓展、先试点后推广、先服务后平台”的原则。</w:t>
      </w:r>
    </w:p>
    <w:p>
      <w:pPr>
        <w:pStyle w:val="H2Custom"/>
        <w:keepNext/>
      </w:pPr>
      <w:r>
        <w:rPr>
          <w:rFonts w:ascii="Noto Sans CJK SC" w:hAnsi="Noto Sans CJK SC" w:eastAsia="Noto Sans CJK SC"/>
          <w:b/>
          <w:color w:val="2C4E80"/>
          <w:sz w:val="25"/>
        </w:rPr>
        <w:t>（二）第一阶段建议聚焦的场景</w:t>
      </w:r>
    </w:p>
    <w:tbl>
      <w:tblPr>
        <w:tblW w:type="auto" w:w="0"/>
        <w:jc w:val="center"/>
        <w:tblLayout w:type="fixed"/>
        <w:tblLook w:firstColumn="1" w:firstRow="1" w:lastColumn="0" w:lastRow="0" w:noHBand="0" w:noVBand="1" w:val="04A0"/>
        <w:tblBorders>
          <w:top w:val="single" w:sz="8" w:space="0" w:color="C8D2E0"/>
          <w:left w:val="single" w:sz="8" w:space="0" w:color="C8D2E0"/>
          <w:bottom w:val="single" w:sz="8" w:space="0" w:color="C8D2E0"/>
          <w:right w:val="single" w:sz="8" w:space="0" w:color="C8D2E0"/>
          <w:insideH w:val="single" w:sz="8" w:space="0" w:color="C8D2E0"/>
          <w:insideV w:val="single" w:sz="8" w:space="0" w:color="C8D2E0"/>
        </w:tblBorders>
      </w:tblPr>
      <w:tblGrid>
        <w:gridCol w:w="1587"/>
        <w:gridCol w:w="2268"/>
        <w:gridCol w:w="2551"/>
        <w:gridCol w:w="2041"/>
      </w:tblGrid>
      <w:tr>
        <w:trPr>
          <w:tblHeader/>
        </w:trPr>
        <w:tc>
          <w:tcPr>
            <w:tcW w:type="dxa" w:w="2294"/>
            <w:vAlign w:val="center"/>
            <w:shd w:fill="DCE7F6"/>
            <w:tcMar>
              <w:top w:w="100" w:type="dxa"/>
              <w:start w:w="120" w:type="dxa"/>
              <w:bottom w:w="100" w:type="dxa"/>
              <w:end w:w="120" w:type="dxa"/>
            </w:tcMar>
          </w:tcPr>
          <w:p>
            <w:pPr>
              <w:pStyle w:val="TableText"/>
              <w:jc w:val="center"/>
            </w:pPr>
            <w:r>
              <w:rPr>
                <w:rFonts w:ascii="Noto Sans CJK SC" w:hAnsi="Noto Sans CJK SC" w:eastAsia="Noto Sans CJK SC"/>
                <w:b/>
                <w:color w:val="182F5E"/>
                <w:sz w:val="21"/>
              </w:rPr>
              <w:t>场景</w:t>
            </w:r>
          </w:p>
        </w:tc>
        <w:tc>
          <w:tcPr>
            <w:tcW w:type="dxa" w:w="2294"/>
            <w:vAlign w:val="center"/>
            <w:shd w:fill="DCE7F6"/>
            <w:tcMar>
              <w:top w:w="100" w:type="dxa"/>
              <w:start w:w="120" w:type="dxa"/>
              <w:bottom w:w="100" w:type="dxa"/>
              <w:end w:w="120" w:type="dxa"/>
            </w:tcMar>
          </w:tcPr>
          <w:p>
            <w:pPr>
              <w:pStyle w:val="TableText"/>
              <w:jc w:val="center"/>
            </w:pPr>
            <w:r>
              <w:rPr>
                <w:rFonts w:ascii="Noto Sans CJK SC" w:hAnsi="Noto Sans CJK SC" w:eastAsia="Noto Sans CJK SC"/>
                <w:b/>
                <w:color w:val="182F5E"/>
                <w:sz w:val="21"/>
              </w:rPr>
              <w:t>服务对象</w:t>
            </w:r>
          </w:p>
        </w:tc>
        <w:tc>
          <w:tcPr>
            <w:tcW w:type="dxa" w:w="2294"/>
            <w:vAlign w:val="center"/>
            <w:shd w:fill="DCE7F6"/>
            <w:tcMar>
              <w:top w:w="100" w:type="dxa"/>
              <w:start w:w="120" w:type="dxa"/>
              <w:bottom w:w="100" w:type="dxa"/>
              <w:end w:w="120" w:type="dxa"/>
            </w:tcMar>
          </w:tcPr>
          <w:p>
            <w:pPr>
              <w:pStyle w:val="TableText"/>
              <w:jc w:val="center"/>
            </w:pPr>
            <w:r>
              <w:rPr>
                <w:rFonts w:ascii="Noto Sans CJK SC" w:hAnsi="Noto Sans CJK SC" w:eastAsia="Noto Sans CJK SC"/>
                <w:b/>
                <w:color w:val="182F5E"/>
                <w:sz w:val="21"/>
              </w:rPr>
              <w:t>首期能力</w:t>
            </w:r>
          </w:p>
        </w:tc>
        <w:tc>
          <w:tcPr>
            <w:tcW w:type="dxa" w:w="2294"/>
            <w:vAlign w:val="center"/>
            <w:shd w:fill="DCE7F6"/>
            <w:tcMar>
              <w:top w:w="100" w:type="dxa"/>
              <w:start w:w="120" w:type="dxa"/>
              <w:bottom w:w="100" w:type="dxa"/>
              <w:end w:w="120" w:type="dxa"/>
            </w:tcMar>
          </w:tcPr>
          <w:p>
            <w:pPr>
              <w:pStyle w:val="TableText"/>
              <w:jc w:val="center"/>
            </w:pPr>
            <w:r>
              <w:rPr>
                <w:rFonts w:ascii="Noto Sans CJK SC" w:hAnsi="Noto Sans CJK SC" w:eastAsia="Noto Sans CJK SC"/>
                <w:b/>
                <w:color w:val="182F5E"/>
                <w:sz w:val="21"/>
              </w:rPr>
              <w:t>落地载体</w:t>
            </w:r>
          </w:p>
        </w:tc>
      </w:tr>
      <w:tr>
        <w:trPr>
          <w:cantSplit/>
        </w:trPr>
        <w:tc>
          <w:tcPr>
            <w:tcW w:type="dxa" w:w="1587"/>
            <w:vAlign w:val="center"/>
            <w:tcMar>
              <w:top w:w="90" w:type="dxa"/>
              <w:start w:w="110" w:type="dxa"/>
              <w:bottom w:w="90" w:type="dxa"/>
              <w:end w:w="110" w:type="dxa"/>
            </w:tcMar>
          </w:tcPr>
          <w:p>
            <w:pPr>
              <w:pStyle w:val="TableText"/>
              <w:jc w:val="center"/>
            </w:pPr>
            <w:r>
              <w:rPr>
                <w:rFonts w:ascii="Noto Sans CJK SC" w:hAnsi="Noto Sans CJK SC" w:eastAsia="Noto Sans CJK SC"/>
                <w:sz w:val="20"/>
              </w:rPr>
              <w:t>代谢异常早筛</w:t>
            </w:r>
          </w:p>
        </w:tc>
        <w:tc>
          <w:tcPr>
            <w:tcW w:type="dxa" w:w="2268"/>
            <w:vAlign w:val="center"/>
            <w:tcMar>
              <w:top w:w="90" w:type="dxa"/>
              <w:start w:w="110" w:type="dxa"/>
              <w:bottom w:w="90" w:type="dxa"/>
              <w:end w:w="110" w:type="dxa"/>
            </w:tcMar>
          </w:tcPr>
          <w:p>
            <w:pPr>
              <w:pStyle w:val="TableText"/>
              <w:jc w:val="left"/>
            </w:pPr>
            <w:r>
              <w:rPr>
                <w:rFonts w:ascii="Noto Serif CJK SC" w:hAnsi="Noto Serif CJK SC" w:eastAsia="Noto Serif CJK SC"/>
                <w:sz w:val="20"/>
              </w:rPr>
              <w:t>亚健康人群、体检人群</w:t>
            </w:r>
          </w:p>
        </w:tc>
        <w:tc>
          <w:tcPr>
            <w:tcW w:type="dxa" w:w="2551"/>
            <w:vAlign w:val="center"/>
            <w:tcMar>
              <w:top w:w="90" w:type="dxa"/>
              <w:start w:w="110" w:type="dxa"/>
              <w:bottom w:w="90" w:type="dxa"/>
              <w:end w:w="110" w:type="dxa"/>
            </w:tcMar>
          </w:tcPr>
          <w:p>
            <w:pPr>
              <w:pStyle w:val="TableText"/>
              <w:jc w:val="left"/>
            </w:pPr>
            <w:r>
              <w:rPr>
                <w:rFonts w:ascii="Noto Serif CJK SC" w:hAnsi="Noto Serif CJK SC" w:eastAsia="Noto Serif CJK SC"/>
                <w:sz w:val="20"/>
              </w:rPr>
              <w:t>基于代谢年龄、异常分子特征和体检数据进行风险分层</w:t>
            </w:r>
          </w:p>
        </w:tc>
        <w:tc>
          <w:tcPr>
            <w:tcW w:type="dxa" w:w="2041"/>
            <w:vAlign w:val="center"/>
            <w:tcMar>
              <w:top w:w="90" w:type="dxa"/>
              <w:start w:w="110" w:type="dxa"/>
              <w:bottom w:w="90" w:type="dxa"/>
              <w:end w:w="110" w:type="dxa"/>
            </w:tcMar>
          </w:tcPr>
          <w:p>
            <w:pPr>
              <w:pStyle w:val="TableText"/>
              <w:jc w:val="center"/>
            </w:pPr>
            <w:r>
              <w:rPr>
                <w:rFonts w:ascii="Noto Serif CJK SC" w:hAnsi="Noto Serif CJK SC" w:eastAsia="Noto Serif CJK SC"/>
                <w:sz w:val="20"/>
              </w:rPr>
              <w:t>高端体检中心、社区试点</w:t>
            </w:r>
          </w:p>
        </w:tc>
      </w:tr>
      <w:tr>
        <w:trPr>
          <w:cantSplit/>
        </w:trPr>
        <w:tc>
          <w:tcPr>
            <w:tcW w:type="dxa" w:w="1587"/>
            <w:vAlign w:val="center"/>
            <w:tcMar>
              <w:top w:w="90" w:type="dxa"/>
              <w:start w:w="110" w:type="dxa"/>
              <w:bottom w:w="90" w:type="dxa"/>
              <w:end w:w="110" w:type="dxa"/>
            </w:tcMar>
          </w:tcPr>
          <w:p>
            <w:pPr>
              <w:pStyle w:val="TableText"/>
              <w:jc w:val="center"/>
            </w:pPr>
            <w:r>
              <w:rPr>
                <w:rFonts w:ascii="Noto Sans CJK SC" w:hAnsi="Noto Sans CJK SC" w:eastAsia="Noto Sans CJK SC"/>
                <w:sz w:val="20"/>
              </w:rPr>
              <w:t>血糖波动管理</w:t>
            </w:r>
          </w:p>
        </w:tc>
        <w:tc>
          <w:tcPr>
            <w:tcW w:type="dxa" w:w="2268"/>
            <w:vAlign w:val="center"/>
            <w:tcMar>
              <w:top w:w="90" w:type="dxa"/>
              <w:start w:w="110" w:type="dxa"/>
              <w:bottom w:w="90" w:type="dxa"/>
              <w:end w:w="110" w:type="dxa"/>
            </w:tcMar>
          </w:tcPr>
          <w:p>
            <w:pPr>
              <w:pStyle w:val="TableText"/>
              <w:jc w:val="left"/>
            </w:pPr>
            <w:r>
              <w:rPr>
                <w:rFonts w:ascii="Noto Serif CJK SC" w:hAnsi="Noto Serif CJK SC" w:eastAsia="Noto Serif CJK SC"/>
                <w:sz w:val="20"/>
              </w:rPr>
              <w:t>血糖异常及糖代谢风险人群</w:t>
            </w:r>
          </w:p>
        </w:tc>
        <w:tc>
          <w:tcPr>
            <w:tcW w:type="dxa" w:w="2551"/>
            <w:vAlign w:val="center"/>
            <w:tcMar>
              <w:top w:w="90" w:type="dxa"/>
              <w:start w:w="110" w:type="dxa"/>
              <w:bottom w:w="90" w:type="dxa"/>
              <w:end w:w="110" w:type="dxa"/>
            </w:tcMar>
          </w:tcPr>
          <w:p>
            <w:pPr>
              <w:pStyle w:val="TableText"/>
              <w:jc w:val="left"/>
            </w:pPr>
            <w:r>
              <w:rPr>
                <w:rFonts w:ascii="Noto Serif CJK SC" w:hAnsi="Noto Serif CJK SC" w:eastAsia="Noto Serif CJK SC"/>
                <w:sz w:val="20"/>
              </w:rPr>
              <w:t>一次质谱深检结合CGM连续监测，形成饮食与运动干预建议</w:t>
            </w:r>
          </w:p>
        </w:tc>
        <w:tc>
          <w:tcPr>
            <w:tcW w:type="dxa" w:w="2041"/>
            <w:vAlign w:val="center"/>
            <w:tcMar>
              <w:top w:w="90" w:type="dxa"/>
              <w:start w:w="110" w:type="dxa"/>
              <w:bottom w:w="90" w:type="dxa"/>
              <w:end w:w="110" w:type="dxa"/>
            </w:tcMar>
          </w:tcPr>
          <w:p>
            <w:pPr>
              <w:pStyle w:val="TableText"/>
              <w:jc w:val="center"/>
            </w:pPr>
            <w:r>
              <w:rPr>
                <w:rFonts w:ascii="Noto Serif CJK SC" w:hAnsi="Noto Serif CJK SC" w:eastAsia="Noto Serif CJK SC"/>
                <w:sz w:val="20"/>
              </w:rPr>
              <w:t>慢病管理机构、基层医疗协同</w:t>
            </w:r>
          </w:p>
        </w:tc>
      </w:tr>
      <w:tr>
        <w:trPr>
          <w:cantSplit/>
        </w:trPr>
        <w:tc>
          <w:tcPr>
            <w:tcW w:type="dxa" w:w="1587"/>
            <w:vAlign w:val="center"/>
            <w:tcMar>
              <w:top w:w="90" w:type="dxa"/>
              <w:start w:w="110" w:type="dxa"/>
              <w:bottom w:w="90" w:type="dxa"/>
              <w:end w:w="110" w:type="dxa"/>
            </w:tcMar>
          </w:tcPr>
          <w:p>
            <w:pPr>
              <w:pStyle w:val="TableText"/>
              <w:jc w:val="center"/>
            </w:pPr>
            <w:r>
              <w:rPr>
                <w:rFonts w:ascii="Noto Sans CJK SC" w:hAnsi="Noto Sans CJK SC" w:eastAsia="Noto Sans CJK SC"/>
                <w:sz w:val="20"/>
              </w:rPr>
              <w:t>脂肪肝和代谢综合征风险管理</w:t>
            </w:r>
          </w:p>
        </w:tc>
        <w:tc>
          <w:tcPr>
            <w:tcW w:type="dxa" w:w="2268"/>
            <w:vAlign w:val="center"/>
            <w:tcMar>
              <w:top w:w="90" w:type="dxa"/>
              <w:start w:w="110" w:type="dxa"/>
              <w:bottom w:w="90" w:type="dxa"/>
              <w:end w:w="110" w:type="dxa"/>
            </w:tcMar>
          </w:tcPr>
          <w:p>
            <w:pPr>
              <w:pStyle w:val="TableText"/>
              <w:jc w:val="left"/>
            </w:pPr>
            <w:r>
              <w:rPr>
                <w:rFonts w:ascii="Noto Serif CJK SC" w:hAnsi="Noto Serif CJK SC" w:eastAsia="Noto Serif CJK SC"/>
                <w:sz w:val="20"/>
              </w:rPr>
              <w:t>超重人群、脂肪肝高风险人群</w:t>
            </w:r>
          </w:p>
        </w:tc>
        <w:tc>
          <w:tcPr>
            <w:tcW w:type="dxa" w:w="2551"/>
            <w:vAlign w:val="center"/>
            <w:tcMar>
              <w:top w:w="90" w:type="dxa"/>
              <w:start w:w="110" w:type="dxa"/>
              <w:bottom w:w="90" w:type="dxa"/>
              <w:end w:w="110" w:type="dxa"/>
            </w:tcMar>
          </w:tcPr>
          <w:p>
            <w:pPr>
              <w:pStyle w:val="TableText"/>
              <w:jc w:val="left"/>
            </w:pPr>
            <w:r>
              <w:rPr>
                <w:rFonts w:ascii="Noto Serif CJK SC" w:hAnsi="Noto Serif CJK SC" w:eastAsia="Noto Serif CJK SC"/>
                <w:sz w:val="20"/>
              </w:rPr>
              <w:t>建立脂肪肝风险评分、阶段性评估和复测机制</w:t>
            </w:r>
          </w:p>
        </w:tc>
        <w:tc>
          <w:tcPr>
            <w:tcW w:type="dxa" w:w="2041"/>
            <w:vAlign w:val="center"/>
            <w:tcMar>
              <w:top w:w="90" w:type="dxa"/>
              <w:start w:w="110" w:type="dxa"/>
              <w:bottom w:w="90" w:type="dxa"/>
              <w:end w:w="110" w:type="dxa"/>
            </w:tcMar>
          </w:tcPr>
          <w:p>
            <w:pPr>
              <w:pStyle w:val="TableText"/>
              <w:jc w:val="center"/>
            </w:pPr>
            <w:r>
              <w:rPr>
                <w:rFonts w:ascii="Noto Serif CJK SC" w:hAnsi="Noto Serif CJK SC" w:eastAsia="Noto Serif CJK SC"/>
                <w:sz w:val="20"/>
              </w:rPr>
              <w:t>健康管理中心、企事业单位体检</w:t>
            </w:r>
          </w:p>
        </w:tc>
      </w:tr>
      <w:tr>
        <w:trPr>
          <w:cantSplit/>
        </w:trPr>
        <w:tc>
          <w:tcPr>
            <w:tcW w:type="dxa" w:w="1587"/>
            <w:vAlign w:val="center"/>
            <w:tcMar>
              <w:top w:w="90" w:type="dxa"/>
              <w:start w:w="110" w:type="dxa"/>
              <w:bottom w:w="90" w:type="dxa"/>
              <w:end w:w="110" w:type="dxa"/>
            </w:tcMar>
          </w:tcPr>
          <w:p>
            <w:pPr>
              <w:pStyle w:val="TableText"/>
              <w:jc w:val="center"/>
            </w:pPr>
            <w:r>
              <w:rPr>
                <w:rFonts w:ascii="Noto Sans CJK SC" w:hAnsi="Noto Sans CJK SC" w:eastAsia="Noto Sans CJK SC"/>
                <w:sz w:val="20"/>
              </w:rPr>
              <w:t>健康老龄化评估</w:t>
            </w:r>
          </w:p>
        </w:tc>
        <w:tc>
          <w:tcPr>
            <w:tcW w:type="dxa" w:w="2268"/>
            <w:vAlign w:val="center"/>
            <w:tcMar>
              <w:top w:w="90" w:type="dxa"/>
              <w:start w:w="110" w:type="dxa"/>
              <w:bottom w:w="90" w:type="dxa"/>
              <w:end w:w="110" w:type="dxa"/>
            </w:tcMar>
          </w:tcPr>
          <w:p>
            <w:pPr>
              <w:pStyle w:val="TableText"/>
              <w:jc w:val="left"/>
            </w:pPr>
            <w:r>
              <w:rPr>
                <w:rFonts w:ascii="Noto Serif CJK SC" w:hAnsi="Noto Serif CJK SC" w:eastAsia="Noto Serif CJK SC"/>
                <w:sz w:val="20"/>
              </w:rPr>
              <w:t>中老年人群</w:t>
            </w:r>
          </w:p>
        </w:tc>
        <w:tc>
          <w:tcPr>
            <w:tcW w:type="dxa" w:w="2551"/>
            <w:vAlign w:val="center"/>
            <w:tcMar>
              <w:top w:w="90" w:type="dxa"/>
              <w:start w:w="110" w:type="dxa"/>
              <w:bottom w:w="90" w:type="dxa"/>
              <w:end w:w="110" w:type="dxa"/>
            </w:tcMar>
          </w:tcPr>
          <w:p>
            <w:pPr>
              <w:pStyle w:val="TableText"/>
              <w:jc w:val="left"/>
            </w:pPr>
            <w:r>
              <w:rPr>
                <w:rFonts w:ascii="Noto Serif CJK SC" w:hAnsi="Noto Serif CJK SC" w:eastAsia="Noto Serif CJK SC"/>
                <w:sz w:val="20"/>
              </w:rPr>
              <w:t>以谱学衰老时钟为核心，形成老龄化评估与年度追踪</w:t>
            </w:r>
          </w:p>
        </w:tc>
        <w:tc>
          <w:tcPr>
            <w:tcW w:type="dxa" w:w="2041"/>
            <w:vAlign w:val="center"/>
            <w:tcMar>
              <w:top w:w="90" w:type="dxa"/>
              <w:start w:w="110" w:type="dxa"/>
              <w:bottom w:w="90" w:type="dxa"/>
              <w:end w:w="110" w:type="dxa"/>
            </w:tcMar>
          </w:tcPr>
          <w:p>
            <w:pPr>
              <w:pStyle w:val="TableText"/>
              <w:jc w:val="center"/>
            </w:pPr>
            <w:r>
              <w:rPr>
                <w:rFonts w:ascii="Noto Serif CJK SC" w:hAnsi="Noto Serif CJK SC" w:eastAsia="Noto Serif CJK SC"/>
                <w:sz w:val="20"/>
              </w:rPr>
              <w:t>社区养老、医养结合场景</w:t>
            </w:r>
          </w:p>
        </w:tc>
      </w:tr>
    </w:tbl>
    <w:p>
      <w:pPr>
        <w:pStyle w:val="BodyNoIndent"/>
      </w:pPr>
      <w:r>
        <w:rPr>
          <w:rFonts w:ascii="Noto Serif CJK SC" w:hAnsi="Noto Serif CJK SC" w:eastAsia="Noto Serif CJK SC"/>
          <w:sz w:val="22"/>
        </w:rPr>
        <w:t>上述切口具备三方面优势：一是与群众健康需求直接相关，便于形成实际获得感；二是已有科研数据和方法基础较好，验证成本相对可控；三是能够较快形成政府可见、机构可用、群众可感知的示范成果。</w:t>
      </w:r>
    </w:p>
    <w:p>
      <w:pPr>
        <w:pStyle w:val="H1Custom"/>
        <w:keepNext/>
      </w:pPr>
      <w:r>
        <w:rPr>
          <w:rFonts w:ascii="Noto Sans CJK SC" w:hAnsi="Noto Sans CJK SC" w:eastAsia="Noto Sans CJK SC"/>
          <w:b/>
          <w:color w:val="19396A"/>
          <w:sz w:val="30"/>
        </w:rPr>
        <w:t>四、现有基础与核心优势</w:t>
      </w:r>
    </w:p>
    <w:p>
      <w:pPr>
        <w:pStyle w:val="H2Custom"/>
        <w:keepNext/>
      </w:pPr>
      <w:r>
        <w:rPr>
          <w:rFonts w:ascii="Noto Sans CJK SC" w:hAnsi="Noto Sans CJK SC" w:eastAsia="Noto Sans CJK SC"/>
          <w:b/>
          <w:color w:val="2C4E80"/>
          <w:sz w:val="25"/>
        </w:rPr>
        <w:t>（一）已具备较扎实的科研和工程基础</w:t>
      </w:r>
    </w:p>
    <w:p>
      <w:pPr>
        <w:pStyle w:val="BodyNoIndent"/>
        <w:ind w:left="227" w:hanging="227"/>
      </w:pPr>
      <w:r>
        <w:rPr>
          <w:rFonts w:ascii="Noto Serif CJK SC" w:hAnsi="Noto Serif CJK SC" w:eastAsia="Noto Serif CJK SC"/>
          <w:sz w:val="22"/>
        </w:rPr>
        <w:t>• 检测能力方面，团队已实现超微量血液全谱检测，仅需 2 微升血清、约 2 分钟即可形成超过 20,000 个分子级特征数据，为高通量人群研究和转化应用奠定了基础。</w:t>
      </w:r>
    </w:p>
    <w:p>
      <w:pPr>
        <w:pStyle w:val="BodyNoIndent"/>
        <w:ind w:left="227" w:hanging="227"/>
      </w:pPr>
      <w:r>
        <w:rPr>
          <w:rFonts w:ascii="Noto Serif CJK SC" w:hAnsi="Noto Serif CJK SC" w:eastAsia="Noto Serif CJK SC"/>
          <w:sz w:val="22"/>
        </w:rPr>
        <w:t>• 方法体系方面，团队围绕 NanoLC 平台完成多轮参数优化，已锁定较优的 12 分钟运行方法，并建立了样本前处理标准化流程和四层质量控制体系。</w:t>
      </w:r>
    </w:p>
    <w:p>
      <w:pPr>
        <w:pStyle w:val="BodyNoIndent"/>
        <w:ind w:left="227" w:hanging="227"/>
      </w:pPr>
      <w:r>
        <w:rPr>
          <w:rFonts w:ascii="Noto Serif CJK SC" w:hAnsi="Noto Serif CJK SC" w:eastAsia="Noto Serif CJK SC"/>
          <w:sz w:val="22"/>
        </w:rPr>
        <w:t>• 算法能力方面，团队具备从峰检测、代谢物注释、批次校正到分子-疾病关联建模的完整链路，已初步验证部分代谢分子与高血压等慢病风险之间的关联。</w:t>
      </w:r>
    </w:p>
    <w:p>
      <w:pPr>
        <w:pStyle w:val="BodyNoIndent"/>
        <w:ind w:left="227" w:hanging="227"/>
      </w:pPr>
      <w:r>
        <w:rPr>
          <w:rFonts w:ascii="Noto Serif CJK SC" w:hAnsi="Noto Serif CJK SC" w:eastAsia="Noto Serif CJK SC"/>
          <w:sz w:val="22"/>
        </w:rPr>
        <w:t>• 数据资源方面，项目已具备多年龄段前瞻性队列建设基础，并积累了多模态健康数据融合经验。</w:t>
      </w:r>
    </w:p>
    <w:p>
      <w:pPr/>
      <w:r>
        <w:rPr>
          <w:rFonts w:ascii="Noto Serif CJK SC" w:hAnsi="Noto Serif CJK SC" w:eastAsia="Noto Serif CJK SC"/>
          <w:sz w:val="22"/>
        </w:rPr>
        <w:t>上述基础说明，本项目不是从零起步，而是具备“仪器平台、样本流程、算法链条、队列资源、应用构想”相互衔接的转化条件。对于政府来说，这意味着项目更适合进入“示范建设与试点评估”阶段，而非停留在一般性的概念孵化阶段。</w:t>
      </w:r>
    </w:p>
    <w:p>
      <w:pPr>
        <w:pStyle w:val="H2Custom"/>
        <w:keepNext/>
      </w:pPr>
      <w:r>
        <w:rPr>
          <w:rFonts w:ascii="Noto Sans CJK SC" w:hAnsi="Noto Sans CJK SC" w:eastAsia="Noto Sans CJK SC"/>
          <w:b/>
          <w:color w:val="2C4E80"/>
          <w:sz w:val="25"/>
        </w:rPr>
        <w:t>（二）需要把科研指标转化为公共服务价值</w:t>
      </w:r>
    </w:p>
    <w:tbl>
      <w:tblPr>
        <w:tblW w:type="auto" w:w="0"/>
        <w:jc w:val="center"/>
        <w:tblLayout w:type="fixed"/>
        <w:tblLook w:firstColumn="1" w:firstRow="1" w:lastColumn="0" w:lastRow="0" w:noHBand="0" w:noVBand="1" w:val="04A0"/>
        <w:tblBorders>
          <w:top w:val="single" w:sz="8" w:space="0" w:color="C8D2E0"/>
          <w:left w:val="single" w:sz="8" w:space="0" w:color="C8D2E0"/>
          <w:bottom w:val="single" w:sz="8" w:space="0" w:color="C8D2E0"/>
          <w:right w:val="single" w:sz="8" w:space="0" w:color="C8D2E0"/>
          <w:insideH w:val="single" w:sz="8" w:space="0" w:color="C8D2E0"/>
          <w:insideV w:val="single" w:sz="8" w:space="0" w:color="C8D2E0"/>
        </w:tblBorders>
      </w:tblPr>
      <w:tblGrid>
        <w:gridCol w:w="2324"/>
        <w:gridCol w:w="2494"/>
        <w:gridCol w:w="3402"/>
      </w:tblGrid>
      <w:tr>
        <w:tc>
          <w:tcPr>
            <w:tcW w:type="dxa" w:w="3059"/>
            <w:shd w:fill="DCE7F6"/>
            <w:tcMar>
              <w:top w:w="100" w:type="dxa"/>
              <w:start w:w="120" w:type="dxa"/>
              <w:bottom w:w="100" w:type="dxa"/>
              <w:end w:w="120" w:type="dxa"/>
            </w:tcMar>
          </w:tcPr>
          <w:p>
            <w:pPr>
              <w:pStyle w:val="TableText"/>
              <w:jc w:val="center"/>
            </w:pPr>
            <w:r>
              <w:rPr>
                <w:rFonts w:ascii="Noto Sans CJK SC" w:hAnsi="Noto Sans CJK SC" w:eastAsia="Noto Sans CJK SC"/>
                <w:b/>
                <w:color w:val="182F5E"/>
                <w:sz w:val="21"/>
              </w:rPr>
              <w:t>科研能力或指标</w:t>
            </w:r>
          </w:p>
        </w:tc>
        <w:tc>
          <w:tcPr>
            <w:tcW w:type="dxa" w:w="3059"/>
            <w:shd w:fill="DCE7F6"/>
            <w:tcMar>
              <w:top w:w="100" w:type="dxa"/>
              <w:start w:w="120" w:type="dxa"/>
              <w:bottom w:w="100" w:type="dxa"/>
              <w:end w:w="120" w:type="dxa"/>
            </w:tcMar>
          </w:tcPr>
          <w:p>
            <w:pPr>
              <w:pStyle w:val="TableText"/>
              <w:jc w:val="center"/>
            </w:pPr>
            <w:r>
              <w:rPr>
                <w:rFonts w:ascii="Noto Sans CJK SC" w:hAnsi="Noto Sans CJK SC" w:eastAsia="Noto Sans CJK SC"/>
                <w:b/>
                <w:color w:val="182F5E"/>
                <w:sz w:val="21"/>
              </w:rPr>
              <w:t>对转化的直接意义</w:t>
            </w:r>
          </w:p>
        </w:tc>
        <w:tc>
          <w:tcPr>
            <w:tcW w:type="dxa" w:w="3059"/>
            <w:shd w:fill="DCE7F6"/>
            <w:tcMar>
              <w:top w:w="100" w:type="dxa"/>
              <w:start w:w="120" w:type="dxa"/>
              <w:bottom w:w="100" w:type="dxa"/>
              <w:end w:w="120" w:type="dxa"/>
            </w:tcMar>
          </w:tcPr>
          <w:p>
            <w:pPr>
              <w:pStyle w:val="TableText"/>
              <w:jc w:val="center"/>
            </w:pPr>
            <w:r>
              <w:rPr>
                <w:rFonts w:ascii="Noto Sans CJK SC" w:hAnsi="Noto Sans CJK SC" w:eastAsia="Noto Sans CJK SC"/>
                <w:b/>
                <w:color w:val="182F5E"/>
                <w:sz w:val="21"/>
              </w:rPr>
              <w:t>对政府与群众的价值</w:t>
            </w:r>
          </w:p>
        </w:tc>
      </w:tr>
      <w:tr>
        <w:tc>
          <w:tcPr>
            <w:tcW w:type="dxa" w:w="2324"/>
            <w:vAlign w:val="center"/>
            <w:tcMar>
              <w:top w:w="90" w:type="dxa"/>
              <w:start w:w="110" w:type="dxa"/>
              <w:bottom w:w="90" w:type="dxa"/>
              <w:end w:w="110" w:type="dxa"/>
            </w:tcMar>
          </w:tcPr>
          <w:p>
            <w:pPr>
              <w:pStyle w:val="TableText"/>
              <w:jc w:val="center"/>
            </w:pPr>
            <w:r>
              <w:rPr>
                <w:rFonts w:ascii="Noto Serif CJK SC" w:hAnsi="Noto Serif CJK SC" w:eastAsia="Noto Serif CJK SC"/>
                <w:sz w:val="20"/>
              </w:rPr>
              <w:t>2 微升、2 分钟、20,000+ 分子特征</w:t>
            </w:r>
          </w:p>
        </w:tc>
        <w:tc>
          <w:tcPr>
            <w:tcW w:type="dxa" w:w="2494"/>
            <w:vAlign w:val="center"/>
            <w:tcMar>
              <w:top w:w="90" w:type="dxa"/>
              <w:start w:w="110" w:type="dxa"/>
              <w:bottom w:w="90" w:type="dxa"/>
              <w:end w:w="110" w:type="dxa"/>
            </w:tcMar>
          </w:tcPr>
          <w:p>
            <w:pPr>
              <w:pStyle w:val="TableText"/>
              <w:jc w:val="left"/>
            </w:pPr>
            <w:r>
              <w:rPr>
                <w:rFonts w:ascii="Noto Serif CJK SC" w:hAnsi="Noto Serif CJK SC" w:eastAsia="Noto Serif CJK SC"/>
                <w:sz w:val="20"/>
              </w:rPr>
              <w:t>具备高通量筛查和人群服务潜力</w:t>
            </w:r>
          </w:p>
        </w:tc>
        <w:tc>
          <w:tcPr>
            <w:tcW w:type="dxa" w:w="3402"/>
            <w:vAlign w:val="center"/>
            <w:tcMar>
              <w:top w:w="90" w:type="dxa"/>
              <w:start w:w="110" w:type="dxa"/>
              <w:bottom w:w="90" w:type="dxa"/>
              <w:end w:w="110" w:type="dxa"/>
            </w:tcMar>
          </w:tcPr>
          <w:p>
            <w:pPr>
              <w:pStyle w:val="TableText"/>
              <w:jc w:val="left"/>
            </w:pPr>
            <w:r>
              <w:rPr>
                <w:rFonts w:ascii="Noto Serif CJK SC" w:hAnsi="Noto Serif CJK SC" w:eastAsia="Noto Serif CJK SC"/>
                <w:sz w:val="20"/>
              </w:rPr>
              <w:t>适合嵌入体检中心、队列研究和区域试点，提升服务效率</w:t>
            </w:r>
          </w:p>
        </w:tc>
      </w:tr>
      <w:tr>
        <w:tc>
          <w:tcPr>
            <w:tcW w:type="dxa" w:w="2324"/>
            <w:vAlign w:val="center"/>
            <w:tcMar>
              <w:top w:w="90" w:type="dxa"/>
              <w:start w:w="110" w:type="dxa"/>
              <w:bottom w:w="90" w:type="dxa"/>
              <w:end w:w="110" w:type="dxa"/>
            </w:tcMar>
          </w:tcPr>
          <w:p>
            <w:pPr>
              <w:pStyle w:val="TableText"/>
              <w:jc w:val="center"/>
            </w:pPr>
            <w:r>
              <w:rPr>
                <w:rFonts w:ascii="Noto Serif CJK SC" w:hAnsi="Noto Serif CJK SC" w:eastAsia="Noto Serif CJK SC"/>
                <w:sz w:val="20"/>
              </w:rPr>
              <w:t>谱学衰老时钟模型</w:t>
            </w:r>
          </w:p>
        </w:tc>
        <w:tc>
          <w:tcPr>
            <w:tcW w:type="dxa" w:w="2494"/>
            <w:vAlign w:val="center"/>
            <w:tcMar>
              <w:top w:w="90" w:type="dxa"/>
              <w:start w:w="110" w:type="dxa"/>
              <w:bottom w:w="90" w:type="dxa"/>
              <w:end w:w="110" w:type="dxa"/>
            </w:tcMar>
          </w:tcPr>
          <w:p>
            <w:pPr>
              <w:pStyle w:val="TableText"/>
              <w:jc w:val="left"/>
            </w:pPr>
            <w:r>
              <w:rPr>
                <w:rFonts w:ascii="Noto Serif CJK SC" w:hAnsi="Noto Serif CJK SC" w:eastAsia="Noto Serif CJK SC"/>
                <w:sz w:val="20"/>
              </w:rPr>
              <w:t>可形成群众易理解的“代谢年龄”指标</w:t>
            </w:r>
          </w:p>
        </w:tc>
        <w:tc>
          <w:tcPr>
            <w:tcW w:type="dxa" w:w="3402"/>
            <w:vAlign w:val="center"/>
            <w:tcMar>
              <w:top w:w="90" w:type="dxa"/>
              <w:start w:w="110" w:type="dxa"/>
              <w:bottom w:w="90" w:type="dxa"/>
              <w:end w:w="110" w:type="dxa"/>
            </w:tcMar>
          </w:tcPr>
          <w:p>
            <w:pPr>
              <w:pStyle w:val="TableText"/>
              <w:jc w:val="left"/>
            </w:pPr>
            <w:r>
              <w:rPr>
                <w:rFonts w:ascii="Noto Serif CJK SC" w:hAnsi="Noto Serif CJK SC" w:eastAsia="Noto Serif CJK SC"/>
                <w:sz w:val="20"/>
              </w:rPr>
              <w:t>便于开展健康老龄化评估、年度复测和干预效果追踪</w:t>
            </w:r>
          </w:p>
        </w:tc>
      </w:tr>
      <w:tr>
        <w:tc>
          <w:tcPr>
            <w:tcW w:type="dxa" w:w="2324"/>
            <w:vAlign w:val="center"/>
            <w:tcMar>
              <w:top w:w="90" w:type="dxa"/>
              <w:start w:w="110" w:type="dxa"/>
              <w:bottom w:w="90" w:type="dxa"/>
              <w:end w:w="110" w:type="dxa"/>
            </w:tcMar>
          </w:tcPr>
          <w:p>
            <w:pPr>
              <w:pStyle w:val="TableText"/>
              <w:jc w:val="center"/>
            </w:pPr>
            <w:r>
              <w:rPr>
                <w:rFonts w:ascii="Noto Serif CJK SC" w:hAnsi="Noto Serif CJK SC" w:eastAsia="Noto Serif CJK SC"/>
                <w:sz w:val="20"/>
              </w:rPr>
              <w:t>分子-疾病关联建模</w:t>
            </w:r>
          </w:p>
        </w:tc>
        <w:tc>
          <w:tcPr>
            <w:tcW w:type="dxa" w:w="2494"/>
            <w:vAlign w:val="center"/>
            <w:tcMar>
              <w:top w:w="90" w:type="dxa"/>
              <w:start w:w="110" w:type="dxa"/>
              <w:bottom w:w="90" w:type="dxa"/>
              <w:end w:w="110" w:type="dxa"/>
            </w:tcMar>
          </w:tcPr>
          <w:p>
            <w:pPr>
              <w:pStyle w:val="TableText"/>
              <w:jc w:val="left"/>
            </w:pPr>
            <w:r>
              <w:rPr>
                <w:rFonts w:ascii="Noto Serif CJK SC" w:hAnsi="Noto Serif CJK SC" w:eastAsia="Noto Serif CJK SC"/>
                <w:sz w:val="20"/>
              </w:rPr>
              <w:t>能够把深度检测结果翻译为风险分层和干预重点</w:t>
            </w:r>
          </w:p>
        </w:tc>
        <w:tc>
          <w:tcPr>
            <w:tcW w:type="dxa" w:w="3402"/>
            <w:vAlign w:val="center"/>
            <w:tcMar>
              <w:top w:w="90" w:type="dxa"/>
              <w:start w:w="110" w:type="dxa"/>
              <w:bottom w:w="90" w:type="dxa"/>
              <w:end w:w="110" w:type="dxa"/>
            </w:tcMar>
          </w:tcPr>
          <w:p>
            <w:pPr>
              <w:pStyle w:val="TableText"/>
              <w:jc w:val="left"/>
            </w:pPr>
            <w:r>
              <w:rPr>
                <w:rFonts w:ascii="Noto Serif CJK SC" w:hAnsi="Noto Serif CJK SC" w:eastAsia="Noto Serif CJK SC"/>
                <w:sz w:val="20"/>
              </w:rPr>
              <w:t>为慢病早筛、风险人群管理和健康宣教提供依据</w:t>
            </w:r>
          </w:p>
        </w:tc>
      </w:tr>
      <w:tr>
        <w:tc>
          <w:tcPr>
            <w:tcW w:type="dxa" w:w="2324"/>
            <w:vAlign w:val="center"/>
            <w:tcMar>
              <w:top w:w="90" w:type="dxa"/>
              <w:start w:w="110" w:type="dxa"/>
              <w:bottom w:w="90" w:type="dxa"/>
              <w:end w:w="110" w:type="dxa"/>
            </w:tcMar>
          </w:tcPr>
          <w:p>
            <w:pPr>
              <w:pStyle w:val="TableText"/>
              <w:jc w:val="center"/>
            </w:pPr>
            <w:r>
              <w:rPr>
                <w:rFonts w:ascii="Noto Serif CJK SC" w:hAnsi="Noto Serif CJK SC" w:eastAsia="Noto Serif CJK SC"/>
                <w:sz w:val="20"/>
              </w:rPr>
              <w:t>多源数据融合与智能体服务</w:t>
            </w:r>
          </w:p>
        </w:tc>
        <w:tc>
          <w:tcPr>
            <w:tcW w:type="dxa" w:w="2494"/>
            <w:vAlign w:val="center"/>
            <w:tcMar>
              <w:top w:w="90" w:type="dxa"/>
              <w:start w:w="110" w:type="dxa"/>
              <w:bottom w:w="90" w:type="dxa"/>
              <w:end w:w="110" w:type="dxa"/>
            </w:tcMar>
          </w:tcPr>
          <w:p>
            <w:pPr>
              <w:pStyle w:val="TableText"/>
              <w:jc w:val="left"/>
            </w:pPr>
            <w:r>
              <w:rPr>
                <w:rFonts w:ascii="Noto Serif CJK SC" w:hAnsi="Noto Serif CJK SC" w:eastAsia="Noto Serif CJK SC"/>
                <w:sz w:val="20"/>
              </w:rPr>
              <w:t>一次深检结果可转化为后续长期管理</w:t>
            </w:r>
          </w:p>
        </w:tc>
        <w:tc>
          <w:tcPr>
            <w:tcW w:type="dxa" w:w="3402"/>
            <w:vAlign w:val="center"/>
            <w:tcMar>
              <w:top w:w="90" w:type="dxa"/>
              <w:start w:w="110" w:type="dxa"/>
              <w:bottom w:w="90" w:type="dxa"/>
              <w:end w:w="110" w:type="dxa"/>
            </w:tcMar>
          </w:tcPr>
          <w:p>
            <w:pPr>
              <w:pStyle w:val="TableText"/>
              <w:jc w:val="left"/>
            </w:pPr>
            <w:r>
              <w:rPr>
                <w:rFonts w:ascii="Noto Serif CJK SC" w:hAnsi="Noto Serif CJK SC" w:eastAsia="Noto Serif CJK SC"/>
                <w:sz w:val="20"/>
              </w:rPr>
              <w:t>减少“一检了之”，提高群众持续参与和机构持续服务能力</w:t>
            </w:r>
          </w:p>
        </w:tc>
      </w:tr>
    </w:tbl>
    <w:p>
      <w:pPr>
        <w:pStyle w:val="H1Custom"/>
        <w:keepNext/>
      </w:pPr>
      <w:r>
        <w:rPr>
          <w:rFonts w:ascii="Noto Sans CJK SC" w:hAnsi="Noto Sans CJK SC" w:eastAsia="Noto Sans CJK SC"/>
          <w:b/>
          <w:color w:val="19396A"/>
          <w:sz w:val="30"/>
        </w:rPr>
        <w:t>五、系统建设内容与服务闭环</w:t>
      </w:r>
    </w:p>
    <w:p>
      <w:pPr>
        <w:pStyle w:val="H2Custom"/>
        <w:keepNext/>
      </w:pPr>
      <w:r>
        <w:rPr>
          <w:rFonts w:ascii="Noto Sans CJK SC" w:hAnsi="Noto Sans CJK SC" w:eastAsia="Noto Sans CJK SC"/>
          <w:b/>
          <w:color w:val="2C4E80"/>
          <w:sz w:val="25"/>
        </w:rPr>
        <w:t>（一）总体建设框架</w:t>
      </w:r>
    </w:p>
    <w:p>
      <w:pPr/>
      <w:r>
        <w:rPr>
          <w:rFonts w:ascii="Noto Serif CJK SC" w:hAnsi="Noto Serif CJK SC" w:eastAsia="Noto Serif CJK SC"/>
          <w:sz w:val="22"/>
        </w:rPr>
        <w:t>建议采用“一个锚点、两类模型、三个层次服务”的建设框架。所谓一个锚点，是指以代谢组学和谱学衰老时钟形成的深度分子画像作为长期健康基线；两类模型，是指面向群体规律学习的公共模型和面向个人持续更新的个人模型；三个层次服务，是指风险识别、个体建议和主动干预。</w:t>
      </w:r>
    </w:p>
    <w:p>
      <w:pPr>
        <w:pStyle w:val="H2Custom"/>
        <w:keepNext/>
      </w:pPr>
      <w:r>
        <w:rPr>
          <w:rFonts w:ascii="Noto Sans CJK SC" w:hAnsi="Noto Sans CJK SC" w:eastAsia="Noto Sans CJK SC"/>
          <w:b/>
          <w:color w:val="2C4E80"/>
          <w:sz w:val="25"/>
        </w:rPr>
        <w:t>（二）服务闭环应突出主动健康而非单次问答</w:t>
      </w:r>
    </w:p>
    <w:p>
      <w:pPr>
        <w:pStyle w:val="BodyNoIndent"/>
        <w:ind w:left="227" w:hanging="227"/>
      </w:pPr>
      <w:r>
        <w:rPr>
          <w:rFonts w:ascii="Noto Serif CJK SC" w:hAnsi="Noto Serif CJK SC" w:eastAsia="Noto Serif CJK SC"/>
          <w:sz w:val="22"/>
        </w:rPr>
        <w:t>• 第一步，完成一次深度检测，形成个人代谢画像、代谢年龄和重点异常风险提示。</w:t>
      </w:r>
    </w:p>
    <w:p>
      <w:pPr>
        <w:pStyle w:val="BodyNoIndent"/>
        <w:ind w:left="227" w:hanging="227"/>
      </w:pPr>
      <w:r>
        <w:rPr>
          <w:rFonts w:ascii="Noto Serif CJK SC" w:hAnsi="Noto Serif CJK SC" w:eastAsia="Noto Serif CJK SC"/>
          <w:sz w:val="22"/>
        </w:rPr>
        <w:t>• 第二步，结合体检报告、病历摘要以及连续血糖监测等动态数据，建立个体风险跟踪档案。</w:t>
      </w:r>
    </w:p>
    <w:p>
      <w:pPr>
        <w:pStyle w:val="BodyNoIndent"/>
        <w:ind w:left="227" w:hanging="227"/>
      </w:pPr>
      <w:r>
        <w:rPr>
          <w:rFonts w:ascii="Noto Serif CJK SC" w:hAnsi="Noto Serif CJK SC" w:eastAsia="Noto Serif CJK SC"/>
          <w:sz w:val="22"/>
        </w:rPr>
        <w:t>• 第三步，由智能体系统生成分层建议，包括饮食、运动、复测、转诊提醒和周期性健康复盘。</w:t>
      </w:r>
    </w:p>
    <w:p>
      <w:pPr>
        <w:pStyle w:val="BodyNoIndent"/>
        <w:ind w:left="227" w:hanging="227"/>
      </w:pPr>
      <w:r>
        <w:rPr>
          <w:rFonts w:ascii="Noto Serif CJK SC" w:hAnsi="Noto Serif CJK SC" w:eastAsia="Noto Serif CJK SC"/>
          <w:sz w:val="22"/>
        </w:rPr>
        <w:t>• 第四步，根据用户执行反馈和后续数据变化，持续调整干预策略，形成“检测 - 监测 - 干预 - 评估 - 再优化”的闭环。</w:t>
      </w:r>
    </w:p>
    <w:p>
      <w:pPr/>
      <w:r>
        <w:rPr>
          <w:rFonts w:ascii="Noto Serif CJK SC" w:hAnsi="Noto Serif CJK SC" w:eastAsia="Noto Serif CJK SC"/>
          <w:sz w:val="22"/>
        </w:rPr>
        <w:t>这里需要特别强调，智能体系统的核心价值不在于回答用户一次问题，而在于形成长期、连续、可评估的主动健康服务机制。对政府而言，这更符合慢病管理、健康中国和基层健康服务能力提升的方向。</w:t>
      </w:r>
    </w:p>
    <w:p>
      <w:pPr>
        <w:pStyle w:val="H2Custom"/>
        <w:keepNext/>
      </w:pPr>
      <w:r>
        <w:rPr>
          <w:rFonts w:ascii="Noto Sans CJK SC" w:hAnsi="Noto Sans CJK SC" w:eastAsia="Noto Sans CJK SC"/>
          <w:b/>
          <w:color w:val="2C4E80"/>
          <w:sz w:val="25"/>
        </w:rPr>
        <w:t>（三）首期建设边界要明确</w:t>
      </w:r>
    </w:p>
    <w:tbl>
      <w:tblPr>
        <w:tblW w:type="auto" w:w="0"/>
        <w:jc w:val="center"/>
        <w:tblLayout w:type="fixed"/>
        <w:tblLook w:firstColumn="1" w:firstRow="1" w:lastColumn="0" w:lastRow="0" w:noHBand="0" w:noVBand="1" w:val="04A0"/>
        <w:tblBorders>
          <w:top w:val="single" w:sz="6" w:space="0" w:color="D9E0EB"/>
          <w:left w:val="single" w:sz="6" w:space="0" w:color="D9E0EB"/>
          <w:bottom w:val="single" w:sz="6" w:space="0" w:color="D9E0EB"/>
          <w:right w:val="single" w:sz="6" w:space="0" w:color="D9E0EB"/>
          <w:insideH w:val="single" w:sz="6" w:space="0" w:color="D9E0EB"/>
          <w:insideV w:val="single" w:sz="6" w:space="0" w:color="D9E0EB"/>
        </w:tblBorders>
      </w:tblPr>
      <w:tblGrid>
        <w:gridCol w:w="8391"/>
      </w:tblGrid>
      <w:tr>
        <w:tc>
          <w:tcPr>
            <w:tcW w:type="dxa" w:w="9178"/>
            <w:shd w:fill="F7F9FC"/>
            <w:tcMar>
              <w:top w:w="150" w:type="dxa"/>
              <w:start w:w="170" w:type="dxa"/>
              <w:bottom w:w="150" w:type="dxa"/>
              <w:end w:w="170" w:type="dxa"/>
            </w:tcMar>
          </w:tcPr>
          <w:p>
            <w:pPr>
              <w:pStyle w:val="BodyNoIndent"/>
            </w:pPr>
            <w:r>
              <w:rPr>
                <w:rFonts w:ascii="Noto Sans CJK SC" w:hAnsi="Noto Sans CJK SC" w:eastAsia="Noto Sans CJK SC"/>
                <w:b/>
                <w:color w:val="444444"/>
                <w:sz w:val="22"/>
              </w:rPr>
              <w:t>合规边界建议：</w:t>
            </w:r>
            <w:r>
              <w:rPr>
                <w:rFonts w:ascii="Noto Serif CJK SC" w:hAnsi="Noto Serif CJK SC" w:eastAsia="Noto Serif CJK SC"/>
                <w:sz w:val="22"/>
              </w:rPr>
              <w:t xml:space="preserve"> 第一阶段以健康管理、风险分层、生活方式指导和复测建议为主，不输出临床确诊结论；涉及急危重症、药物调整、复杂病情判断等情形时，应明确提示用户就医或转由专业人员复核。</w:t>
            </w:r>
          </w:p>
        </w:tc>
      </w:tr>
    </w:tbl>
    <w:p>
      <w:pPr>
        <w:pStyle w:val="H1Custom"/>
        <w:keepNext/>
      </w:pPr>
      <w:r>
        <w:rPr>
          <w:rFonts w:ascii="Noto Sans CJK SC" w:hAnsi="Noto Sans CJK SC" w:eastAsia="Noto Sans CJK SC"/>
          <w:b/>
          <w:color w:val="19396A"/>
          <w:sz w:val="30"/>
        </w:rPr>
        <w:t>六、实施路径与验证方案</w:t>
      </w:r>
    </w:p>
    <w:p>
      <w:pPr>
        <w:pStyle w:val="H2Custom"/>
        <w:keepNext/>
      </w:pPr>
      <w:r>
        <w:rPr>
          <w:rFonts w:ascii="Noto Sans CJK SC" w:hAnsi="Noto Sans CJK SC" w:eastAsia="Noto Sans CJK SC"/>
          <w:b/>
          <w:color w:val="2C4E80"/>
          <w:sz w:val="25"/>
        </w:rPr>
        <w:t>（一）建议坚持“先试点、再扩面、后平台化”</w:t>
      </w:r>
    </w:p>
    <w:tbl>
      <w:tblPr>
        <w:tblW w:type="auto" w:w="0"/>
        <w:jc w:val="center"/>
        <w:tblLayout w:type="fixed"/>
        <w:tblLook w:firstColumn="1" w:firstRow="1" w:lastColumn="0" w:lastRow="0" w:noHBand="0" w:noVBand="1" w:val="04A0"/>
        <w:tblBorders>
          <w:top w:val="single" w:sz="8" w:space="0" w:color="C8D2E0"/>
          <w:left w:val="single" w:sz="8" w:space="0" w:color="C8D2E0"/>
          <w:bottom w:val="single" w:sz="8" w:space="0" w:color="C8D2E0"/>
          <w:right w:val="single" w:sz="8" w:space="0" w:color="C8D2E0"/>
          <w:insideH w:val="single" w:sz="8" w:space="0" w:color="C8D2E0"/>
          <w:insideV w:val="single" w:sz="8" w:space="0" w:color="C8D2E0"/>
        </w:tblBorders>
      </w:tblPr>
      <w:tblGrid>
        <w:gridCol w:w="1191"/>
        <w:gridCol w:w="1701"/>
        <w:gridCol w:w="2835"/>
        <w:gridCol w:w="2494"/>
      </w:tblGrid>
      <w:tr>
        <w:tc>
          <w:tcPr>
            <w:tcW w:type="dxa" w:w="2294"/>
            <w:shd w:fill="DCE7F6"/>
            <w:tcMar>
              <w:top w:w="100" w:type="dxa"/>
              <w:start w:w="120" w:type="dxa"/>
              <w:bottom w:w="100" w:type="dxa"/>
              <w:end w:w="120" w:type="dxa"/>
            </w:tcMar>
          </w:tcPr>
          <w:p>
            <w:pPr>
              <w:pStyle w:val="TableText"/>
              <w:jc w:val="center"/>
            </w:pPr>
            <w:r>
              <w:rPr>
                <w:rFonts w:ascii="Noto Sans CJK SC" w:hAnsi="Noto Sans CJK SC" w:eastAsia="Noto Sans CJK SC"/>
                <w:b/>
                <w:color w:val="182F5E"/>
                <w:sz w:val="21"/>
              </w:rPr>
              <w:t>阶段</w:t>
            </w:r>
          </w:p>
        </w:tc>
        <w:tc>
          <w:tcPr>
            <w:tcW w:type="dxa" w:w="2294"/>
            <w:shd w:fill="DCE7F6"/>
            <w:tcMar>
              <w:top w:w="100" w:type="dxa"/>
              <w:start w:w="120" w:type="dxa"/>
              <w:bottom w:w="100" w:type="dxa"/>
              <w:end w:w="120" w:type="dxa"/>
            </w:tcMar>
          </w:tcPr>
          <w:p>
            <w:pPr>
              <w:pStyle w:val="TableText"/>
              <w:jc w:val="center"/>
            </w:pPr>
            <w:r>
              <w:rPr>
                <w:rFonts w:ascii="Noto Sans CJK SC" w:hAnsi="Noto Sans CJK SC" w:eastAsia="Noto Sans CJK SC"/>
                <w:b/>
                <w:color w:val="182F5E"/>
                <w:sz w:val="21"/>
              </w:rPr>
              <w:t>时间建议</w:t>
            </w:r>
          </w:p>
        </w:tc>
        <w:tc>
          <w:tcPr>
            <w:tcW w:type="dxa" w:w="2294"/>
            <w:shd w:fill="DCE7F6"/>
            <w:tcMar>
              <w:top w:w="100" w:type="dxa"/>
              <w:start w:w="120" w:type="dxa"/>
              <w:bottom w:w="100" w:type="dxa"/>
              <w:end w:w="120" w:type="dxa"/>
            </w:tcMar>
          </w:tcPr>
          <w:p>
            <w:pPr>
              <w:pStyle w:val="TableText"/>
              <w:jc w:val="center"/>
            </w:pPr>
            <w:r>
              <w:rPr>
                <w:rFonts w:ascii="Noto Sans CJK SC" w:hAnsi="Noto Sans CJK SC" w:eastAsia="Noto Sans CJK SC"/>
                <w:b/>
                <w:color w:val="182F5E"/>
                <w:sz w:val="21"/>
              </w:rPr>
              <w:t>建设重点</w:t>
            </w:r>
          </w:p>
        </w:tc>
        <w:tc>
          <w:tcPr>
            <w:tcW w:type="dxa" w:w="2294"/>
            <w:shd w:fill="DCE7F6"/>
            <w:tcMar>
              <w:top w:w="100" w:type="dxa"/>
              <w:start w:w="120" w:type="dxa"/>
              <w:bottom w:w="100" w:type="dxa"/>
              <w:end w:w="120" w:type="dxa"/>
            </w:tcMar>
          </w:tcPr>
          <w:p>
            <w:pPr>
              <w:pStyle w:val="TableText"/>
              <w:jc w:val="center"/>
            </w:pPr>
            <w:r>
              <w:rPr>
                <w:rFonts w:ascii="Noto Sans CJK SC" w:hAnsi="Noto Sans CJK SC" w:eastAsia="Noto Sans CJK SC"/>
                <w:b/>
                <w:color w:val="182F5E"/>
                <w:sz w:val="21"/>
              </w:rPr>
              <w:t>预期输出</w:t>
            </w:r>
          </w:p>
        </w:tc>
      </w:tr>
      <w:tr>
        <w:tc>
          <w:tcPr>
            <w:tcW w:type="dxa" w:w="1191"/>
            <w:vAlign w:val="center"/>
            <w:tcMar>
              <w:top w:w="90" w:type="dxa"/>
              <w:start w:w="110" w:type="dxa"/>
              <w:bottom w:w="90" w:type="dxa"/>
              <w:end w:w="110" w:type="dxa"/>
            </w:tcMar>
          </w:tcPr>
          <w:p>
            <w:pPr>
              <w:pStyle w:val="TableText"/>
              <w:jc w:val="center"/>
            </w:pPr>
            <w:r>
              <w:rPr>
                <w:rFonts w:ascii="Noto Serif CJK SC" w:hAnsi="Noto Serif CJK SC" w:eastAsia="Noto Serif CJK SC"/>
                <w:sz w:val="20"/>
              </w:rPr>
              <w:t>阶段一</w:t>
            </w:r>
          </w:p>
        </w:tc>
        <w:tc>
          <w:tcPr>
            <w:tcW w:type="dxa" w:w="1701"/>
            <w:vAlign w:val="center"/>
            <w:tcMar>
              <w:top w:w="90" w:type="dxa"/>
              <w:start w:w="110" w:type="dxa"/>
              <w:bottom w:w="90" w:type="dxa"/>
              <w:end w:w="110" w:type="dxa"/>
            </w:tcMar>
          </w:tcPr>
          <w:p>
            <w:pPr>
              <w:pStyle w:val="TableText"/>
              <w:jc w:val="center"/>
            </w:pPr>
            <w:r>
              <w:rPr>
                <w:rFonts w:ascii="Noto Serif CJK SC" w:hAnsi="Noto Serif CJK SC" w:eastAsia="Noto Serif CJK SC"/>
                <w:sz w:val="20"/>
              </w:rPr>
              <w:t>2026 年</w:t>
            </w:r>
          </w:p>
        </w:tc>
        <w:tc>
          <w:tcPr>
            <w:tcW w:type="dxa" w:w="2835"/>
            <w:vAlign w:val="center"/>
            <w:tcMar>
              <w:top w:w="90" w:type="dxa"/>
              <w:start w:w="110" w:type="dxa"/>
              <w:bottom w:w="90" w:type="dxa"/>
              <w:end w:w="110" w:type="dxa"/>
            </w:tcMar>
          </w:tcPr>
          <w:p>
            <w:pPr>
              <w:pStyle w:val="TableText"/>
              <w:jc w:val="left"/>
            </w:pPr>
            <w:r>
              <w:rPr>
                <w:rFonts w:ascii="Noto Serif CJK SC" w:hAnsi="Noto Serif CJK SC" w:eastAsia="Noto Serif CJK SC"/>
                <w:sz w:val="20"/>
              </w:rPr>
              <w:t>完成“代谢组学 + 体检 + CGM + 智能体建议”核心链路，选取体检中心、社区或慢病管理机构开展小范围试点</w:t>
            </w:r>
          </w:p>
        </w:tc>
        <w:tc>
          <w:tcPr>
            <w:tcW w:type="dxa" w:w="2494"/>
            <w:vAlign w:val="center"/>
            <w:tcMar>
              <w:top w:w="90" w:type="dxa"/>
              <w:start w:w="110" w:type="dxa"/>
              <w:bottom w:w="90" w:type="dxa"/>
              <w:end w:w="110" w:type="dxa"/>
            </w:tcMar>
          </w:tcPr>
          <w:p>
            <w:pPr>
              <w:pStyle w:val="TableText"/>
              <w:jc w:val="center"/>
            </w:pPr>
            <w:r>
              <w:rPr>
                <w:rFonts w:ascii="Noto Serif CJK SC" w:hAnsi="Noto Serif CJK SC" w:eastAsia="Noto Serif CJK SC"/>
                <w:sz w:val="20"/>
              </w:rPr>
              <w:t>形成可演示原型、标准流程、首批试点数据和初步成效评估</w:t>
            </w:r>
          </w:p>
        </w:tc>
      </w:tr>
      <w:tr>
        <w:tc>
          <w:tcPr>
            <w:tcW w:type="dxa" w:w="1191"/>
            <w:vAlign w:val="center"/>
            <w:tcMar>
              <w:top w:w="90" w:type="dxa"/>
              <w:start w:w="110" w:type="dxa"/>
              <w:bottom w:w="90" w:type="dxa"/>
              <w:end w:w="110" w:type="dxa"/>
            </w:tcMar>
          </w:tcPr>
          <w:p>
            <w:pPr>
              <w:pStyle w:val="TableText"/>
              <w:jc w:val="center"/>
            </w:pPr>
            <w:r>
              <w:rPr>
                <w:rFonts w:ascii="Noto Serif CJK SC" w:hAnsi="Noto Serif CJK SC" w:eastAsia="Noto Serif CJK SC"/>
                <w:sz w:val="20"/>
              </w:rPr>
              <w:t>阶段二</w:t>
            </w:r>
          </w:p>
        </w:tc>
        <w:tc>
          <w:tcPr>
            <w:tcW w:type="dxa" w:w="1701"/>
            <w:vAlign w:val="center"/>
            <w:tcMar>
              <w:top w:w="90" w:type="dxa"/>
              <w:start w:w="110" w:type="dxa"/>
              <w:bottom w:w="90" w:type="dxa"/>
              <w:end w:w="110" w:type="dxa"/>
            </w:tcMar>
          </w:tcPr>
          <w:p>
            <w:pPr>
              <w:pStyle w:val="TableText"/>
              <w:jc w:val="center"/>
            </w:pPr>
            <w:r>
              <w:rPr>
                <w:rFonts w:ascii="Noto Serif CJK SC" w:hAnsi="Noto Serif CJK SC" w:eastAsia="Noto Serif CJK SC"/>
                <w:sz w:val="20"/>
              </w:rPr>
              <w:t>2027 年</w:t>
            </w:r>
          </w:p>
        </w:tc>
        <w:tc>
          <w:tcPr>
            <w:tcW w:type="dxa" w:w="2835"/>
            <w:vAlign w:val="center"/>
            <w:tcMar>
              <w:top w:w="90" w:type="dxa"/>
              <w:start w:w="110" w:type="dxa"/>
              <w:bottom w:w="90" w:type="dxa"/>
              <w:end w:w="110" w:type="dxa"/>
            </w:tcMar>
          </w:tcPr>
          <w:p>
            <w:pPr>
              <w:pStyle w:val="TableText"/>
              <w:jc w:val="left"/>
            </w:pPr>
            <w:r>
              <w:rPr>
                <w:rFonts w:ascii="Noto Serif CJK SC" w:hAnsi="Noto Serif CJK SC" w:eastAsia="Noto Serif CJK SC"/>
                <w:sz w:val="20"/>
              </w:rPr>
              <w:t>扩大样本量，推进多中心验证，接入血压、心率、睡眠、运动等更多动态数据</w:t>
            </w:r>
          </w:p>
        </w:tc>
        <w:tc>
          <w:tcPr>
            <w:tcW w:type="dxa" w:w="2494"/>
            <w:vAlign w:val="center"/>
            <w:tcMar>
              <w:top w:w="90" w:type="dxa"/>
              <w:start w:w="110" w:type="dxa"/>
              <w:bottom w:w="90" w:type="dxa"/>
              <w:end w:w="110" w:type="dxa"/>
            </w:tcMar>
          </w:tcPr>
          <w:p>
            <w:pPr>
              <w:pStyle w:val="TableText"/>
              <w:jc w:val="center"/>
            </w:pPr>
            <w:r>
              <w:rPr>
                <w:rFonts w:ascii="Noto Serif CJK SC" w:hAnsi="Noto Serif CJK SC" w:eastAsia="Noto Serif CJK SC"/>
                <w:sz w:val="20"/>
              </w:rPr>
              <w:t>形成多场景服务模型、区域示范案例和评价指标体系</w:t>
            </w:r>
          </w:p>
        </w:tc>
      </w:tr>
      <w:tr>
        <w:tc>
          <w:tcPr>
            <w:tcW w:type="dxa" w:w="1191"/>
            <w:vAlign w:val="center"/>
            <w:tcMar>
              <w:top w:w="90" w:type="dxa"/>
              <w:start w:w="110" w:type="dxa"/>
              <w:bottom w:w="90" w:type="dxa"/>
              <w:end w:w="110" w:type="dxa"/>
            </w:tcMar>
          </w:tcPr>
          <w:p>
            <w:pPr>
              <w:pStyle w:val="TableText"/>
              <w:jc w:val="center"/>
            </w:pPr>
            <w:r>
              <w:rPr>
                <w:rFonts w:ascii="Noto Serif CJK SC" w:hAnsi="Noto Serif CJK SC" w:eastAsia="Noto Serif CJK SC"/>
                <w:sz w:val="20"/>
              </w:rPr>
              <w:t>阶段三</w:t>
            </w:r>
          </w:p>
        </w:tc>
        <w:tc>
          <w:tcPr>
            <w:tcW w:type="dxa" w:w="1701"/>
            <w:vAlign w:val="center"/>
            <w:tcMar>
              <w:top w:w="90" w:type="dxa"/>
              <w:start w:w="110" w:type="dxa"/>
              <w:bottom w:w="90" w:type="dxa"/>
              <w:end w:w="110" w:type="dxa"/>
            </w:tcMar>
          </w:tcPr>
          <w:p>
            <w:pPr>
              <w:pStyle w:val="TableText"/>
              <w:jc w:val="center"/>
            </w:pPr>
            <w:r>
              <w:rPr>
                <w:rFonts w:ascii="Noto Serif CJK SC" w:hAnsi="Noto Serif CJK SC" w:eastAsia="Noto Serif CJK SC"/>
                <w:sz w:val="20"/>
              </w:rPr>
              <w:t>2028 年及以后</w:t>
            </w:r>
          </w:p>
        </w:tc>
        <w:tc>
          <w:tcPr>
            <w:tcW w:type="dxa" w:w="2835"/>
            <w:vAlign w:val="center"/>
            <w:tcMar>
              <w:top w:w="90" w:type="dxa"/>
              <w:start w:w="110" w:type="dxa"/>
              <w:bottom w:w="90" w:type="dxa"/>
              <w:end w:w="110" w:type="dxa"/>
            </w:tcMar>
          </w:tcPr>
          <w:p>
            <w:pPr>
              <w:pStyle w:val="TableText"/>
              <w:jc w:val="left"/>
            </w:pPr>
            <w:r>
              <w:rPr>
                <w:rFonts w:ascii="Noto Serif CJK SC" w:hAnsi="Noto Serif CJK SC" w:eastAsia="Noto Serif CJK SC"/>
                <w:sz w:val="20"/>
              </w:rPr>
              <w:t>建设多设备数据研究与服务平台，探索标准输出和更广泛推广</w:t>
            </w:r>
          </w:p>
        </w:tc>
        <w:tc>
          <w:tcPr>
            <w:tcW w:type="dxa" w:w="2494"/>
            <w:vAlign w:val="center"/>
            <w:tcMar>
              <w:top w:w="90" w:type="dxa"/>
              <w:start w:w="110" w:type="dxa"/>
              <w:bottom w:w="90" w:type="dxa"/>
              <w:end w:w="110" w:type="dxa"/>
            </w:tcMar>
          </w:tcPr>
          <w:p>
            <w:pPr>
              <w:pStyle w:val="TableText"/>
              <w:jc w:val="center"/>
            </w:pPr>
            <w:r>
              <w:rPr>
                <w:rFonts w:ascii="Noto Serif CJK SC" w:hAnsi="Noto Serif CJK SC" w:eastAsia="Noto Serif CJK SC"/>
                <w:sz w:val="20"/>
              </w:rPr>
              <w:t>形成可复制推广模式，支撑区域主动健康服务和产业化发展</w:t>
            </w:r>
          </w:p>
        </w:tc>
      </w:tr>
    </w:tbl>
    <w:p>
      <w:pPr>
        <w:pStyle w:val="H2Custom"/>
        <w:keepNext/>
      </w:pPr>
      <w:r>
        <w:rPr>
          <w:rFonts w:ascii="Noto Sans CJK SC" w:hAnsi="Noto Sans CJK SC" w:eastAsia="Noto Sans CJK SC"/>
          <w:b/>
          <w:color w:val="2C4E80"/>
          <w:sz w:val="25"/>
        </w:rPr>
        <w:t>（二）建议补充一套面向政府与产业方都能理解的验证指标</w:t>
      </w:r>
    </w:p>
    <w:p>
      <w:pPr>
        <w:pStyle w:val="BodyNoIndent"/>
        <w:ind w:left="227" w:hanging="227"/>
      </w:pPr>
      <w:r>
        <w:rPr>
          <w:rFonts w:ascii="Noto Serif CJK SC" w:hAnsi="Noto Serif CJK SC" w:eastAsia="Noto Serif CJK SC"/>
          <w:sz w:val="22"/>
        </w:rPr>
        <w:t>• 技术指标：样本检测稳定性、模型预测准确度、重测一致性、数据合规与可用性。</w:t>
      </w:r>
    </w:p>
    <w:p>
      <w:pPr>
        <w:pStyle w:val="BodyNoIndent"/>
        <w:ind w:left="227" w:hanging="227"/>
      </w:pPr>
      <w:r>
        <w:rPr>
          <w:rFonts w:ascii="Noto Serif CJK SC" w:hAnsi="Noto Serif CJK SC" w:eastAsia="Noto Serif CJK SC"/>
          <w:sz w:val="22"/>
        </w:rPr>
        <w:t>• 服务指标：高风险人群识别率、用户依从性、复测比例、阶段性行为改善情况。</w:t>
      </w:r>
    </w:p>
    <w:p>
      <w:pPr>
        <w:pStyle w:val="BodyNoIndent"/>
        <w:ind w:left="227" w:hanging="227"/>
      </w:pPr>
      <w:r>
        <w:rPr>
          <w:rFonts w:ascii="Noto Serif CJK SC" w:hAnsi="Noto Serif CJK SC" w:eastAsia="Noto Serif CJK SC"/>
          <w:sz w:val="22"/>
        </w:rPr>
        <w:t>• 社会指标：慢病高风险人群早发现比例、群众满意度、基层管理效率提升情况。</w:t>
      </w:r>
    </w:p>
    <w:p>
      <w:pPr>
        <w:pStyle w:val="BodyNoIndent"/>
        <w:ind w:left="227" w:hanging="227"/>
      </w:pPr>
      <w:r>
        <w:rPr>
          <w:rFonts w:ascii="Noto Serif CJK SC" w:hAnsi="Noto Serif CJK SC" w:eastAsia="Noto Serif CJK SC"/>
          <w:sz w:val="22"/>
        </w:rPr>
        <w:t>• 转化指标：试点机构数量、标准化流程成熟度、合作单位续约或扩点情况。</w:t>
      </w:r>
    </w:p>
    <w:p>
      <w:pPr/>
      <w:r>
        <w:rPr>
          <w:rFonts w:ascii="Noto Serif CJK SC" w:hAnsi="Noto Serif CJK SC" w:eastAsia="Noto Serif CJK SC"/>
          <w:sz w:val="22"/>
        </w:rPr>
        <w:t>通过这类指标体系，可使项目从“科研先进”转向“治理可评估、服务可考核、产业可判断”，更适合纳入试点工程、专项项目或区域示范建设。</w:t>
      </w:r>
    </w:p>
    <w:p>
      <w:pPr>
        <w:pStyle w:val="H1Custom"/>
        <w:keepNext/>
      </w:pPr>
      <w:r>
        <w:rPr>
          <w:rFonts w:ascii="Noto Sans CJK SC" w:hAnsi="Noto Sans CJK SC" w:eastAsia="Noto Sans CJK SC"/>
          <w:b/>
          <w:color w:val="19396A"/>
          <w:sz w:val="30"/>
        </w:rPr>
        <w:t>七、预期成效与社会价值</w:t>
      </w:r>
    </w:p>
    <w:tbl>
      <w:tblPr>
        <w:tblW w:type="auto" w:w="0"/>
        <w:jc w:val="center"/>
        <w:tblLayout w:type="fixed"/>
        <w:tblLook w:firstColumn="1" w:firstRow="1" w:lastColumn="0" w:lastRow="0" w:noHBand="0" w:noVBand="1" w:val="04A0"/>
        <w:tblBorders>
          <w:top w:val="single" w:sz="8" w:space="0" w:color="C8D2E0"/>
          <w:left w:val="single" w:sz="8" w:space="0" w:color="C8D2E0"/>
          <w:bottom w:val="single" w:sz="8" w:space="0" w:color="C8D2E0"/>
          <w:right w:val="single" w:sz="8" w:space="0" w:color="C8D2E0"/>
          <w:insideH w:val="single" w:sz="8" w:space="0" w:color="C8D2E0"/>
          <w:insideV w:val="single" w:sz="8" w:space="0" w:color="C8D2E0"/>
        </w:tblBorders>
      </w:tblPr>
      <w:tblGrid>
        <w:gridCol w:w="2494"/>
        <w:gridCol w:w="5896"/>
      </w:tblGrid>
      <w:tr>
        <w:tc>
          <w:tcPr>
            <w:tcW w:type="dxa" w:w="4589"/>
            <w:shd w:fill="DCE7F6"/>
            <w:tcMar>
              <w:top w:w="100" w:type="dxa"/>
              <w:start w:w="120" w:type="dxa"/>
              <w:bottom w:w="100" w:type="dxa"/>
              <w:end w:w="120" w:type="dxa"/>
            </w:tcMar>
          </w:tcPr>
          <w:p>
            <w:pPr>
              <w:pStyle w:val="TableText"/>
              <w:jc w:val="center"/>
            </w:pPr>
            <w:r>
              <w:rPr>
                <w:rFonts w:ascii="Noto Sans CJK SC" w:hAnsi="Noto Sans CJK SC" w:eastAsia="Noto Sans CJK SC"/>
                <w:b/>
                <w:color w:val="182F5E"/>
                <w:sz w:val="21"/>
              </w:rPr>
              <w:t>成效维度</w:t>
            </w:r>
          </w:p>
        </w:tc>
        <w:tc>
          <w:tcPr>
            <w:tcW w:type="dxa" w:w="4589"/>
            <w:shd w:fill="DCE7F6"/>
            <w:tcMar>
              <w:top w:w="100" w:type="dxa"/>
              <w:start w:w="120" w:type="dxa"/>
              <w:bottom w:w="100" w:type="dxa"/>
              <w:end w:w="120" w:type="dxa"/>
            </w:tcMar>
          </w:tcPr>
          <w:p>
            <w:pPr>
              <w:pStyle w:val="TableText"/>
              <w:jc w:val="center"/>
            </w:pPr>
            <w:r>
              <w:rPr>
                <w:rFonts w:ascii="Noto Sans CJK SC" w:hAnsi="Noto Sans CJK SC" w:eastAsia="Noto Sans CJK SC"/>
                <w:b/>
                <w:color w:val="182F5E"/>
                <w:sz w:val="21"/>
              </w:rPr>
              <w:t>预期体现</w:t>
            </w:r>
          </w:p>
        </w:tc>
      </w:tr>
      <w:tr>
        <w:tc>
          <w:tcPr>
            <w:tcW w:type="dxa" w:w="2494"/>
            <w:vAlign w:val="center"/>
            <w:tcMar>
              <w:top w:w="90" w:type="dxa"/>
              <w:start w:w="110" w:type="dxa"/>
              <w:bottom w:w="90" w:type="dxa"/>
              <w:end w:w="110" w:type="dxa"/>
            </w:tcMar>
          </w:tcPr>
          <w:p>
            <w:pPr>
              <w:pStyle w:val="TableText"/>
              <w:jc w:val="center"/>
            </w:pPr>
            <w:r>
              <w:rPr>
                <w:rFonts w:ascii="Noto Serif CJK SC" w:hAnsi="Noto Serif CJK SC" w:eastAsia="Noto Serif CJK SC"/>
                <w:sz w:val="20"/>
              </w:rPr>
              <w:t>公共健康价值</w:t>
            </w:r>
          </w:p>
        </w:tc>
        <w:tc>
          <w:tcPr>
            <w:tcW w:type="dxa" w:w="5896"/>
            <w:vAlign w:val="center"/>
            <w:tcMar>
              <w:top w:w="90" w:type="dxa"/>
              <w:start w:w="110" w:type="dxa"/>
              <w:bottom w:w="90" w:type="dxa"/>
              <w:end w:w="110" w:type="dxa"/>
            </w:tcMar>
          </w:tcPr>
          <w:p>
            <w:pPr>
              <w:pStyle w:val="TableText"/>
              <w:jc w:val="left"/>
            </w:pPr>
            <w:r>
              <w:rPr>
                <w:rFonts w:ascii="Noto Serif CJK SC" w:hAnsi="Noto Serif CJK SC" w:eastAsia="Noto Serif CJK SC"/>
                <w:sz w:val="20"/>
              </w:rPr>
              <w:t>把健康管理关口前移，提升代谢异常、糖代谢风险和健康老龄化问题的早识别能力。</w:t>
            </w:r>
          </w:p>
        </w:tc>
      </w:tr>
      <w:tr>
        <w:tc>
          <w:tcPr>
            <w:tcW w:type="dxa" w:w="2494"/>
            <w:vAlign w:val="center"/>
            <w:tcMar>
              <w:top w:w="90" w:type="dxa"/>
              <w:start w:w="110" w:type="dxa"/>
              <w:bottom w:w="90" w:type="dxa"/>
              <w:end w:w="110" w:type="dxa"/>
            </w:tcMar>
          </w:tcPr>
          <w:p>
            <w:pPr>
              <w:pStyle w:val="TableText"/>
              <w:jc w:val="center"/>
            </w:pPr>
            <w:r>
              <w:rPr>
                <w:rFonts w:ascii="Noto Serif CJK SC" w:hAnsi="Noto Serif CJK SC" w:eastAsia="Noto Serif CJK SC"/>
                <w:sz w:val="20"/>
              </w:rPr>
              <w:t>群众获得感</w:t>
            </w:r>
          </w:p>
        </w:tc>
        <w:tc>
          <w:tcPr>
            <w:tcW w:type="dxa" w:w="5896"/>
            <w:vAlign w:val="center"/>
            <w:tcMar>
              <w:top w:w="90" w:type="dxa"/>
              <w:start w:w="110" w:type="dxa"/>
              <w:bottom w:w="90" w:type="dxa"/>
              <w:end w:w="110" w:type="dxa"/>
            </w:tcMar>
          </w:tcPr>
          <w:p>
            <w:pPr>
              <w:pStyle w:val="TableText"/>
              <w:jc w:val="left"/>
            </w:pPr>
            <w:r>
              <w:rPr>
                <w:rFonts w:ascii="Noto Serif CJK SC" w:hAnsi="Noto Serif CJK SC" w:eastAsia="Noto Serif CJK SC"/>
                <w:sz w:val="20"/>
              </w:rPr>
              <w:t>让群众从“看不懂高深科研”转向“能看见自己的代谢年龄、风险变化和干预成效”。</w:t>
            </w:r>
          </w:p>
        </w:tc>
      </w:tr>
      <w:tr>
        <w:tc>
          <w:tcPr>
            <w:tcW w:type="dxa" w:w="2494"/>
            <w:vAlign w:val="center"/>
            <w:tcMar>
              <w:top w:w="90" w:type="dxa"/>
              <w:start w:w="110" w:type="dxa"/>
              <w:bottom w:w="90" w:type="dxa"/>
              <w:end w:w="110" w:type="dxa"/>
            </w:tcMar>
          </w:tcPr>
          <w:p>
            <w:pPr>
              <w:pStyle w:val="TableText"/>
              <w:jc w:val="center"/>
            </w:pPr>
            <w:r>
              <w:rPr>
                <w:rFonts w:ascii="Noto Serif CJK SC" w:hAnsi="Noto Serif CJK SC" w:eastAsia="Noto Serif CJK SC"/>
                <w:sz w:val="20"/>
              </w:rPr>
              <w:t>基层服务能力</w:t>
            </w:r>
          </w:p>
        </w:tc>
        <w:tc>
          <w:tcPr>
            <w:tcW w:type="dxa" w:w="5896"/>
            <w:vAlign w:val="center"/>
            <w:tcMar>
              <w:top w:w="90" w:type="dxa"/>
              <w:start w:w="110" w:type="dxa"/>
              <w:bottom w:w="90" w:type="dxa"/>
              <w:end w:w="110" w:type="dxa"/>
            </w:tcMar>
          </w:tcPr>
          <w:p>
            <w:pPr>
              <w:pStyle w:val="TableText"/>
              <w:jc w:val="left"/>
            </w:pPr>
            <w:r>
              <w:rPr>
                <w:rFonts w:ascii="Noto Serif CJK SC" w:hAnsi="Noto Serif CJK SC" w:eastAsia="Noto Serif CJK SC"/>
                <w:sz w:val="20"/>
              </w:rPr>
              <w:t>为社区、体检中心、慢病管理机构提供可复制的数字化主动健康工具。</w:t>
            </w:r>
          </w:p>
        </w:tc>
      </w:tr>
      <w:tr>
        <w:tc>
          <w:tcPr>
            <w:tcW w:type="dxa" w:w="2494"/>
            <w:vAlign w:val="center"/>
            <w:tcMar>
              <w:top w:w="90" w:type="dxa"/>
              <w:start w:w="110" w:type="dxa"/>
              <w:bottom w:w="90" w:type="dxa"/>
              <w:end w:w="110" w:type="dxa"/>
            </w:tcMar>
          </w:tcPr>
          <w:p>
            <w:pPr>
              <w:pStyle w:val="TableText"/>
              <w:jc w:val="center"/>
            </w:pPr>
            <w:r>
              <w:rPr>
                <w:rFonts w:ascii="Noto Serif CJK SC" w:hAnsi="Noto Serif CJK SC" w:eastAsia="Noto Serif CJK SC"/>
                <w:sz w:val="20"/>
              </w:rPr>
              <w:t>科技成果转化</w:t>
            </w:r>
          </w:p>
        </w:tc>
        <w:tc>
          <w:tcPr>
            <w:tcW w:type="dxa" w:w="5896"/>
            <w:vAlign w:val="center"/>
            <w:tcMar>
              <w:top w:w="90" w:type="dxa"/>
              <w:start w:w="110" w:type="dxa"/>
              <w:bottom w:w="90" w:type="dxa"/>
              <w:end w:w="110" w:type="dxa"/>
            </w:tcMar>
          </w:tcPr>
          <w:p>
            <w:pPr>
              <w:pStyle w:val="TableText"/>
              <w:jc w:val="left"/>
            </w:pPr>
            <w:r>
              <w:rPr>
                <w:rFonts w:ascii="Noto Serif CJK SC" w:hAnsi="Noto Serif CJK SC" w:eastAsia="Noto Serif CJK SC"/>
                <w:sz w:val="20"/>
              </w:rPr>
              <w:t>推动高校和科研平台形成“检测能力 - 数据能力 - 服务能力 - 产业能力”的连续转化链。</w:t>
            </w:r>
          </w:p>
        </w:tc>
      </w:tr>
      <w:tr>
        <w:tc>
          <w:tcPr>
            <w:tcW w:type="dxa" w:w="2494"/>
            <w:vAlign w:val="center"/>
            <w:tcMar>
              <w:top w:w="90" w:type="dxa"/>
              <w:start w:w="110" w:type="dxa"/>
              <w:bottom w:w="90" w:type="dxa"/>
              <w:end w:w="110" w:type="dxa"/>
            </w:tcMar>
          </w:tcPr>
          <w:p>
            <w:pPr>
              <w:pStyle w:val="TableText"/>
              <w:jc w:val="center"/>
            </w:pPr>
            <w:r>
              <w:rPr>
                <w:rFonts w:ascii="Noto Serif CJK SC" w:hAnsi="Noto Serif CJK SC" w:eastAsia="Noto Serif CJK SC"/>
                <w:sz w:val="20"/>
              </w:rPr>
              <w:t>区域产业带动</w:t>
            </w:r>
          </w:p>
        </w:tc>
        <w:tc>
          <w:tcPr>
            <w:tcW w:type="dxa" w:w="5896"/>
            <w:vAlign w:val="center"/>
            <w:tcMar>
              <w:top w:w="90" w:type="dxa"/>
              <w:start w:w="110" w:type="dxa"/>
              <w:bottom w:w="90" w:type="dxa"/>
              <w:end w:w="110" w:type="dxa"/>
            </w:tcMar>
          </w:tcPr>
          <w:p>
            <w:pPr>
              <w:pStyle w:val="TableText"/>
              <w:jc w:val="left"/>
            </w:pPr>
            <w:r>
              <w:rPr>
                <w:rFonts w:ascii="Noto Serif CJK SC" w:hAnsi="Noto Serif CJK SC" w:eastAsia="Noto Serif CJK SC"/>
                <w:sz w:val="20"/>
              </w:rPr>
              <w:t>带动生物医药、检测服务、数字健康和人工智能交叉产业协同发展。</w:t>
            </w:r>
          </w:p>
        </w:tc>
      </w:tr>
    </w:tbl>
    <w:p>
      <w:pPr/>
      <w:r>
        <w:rPr>
          <w:rFonts w:ascii="Noto Serif CJK SC" w:hAnsi="Noto Serif CJK SC" w:eastAsia="Noto Serif CJK SC"/>
          <w:sz w:val="22"/>
        </w:rPr>
        <w:t>从政府治理角度看，该项目的价值不仅在于形成一个新产品，更在于探索一种“高校科研成果 + 区域试点场景 + 数字化治理工具”协同落地的新范式。</w:t>
      </w:r>
    </w:p>
    <w:p>
      <w:pPr>
        <w:pStyle w:val="H1Custom"/>
        <w:keepNext/>
      </w:pPr>
      <w:r>
        <w:rPr>
          <w:rFonts w:ascii="Noto Sans CJK SC" w:hAnsi="Noto Sans CJK SC" w:eastAsia="Noto Sans CJK SC"/>
          <w:b/>
          <w:color w:val="19396A"/>
          <w:sz w:val="30"/>
        </w:rPr>
        <w:t>八、风险防控与治理建议</w:t>
      </w:r>
    </w:p>
    <w:p>
      <w:pPr>
        <w:pStyle w:val="BodyNoIndent"/>
        <w:ind w:left="227" w:hanging="227"/>
      </w:pPr>
      <w:r>
        <w:rPr>
          <w:rFonts w:ascii="Noto Serif CJK SC" w:hAnsi="Noto Serif CJK SC" w:eastAsia="Noto Serif CJK SC"/>
          <w:sz w:val="22"/>
        </w:rPr>
        <w:t>• 严格区分健康管理建议与医疗诊断行为，建立风险提示、人工复核和转诊机制。</w:t>
      </w:r>
    </w:p>
    <w:p>
      <w:pPr>
        <w:pStyle w:val="BodyNoIndent"/>
        <w:ind w:left="227" w:hanging="227"/>
      </w:pPr>
      <w:r>
        <w:rPr>
          <w:rFonts w:ascii="Noto Serif CJK SC" w:hAnsi="Noto Serif CJK SC" w:eastAsia="Noto Serif CJK SC"/>
          <w:sz w:val="22"/>
        </w:rPr>
        <w:t>• 坚持数据最小必要原则，完善知情同意、脱敏存储、访问控制和审计留痕。</w:t>
      </w:r>
    </w:p>
    <w:p>
      <w:pPr>
        <w:pStyle w:val="BodyNoIndent"/>
        <w:ind w:left="227" w:hanging="227"/>
      </w:pPr>
      <w:r>
        <w:rPr>
          <w:rFonts w:ascii="Noto Serif CJK SC" w:hAnsi="Noto Serif CJK SC" w:eastAsia="Noto Serif CJK SC"/>
          <w:sz w:val="22"/>
        </w:rPr>
        <w:t>• 对于模型输出，强化可解释性和分级呈现，避免夸大宣传、过度承诺和错误引导。</w:t>
      </w:r>
    </w:p>
    <w:p>
      <w:pPr>
        <w:pStyle w:val="BodyNoIndent"/>
        <w:ind w:left="227" w:hanging="227"/>
      </w:pPr>
      <w:r>
        <w:rPr>
          <w:rFonts w:ascii="Noto Serif CJK SC" w:hAnsi="Noto Serif CJK SC" w:eastAsia="Noto Serif CJK SC"/>
          <w:sz w:val="22"/>
        </w:rPr>
        <w:t>• 在试点阶段同步推进伦理审查、标准流程建设和第三方评估，提高项目公信力。</w:t>
      </w:r>
    </w:p>
    <w:p>
      <w:pPr/>
      <w:r>
        <w:rPr>
          <w:rFonts w:ascii="Noto Serif CJK SC" w:hAnsi="Noto Serif CJK SC" w:eastAsia="Noto Serif CJK SC"/>
          <w:sz w:val="22"/>
        </w:rPr>
        <w:t>建议政府支持项目在试点初期就同步开展制度设计，把技术建设、数据治理、合规管理和服务评价一起纳入方案，避免“先上线、后补规则”的被动局面。</w:t>
      </w:r>
    </w:p>
    <w:p>
      <w:pPr>
        <w:pStyle w:val="H1Custom"/>
        <w:keepNext/>
      </w:pPr>
      <w:r>
        <w:rPr>
          <w:rFonts w:ascii="Noto Sans CJK SC" w:hAnsi="Noto Sans CJK SC" w:eastAsia="Noto Sans CJK SC"/>
          <w:b/>
          <w:color w:val="19396A"/>
          <w:sz w:val="30"/>
        </w:rPr>
        <w:t>九、建议支持事项</w:t>
      </w:r>
    </w:p>
    <w:tbl>
      <w:tblPr>
        <w:tblW w:type="auto" w:w="0"/>
        <w:jc w:val="center"/>
        <w:tblLayout w:type="fixed"/>
        <w:tblLook w:firstColumn="1" w:firstRow="1" w:lastColumn="0" w:lastRow="0" w:noHBand="0" w:noVBand="1" w:val="04A0"/>
        <w:tblBorders>
          <w:top w:val="single" w:sz="8" w:space="0" w:color="C8D2E0"/>
          <w:left w:val="single" w:sz="8" w:space="0" w:color="C8D2E0"/>
          <w:bottom w:val="single" w:sz="8" w:space="0" w:color="C8D2E0"/>
          <w:right w:val="single" w:sz="8" w:space="0" w:color="C8D2E0"/>
          <w:insideH w:val="single" w:sz="8" w:space="0" w:color="C8D2E0"/>
          <w:insideV w:val="single" w:sz="8" w:space="0" w:color="C8D2E0"/>
        </w:tblBorders>
      </w:tblPr>
      <w:tblGrid>
        <w:gridCol w:w="2381"/>
        <w:gridCol w:w="6009"/>
      </w:tblGrid>
      <w:tr>
        <w:tc>
          <w:tcPr>
            <w:tcW w:type="dxa" w:w="4589"/>
            <w:shd w:fill="DCE7F6"/>
            <w:tcMar>
              <w:top w:w="100" w:type="dxa"/>
              <w:start w:w="120" w:type="dxa"/>
              <w:bottom w:w="100" w:type="dxa"/>
              <w:end w:w="120" w:type="dxa"/>
            </w:tcMar>
          </w:tcPr>
          <w:p>
            <w:pPr>
              <w:pStyle w:val="TableText"/>
              <w:jc w:val="center"/>
            </w:pPr>
            <w:r>
              <w:rPr>
                <w:rFonts w:ascii="Noto Sans CJK SC" w:hAnsi="Noto Sans CJK SC" w:eastAsia="Noto Sans CJK SC"/>
                <w:b/>
                <w:color w:val="182F5E"/>
                <w:sz w:val="21"/>
              </w:rPr>
              <w:t>建议事项</w:t>
            </w:r>
          </w:p>
        </w:tc>
        <w:tc>
          <w:tcPr>
            <w:tcW w:type="dxa" w:w="4589"/>
            <w:shd w:fill="DCE7F6"/>
            <w:tcMar>
              <w:top w:w="100" w:type="dxa"/>
              <w:start w:w="120" w:type="dxa"/>
              <w:bottom w:w="100" w:type="dxa"/>
              <w:end w:w="120" w:type="dxa"/>
            </w:tcMar>
          </w:tcPr>
          <w:p>
            <w:pPr>
              <w:pStyle w:val="TableText"/>
              <w:jc w:val="center"/>
            </w:pPr>
            <w:r>
              <w:rPr>
                <w:rFonts w:ascii="Noto Sans CJK SC" w:hAnsi="Noto Sans CJK SC" w:eastAsia="Noto Sans CJK SC"/>
                <w:b/>
                <w:color w:val="182F5E"/>
                <w:sz w:val="21"/>
              </w:rPr>
              <w:t>具体建议</w:t>
            </w:r>
          </w:p>
        </w:tc>
      </w:tr>
      <w:tr>
        <w:tc>
          <w:tcPr>
            <w:tcW w:type="dxa" w:w="2381"/>
            <w:vAlign w:val="center"/>
            <w:tcMar>
              <w:top w:w="110" w:type="dxa"/>
              <w:start w:w="120" w:type="dxa"/>
              <w:bottom w:w="110" w:type="dxa"/>
              <w:end w:w="120" w:type="dxa"/>
            </w:tcMar>
          </w:tcPr>
          <w:p>
            <w:pPr>
              <w:pStyle w:val="TableText"/>
              <w:jc w:val="center"/>
            </w:pPr>
            <w:r>
              <w:rPr>
                <w:rFonts w:ascii="Noto Serif CJK SC" w:hAnsi="Noto Serif CJK SC" w:eastAsia="Noto Serif CJK SC"/>
                <w:sz w:val="20"/>
              </w:rPr>
              <w:t>纳入试点</w:t>
            </w:r>
          </w:p>
        </w:tc>
        <w:tc>
          <w:tcPr>
            <w:tcW w:type="dxa" w:w="6009"/>
            <w:vAlign w:val="center"/>
            <w:tcMar>
              <w:top w:w="110" w:type="dxa"/>
              <w:start w:w="120" w:type="dxa"/>
              <w:bottom w:w="110" w:type="dxa"/>
              <w:end w:w="120" w:type="dxa"/>
            </w:tcMar>
          </w:tcPr>
          <w:p>
            <w:pPr>
              <w:pStyle w:val="TableText"/>
              <w:jc w:val="left"/>
            </w:pPr>
            <w:r>
              <w:rPr>
                <w:rFonts w:ascii="Noto Serif CJK SC" w:hAnsi="Noto Serif CJK SC" w:eastAsia="Noto Serif CJK SC"/>
                <w:sz w:val="20"/>
              </w:rPr>
              <w:t>建议将本项目纳入地方主动健康、健康老龄化或科技成果转化类试点工程。</w:t>
            </w:r>
          </w:p>
        </w:tc>
      </w:tr>
      <w:tr>
        <w:tc>
          <w:tcPr>
            <w:tcW w:type="dxa" w:w="2381"/>
            <w:vAlign w:val="center"/>
            <w:tcMar>
              <w:top w:w="110" w:type="dxa"/>
              <w:start w:w="120" w:type="dxa"/>
              <w:bottom w:w="110" w:type="dxa"/>
              <w:end w:w="120" w:type="dxa"/>
            </w:tcMar>
          </w:tcPr>
          <w:p>
            <w:pPr>
              <w:pStyle w:val="TableText"/>
              <w:jc w:val="center"/>
            </w:pPr>
            <w:r>
              <w:rPr>
                <w:rFonts w:ascii="Noto Serif CJK SC" w:hAnsi="Noto Serif CJK SC" w:eastAsia="Noto Serif CJK SC"/>
                <w:sz w:val="20"/>
              </w:rPr>
              <w:t>场景开放</w:t>
            </w:r>
          </w:p>
        </w:tc>
        <w:tc>
          <w:tcPr>
            <w:tcW w:type="dxa" w:w="6009"/>
            <w:vAlign w:val="center"/>
            <w:tcMar>
              <w:top w:w="110" w:type="dxa"/>
              <w:start w:w="120" w:type="dxa"/>
              <w:bottom w:w="110" w:type="dxa"/>
              <w:end w:w="120" w:type="dxa"/>
            </w:tcMar>
          </w:tcPr>
          <w:p>
            <w:pPr>
              <w:pStyle w:val="TableText"/>
              <w:jc w:val="left"/>
            </w:pPr>
            <w:r>
              <w:rPr>
                <w:rFonts w:ascii="Noto Serif CJK SC" w:hAnsi="Noto Serif CJK SC" w:eastAsia="Noto Serif CJK SC"/>
                <w:sz w:val="20"/>
              </w:rPr>
              <w:t>支持对接体检中心、社区卫生服务机构、医养结合机构等真实场景，开展示范应用。</w:t>
            </w:r>
          </w:p>
        </w:tc>
      </w:tr>
      <w:tr>
        <w:tc>
          <w:tcPr>
            <w:tcW w:type="dxa" w:w="2381"/>
            <w:vAlign w:val="center"/>
            <w:tcMar>
              <w:top w:w="110" w:type="dxa"/>
              <w:start w:w="120" w:type="dxa"/>
              <w:bottom w:w="110" w:type="dxa"/>
              <w:end w:w="120" w:type="dxa"/>
            </w:tcMar>
          </w:tcPr>
          <w:p>
            <w:pPr>
              <w:pStyle w:val="TableText"/>
              <w:jc w:val="center"/>
            </w:pPr>
            <w:r>
              <w:rPr>
                <w:rFonts w:ascii="Noto Serif CJK SC" w:hAnsi="Noto Serif CJK SC" w:eastAsia="Noto Serif CJK SC"/>
                <w:sz w:val="20"/>
              </w:rPr>
              <w:t>机制协同</w:t>
            </w:r>
          </w:p>
        </w:tc>
        <w:tc>
          <w:tcPr>
            <w:tcW w:type="dxa" w:w="6009"/>
            <w:vAlign w:val="center"/>
            <w:tcMar>
              <w:top w:w="110" w:type="dxa"/>
              <w:start w:w="120" w:type="dxa"/>
              <w:bottom w:w="110" w:type="dxa"/>
              <w:end w:w="120" w:type="dxa"/>
            </w:tcMar>
          </w:tcPr>
          <w:p>
            <w:pPr>
              <w:pStyle w:val="TableText"/>
              <w:jc w:val="left"/>
            </w:pPr>
            <w:r>
              <w:rPr>
                <w:rFonts w:ascii="Noto Serif CJK SC" w:hAnsi="Noto Serif CJK SC" w:eastAsia="Noto Serif CJK SC"/>
                <w:sz w:val="20"/>
              </w:rPr>
              <w:t>推动科技、卫健、数据、发改等部门形成跨部门协同，支持数据规范、试点评价和资源统筹。</w:t>
            </w:r>
          </w:p>
        </w:tc>
      </w:tr>
      <w:tr>
        <w:tc>
          <w:tcPr>
            <w:tcW w:type="dxa" w:w="2381"/>
            <w:vAlign w:val="center"/>
            <w:tcMar>
              <w:top w:w="110" w:type="dxa"/>
              <w:start w:w="120" w:type="dxa"/>
              <w:bottom w:w="110" w:type="dxa"/>
              <w:end w:w="120" w:type="dxa"/>
            </w:tcMar>
          </w:tcPr>
          <w:p>
            <w:pPr>
              <w:pStyle w:val="TableText"/>
              <w:jc w:val="center"/>
            </w:pPr>
            <w:r>
              <w:rPr>
                <w:rFonts w:ascii="Noto Serif CJK SC" w:hAnsi="Noto Serif CJK SC" w:eastAsia="Noto Serif CJK SC"/>
                <w:sz w:val="20"/>
              </w:rPr>
              <w:t>标准建设</w:t>
            </w:r>
          </w:p>
        </w:tc>
        <w:tc>
          <w:tcPr>
            <w:tcW w:type="dxa" w:w="6009"/>
            <w:vAlign w:val="center"/>
            <w:tcMar>
              <w:top w:w="110" w:type="dxa"/>
              <w:start w:w="120" w:type="dxa"/>
              <w:bottom w:w="110" w:type="dxa"/>
              <w:end w:w="120" w:type="dxa"/>
            </w:tcMar>
          </w:tcPr>
          <w:p>
            <w:pPr>
              <w:pStyle w:val="TableText"/>
              <w:jc w:val="left"/>
            </w:pPr>
            <w:r>
              <w:rPr>
                <w:rFonts w:ascii="Noto Serif CJK SC" w:hAnsi="Noto Serif CJK SC" w:eastAsia="Noto Serif CJK SC"/>
                <w:sz w:val="20"/>
              </w:rPr>
              <w:t>支持在试点中同步形成流程标准、评价指标和服务规范，为后续扩面推广奠定基础。</w:t>
            </w:r>
          </w:p>
        </w:tc>
      </w:tr>
      <w:tr>
        <w:tc>
          <w:tcPr>
            <w:tcW w:type="dxa" w:w="2381"/>
            <w:vAlign w:val="center"/>
            <w:tcMar>
              <w:top w:w="110" w:type="dxa"/>
              <w:start w:w="120" w:type="dxa"/>
              <w:bottom w:w="110" w:type="dxa"/>
              <w:end w:w="120" w:type="dxa"/>
            </w:tcMar>
          </w:tcPr>
          <w:p>
            <w:pPr>
              <w:pStyle w:val="TableText"/>
              <w:jc w:val="center"/>
            </w:pPr>
            <w:r>
              <w:rPr>
                <w:rFonts w:ascii="Noto Serif CJK SC" w:hAnsi="Noto Serif CJK SC" w:eastAsia="Noto Serif CJK SC"/>
                <w:sz w:val="20"/>
              </w:rPr>
              <w:t>成果转化</w:t>
            </w:r>
          </w:p>
        </w:tc>
        <w:tc>
          <w:tcPr>
            <w:tcW w:type="dxa" w:w="6009"/>
            <w:vAlign w:val="center"/>
            <w:tcMar>
              <w:top w:w="110" w:type="dxa"/>
              <w:start w:w="120" w:type="dxa"/>
              <w:bottom w:w="110" w:type="dxa"/>
              <w:end w:w="120" w:type="dxa"/>
            </w:tcMar>
          </w:tcPr>
          <w:p>
            <w:pPr>
              <w:pStyle w:val="TableText"/>
              <w:jc w:val="left"/>
            </w:pPr>
            <w:r>
              <w:rPr>
                <w:rFonts w:ascii="Noto Serif CJK SC" w:hAnsi="Noto Serif CJK SC" w:eastAsia="Noto Serif CJK SC"/>
                <w:sz w:val="20"/>
              </w:rPr>
              <w:t>支持与地方产业平台、医院和龙头企业协同，形成可持续的转化与运营模式。</w:t>
            </w:r>
          </w:p>
        </w:tc>
      </w:tr>
    </w:tbl>
    <w:p>
      <w:pPr>
        <w:pStyle w:val="H1Custom"/>
        <w:keepNext/>
      </w:pPr>
      <w:r>
        <w:rPr>
          <w:rFonts w:ascii="Noto Sans CJK SC" w:hAnsi="Noto Sans CJK SC" w:eastAsia="Noto Sans CJK SC"/>
          <w:b/>
          <w:color w:val="19396A"/>
          <w:sz w:val="30"/>
        </w:rPr>
        <w:t>十、结语</w:t>
      </w:r>
    </w:p>
    <w:p>
      <w:pPr/>
      <w:r>
        <w:rPr>
          <w:rFonts w:ascii="Noto Serif CJK SC" w:hAnsi="Noto Serif CJK SC" w:eastAsia="Noto Serif CJK SC"/>
          <w:sz w:val="22"/>
        </w:rPr>
        <w:t>总体看，本项目具备较好的科研基础、明确的应用方向和较强的成果转化潜力。建议以更加聚焦、更加稳妥、更加面向公共服务的思路推进建设：先做实小切口场景，先形成真实世界证据，先完成标准化和合规治理，再逐步扩展到更多疾病、更多设备和更广泛区域。</w:t>
      </w:r>
    </w:p>
    <w:p>
      <w:pPr/>
      <w:r>
        <w:rPr>
          <w:rFonts w:ascii="Noto Serif CJK SC" w:hAnsi="Noto Serif CJK SC" w:eastAsia="Noto Serif CJK SC"/>
          <w:sz w:val="22"/>
        </w:rPr>
        <w:t>如能在政府试点和场景支持下推进，该项目有望成为“高校科技成果服务人民健康”的示范案例，也可为地方在主动健康、慢病管理和健康老龄化方面形成具有辨识度的新型科技支撑能力。</w:t>
      </w:r>
    </w:p>
    <w:p>
      <w:pPr>
        <w:pStyle w:val="H1Custom"/>
        <w:keepNext/>
      </w:pPr>
      <w:r>
        <w:rPr>
          <w:rFonts w:ascii="Noto Sans CJK SC" w:hAnsi="Noto Sans CJK SC" w:eastAsia="Noto Sans CJK SC"/>
          <w:b/>
          <w:color w:val="19396A"/>
          <w:sz w:val="30"/>
        </w:rPr>
        <w:t>附：项目现有技术基础（供领导参阅）</w:t>
      </w:r>
    </w:p>
    <w:p>
      <w:pPr>
        <w:pStyle w:val="BodyNoIndent"/>
      </w:pPr>
      <w:r>
        <w:rPr>
          <w:rFonts w:ascii="Noto Serif CJK SC" w:hAnsi="Noto Serif CJK SC" w:eastAsia="Noto Serif CJK SC"/>
          <w:sz w:val="22"/>
        </w:rPr>
        <w:t>为便于理解项目的科研底座，现将关键技术基础简要归纳如下：</w:t>
      </w:r>
    </w:p>
    <w:p>
      <w:pPr>
        <w:pStyle w:val="BodyNoIndent"/>
        <w:ind w:left="227" w:hanging="227"/>
      </w:pPr>
      <w:r>
        <w:rPr>
          <w:rFonts w:ascii="Noto Serif CJK SC" w:hAnsi="Noto Serif CJK SC" w:eastAsia="Noto Serif CJK SC"/>
          <w:sz w:val="22"/>
        </w:rPr>
        <w:t>• 已自主形成三项核心检测能力，包括微流速连续稳态进样、逆环喷辅助电离和高速高精度数据采集。</w:t>
      </w:r>
    </w:p>
    <w:p>
      <w:pPr>
        <w:pStyle w:val="BodyNoIndent"/>
        <w:ind w:left="227" w:hanging="227"/>
      </w:pPr>
      <w:r>
        <w:rPr>
          <w:rFonts w:ascii="Noto Serif CJK SC" w:hAnsi="Noto Serif CJK SC" w:eastAsia="Noto Serif CJK SC"/>
          <w:sz w:val="22"/>
        </w:rPr>
        <w:t>• 团队围绕 NanoLC 方法完成多轮迭代，当前已锁定较优的 12 分钟运行参数，并建立样本前处理 SOP。</w:t>
      </w:r>
    </w:p>
    <w:p>
      <w:pPr>
        <w:pStyle w:val="BodyNoIndent"/>
        <w:ind w:left="227" w:hanging="227"/>
      </w:pPr>
      <w:r>
        <w:rPr>
          <w:rFonts w:ascii="Noto Serif CJK SC" w:hAnsi="Noto Serif CJK SC" w:eastAsia="Noto Serif CJK SC"/>
          <w:sz w:val="22"/>
        </w:rPr>
        <w:t>• 已建立四层质量控制体系，覆盖样本采集、前处理、仪器运行和数据处理。</w:t>
      </w:r>
    </w:p>
    <w:p>
      <w:pPr>
        <w:pStyle w:val="BodyNoIndent"/>
        <w:ind w:left="227" w:hanging="227"/>
      </w:pPr>
      <w:r>
        <w:rPr>
          <w:rFonts w:ascii="Noto Serif CJK SC" w:hAnsi="Noto Serif CJK SC" w:eastAsia="Noto Serif CJK SC"/>
          <w:sz w:val="22"/>
        </w:rPr>
        <w:t>• 已初步验证部分差异代谢分子与高血压等慢病风险之间的相关性。</w:t>
      </w:r>
    </w:p>
    <w:p>
      <w:pPr>
        <w:pStyle w:val="BodyNoIndent"/>
        <w:ind w:left="227" w:hanging="227"/>
      </w:pPr>
      <w:r>
        <w:rPr>
          <w:rFonts w:ascii="Noto Serif CJK SC" w:hAnsi="Noto Serif CJK SC" w:eastAsia="Noto Serif CJK SC"/>
          <w:sz w:val="22"/>
        </w:rPr>
        <w:t>• 已具备多年龄段前瞻性队列和多模态健康数据整合经验。</w:t>
      </w:r>
    </w:p>
    <w:p>
      <w:pPr/>
      <w:r>
        <w:rPr>
          <w:rFonts w:ascii="Noto Serif CJK SC" w:hAnsi="Noto Serif CJK SC" w:eastAsia="Noto Serif CJK SC"/>
          <w:sz w:val="22"/>
        </w:rPr>
        <w:t>上述内容说明，本项目在政府支持下具备从“科研能力”走向“试点能力”和“示范能力”的现实基础。</w:t>
      </w:r>
    </w:p>
    <w:sectPr w:rsidR="00FC693F" w:rsidRPr="0006063C" w:rsidSect="00034616">
      <w:headerReference w:type="default" r:id="rId9"/>
      <w:footerReference w:type="default" r:id="rId10"/>
      <w:pgSz w:w="12240" w:h="15840"/>
      <w:pgMar w:top="1440" w:right="1531" w:bottom="1440" w:left="153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E6E6E"/>
        <w:sz w:val="18"/>
      </w:rPr>
      <w:t>中国科学技术大学 · 精准健康智能体研究团队   2026年4月</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E6E6E"/>
        <w:sz w:val="18"/>
      </w:rPr>
      <w:t>精准健康智能体系统建设方案（政府汇报稿）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60"/>
      <w:ind w:firstLine="420"/>
    </w:pPr>
    <w:rPr>
      <w:rFonts w:ascii="Noto Serif CJK SC" w:hAnsi="Noto Serif CJK SC"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NoIndent">
    <w:name w:val="Body NoIndent"/>
    <w:basedOn w:val="Normal"/>
    <w:pPr>
      <w:spacing w:line="348" w:lineRule="auto" w:after="160"/>
      <w:ind w:firstLine="0"/>
    </w:pPr>
    <w:rPr>
      <w:rFonts w:ascii="Noto Serif CJK SC" w:hAnsi="Noto Serif CJK SC" w:eastAsia="Noto Serif CJK SC"/>
      <w:sz w:val="22"/>
    </w:rPr>
  </w:style>
  <w:style w:type="paragraph" w:customStyle="1" w:styleId="TableText">
    <w:name w:val="Table Text"/>
    <w:basedOn w:val="Normal"/>
    <w:pPr>
      <w:spacing w:line="288" w:lineRule="auto" w:after="0"/>
      <w:ind w:firstLine="0"/>
    </w:pPr>
    <w:rPr>
      <w:rFonts w:ascii="Noto Sans CJK SC" w:hAnsi="Noto Sans CJK SC" w:eastAsia="Noto Sans CJK SC"/>
      <w:sz w:val="20"/>
    </w:rPr>
  </w:style>
  <w:style w:type="paragraph" w:customStyle="1" w:styleId="H1Custom">
    <w:name w:val="H1 Custom"/>
    <w:basedOn w:val="Normal"/>
    <w:pPr>
      <w:spacing w:before="320" w:after="160"/>
      <w:ind w:firstLine="0"/>
    </w:pPr>
    <w:rPr>
      <w:rFonts w:ascii="Noto Sans CJK SC" w:hAnsi="Noto Sans CJK SC" w:eastAsia="Noto Sans CJK SC"/>
      <w:b/>
      <w:color w:val="19396A"/>
      <w:sz w:val="30"/>
    </w:rPr>
  </w:style>
  <w:style w:type="paragraph" w:customStyle="1" w:styleId="H2Custom">
    <w:name w:val="H2 Custom"/>
    <w:basedOn w:val="Normal"/>
    <w:pPr>
      <w:spacing w:before="200" w:after="120"/>
      <w:ind w:firstLine="0"/>
    </w:pPr>
    <w:rPr>
      <w:rFonts w:ascii="Noto Sans CJK SC" w:hAnsi="Noto Sans CJK SC" w:eastAsia="Noto Sans CJK SC"/>
      <w:b/>
      <w:color w:val="2C4E80"/>
      <w:sz w:val="25"/>
    </w:rPr>
  </w:style>
  <w:style w:type="paragraph" w:customStyle="1" w:styleId="H3Custom">
    <w:name w:val="H3 Custom"/>
    <w:basedOn w:val="Normal"/>
    <w:pPr>
      <w:spacing w:before="120" w:after="80"/>
      <w:ind w:firstLine="0"/>
    </w:pPr>
    <w:rPr>
      <w:rFonts w:ascii="Noto Sans CJK SC" w:hAnsi="Noto Sans CJK SC" w:eastAsia="Noto Sans CJK SC"/>
      <w:b/>
      <w:color w:val="434343"/>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