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wmf" ContentType="image/x-wmf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Общая теория интеллектуальных систем</w:t>
      </w:r>
    </w:p>
    <w:p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themeColor="text1" w:val="000000"/>
          <w:sz w:val="28"/>
          <w:szCs w:val="28"/>
          <w:lang w:eastAsia="ru-RU"/>
        </w:rPr>
        <w:t>На тему: Система «Калькулятор»</w:t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  <w:br/>
        <w:br/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 Дождиков Александр Игоревич, 421702</w:t>
      </w:r>
    </w:p>
    <w:p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Standard"/>
        <w:ind w:firstLine="284" w:left="3256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</w:t>
      </w:r>
      <w:r>
        <w:rPr>
          <w:rFonts w:eastAsia="Times New Roman" w:cs="Times New Roman"/>
          <w:color w:themeColor="text1" w:val="000000"/>
          <w:sz w:val="28"/>
          <w:szCs w:val="28"/>
          <w:lang w:eastAsia="ru-RU"/>
        </w:rPr>
        <w:t xml:space="preserve">Проверил: Соколович Максим Геннадьевич    </w:t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spacing w:before="0"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>
      <w:pPr>
        <w:pStyle w:val="Standard"/>
        <w:jc w:val="center"/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themeColor="text1" w:val="000000"/>
          <w:sz w:val="28"/>
          <w:szCs w:val="28"/>
          <w:lang w:eastAsia="ru-RU"/>
        </w:rPr>
        <w:t>Минск 2025</w:t>
      </w:r>
      <w:r>
        <w:br w:type="page"/>
      </w:r>
    </w:p>
    <w:p>
      <w:pPr>
        <w:pStyle w:val="Standard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  <w:t>Лабораторная №1</w:t>
        <w:br/>
        <w:t>Система “</w:t>
      </w: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Калькулятор</w:t>
      </w:r>
      <w:r>
        <w:rPr>
          <w:b/>
          <w:bCs/>
          <w:sz w:val="28"/>
          <w:szCs w:val="28"/>
          <w:lang w:eastAsia="ru-RU"/>
        </w:rPr>
        <w:t>”</w:t>
      </w:r>
    </w:p>
    <w:p>
      <w:pPr>
        <w:pStyle w:val="Standard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Модель чёрного ящика</w:t>
      </w:r>
    </w:p>
    <w:p>
      <w:pPr>
        <w:pStyle w:val="Standard"/>
        <w:rPr/>
      </w:pPr>
      <w:r>
        <w:rPr>
          <w:b/>
          <w:bCs/>
          <w:sz w:val="28"/>
          <w:szCs w:val="28"/>
        </w:rPr>
        <w:t>Цель</w:t>
      </w:r>
      <w:r>
        <w:rPr>
          <w:sz w:val="28"/>
          <w:szCs w:val="28"/>
        </w:rPr>
        <w:t xml:space="preserve">: </w:t>
      </w:r>
      <w:r>
        <w:rPr>
          <w:rStyle w:val="fontstyle01"/>
          <w:rFonts w:eastAsia="Noto Serif CJK SC"/>
          <w:sz w:val="28"/>
          <w:szCs w:val="28"/>
        </w:rPr>
        <w:t>построение и исследование модели «чёрный ящик», модели состава</w:t>
      </w:r>
      <w:r>
        <w:rPr>
          <w:sz w:val="28"/>
          <w:szCs w:val="28"/>
        </w:rPr>
        <w:br/>
      </w:r>
      <w:r>
        <w:rPr>
          <w:rStyle w:val="fontstyle01"/>
          <w:rFonts w:eastAsia="Noto Serif CJK SC"/>
          <w:sz w:val="28"/>
          <w:szCs w:val="28"/>
        </w:rPr>
        <w:t>системы, модели структуры системы, структурной схемы системы.</w:t>
      </w:r>
    </w:p>
    <w:p>
      <w:pPr>
        <w:pStyle w:val="Standard"/>
        <w:rPr/>
      </w:pPr>
      <w:r>
        <w:rPr/>
      </w:r>
    </w:p>
    <w:p>
      <w:pPr>
        <w:pStyle w:val="Standard"/>
        <w:rPr>
          <w:rFonts w:cs="Times New Roman"/>
          <w:sz w:val="28"/>
          <w:szCs w:val="28"/>
        </w:rPr>
      </w:pPr>
      <w:r>
        <w:rPr>
          <w:rStyle w:val="fontstyle01"/>
          <w:rFonts w:eastAsia="Noto Serif CJK SC"/>
          <w:b/>
          <w:bCs/>
          <w:sz w:val="28"/>
          <w:szCs w:val="28"/>
        </w:rPr>
        <w:t>Характеристика</w:t>
      </w:r>
      <w:r>
        <w:rPr>
          <w:rStyle w:val="fontstyle01"/>
          <w:rFonts w:eastAsia="Noto Serif CJK SC"/>
          <w:sz w:val="28"/>
          <w:szCs w:val="28"/>
        </w:rPr>
        <w:t xml:space="preserve">: система “Калькулятор” представляет из себя </w:t>
      </w:r>
      <w:hyperlink r:id="rId2" w:tooltip="Электроника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электронное</w:t>
        </w:r>
      </w:hyperlink>
      <w:r>
        <w:rPr>
          <w:rFonts w:cs="Times New Roman"/>
          <w:sz w:val="28"/>
          <w:szCs w:val="28"/>
        </w:rPr>
        <w:t xml:space="preserve"> </w:t>
      </w:r>
      <w:hyperlink r:id="rId3" w:tooltip="Вычислительное устройство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вычислительное устройство</w:t>
        </w:r>
      </w:hyperlink>
      <w:r>
        <w:rPr>
          <w:rFonts w:cs="Times New Roman"/>
          <w:sz w:val="28"/>
          <w:szCs w:val="28"/>
        </w:rPr>
        <w:t xml:space="preserve"> или </w:t>
      </w:r>
      <w:hyperlink r:id="rId4" w:tooltip="Программное обеспечение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программное обеспечение</w:t>
        </w:r>
      </w:hyperlink>
      <w:r>
        <w:rPr>
          <w:rFonts w:cs="Times New Roman"/>
          <w:sz w:val="28"/>
          <w:szCs w:val="28"/>
        </w:rPr>
        <w:t xml:space="preserve"> (например, встроенное в </w:t>
      </w:r>
      <w:hyperlink r:id="rId5" w:tooltip="Сотовый телефон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мобильный телефон</w:t>
        </w:r>
      </w:hyperlink>
      <w:r>
        <w:rPr>
          <w:rFonts w:cs="Times New Roman"/>
          <w:sz w:val="28"/>
          <w:szCs w:val="28"/>
        </w:rPr>
        <w:t xml:space="preserve">, </w:t>
      </w:r>
      <w:hyperlink r:id="rId6" w:tooltip="Операционная система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операционную систему</w:t>
        </w:r>
      </w:hyperlink>
      <w:r>
        <w:rPr>
          <w:rFonts w:cs="Times New Roman"/>
          <w:sz w:val="28"/>
          <w:szCs w:val="28"/>
        </w:rPr>
        <w:t xml:space="preserve"> </w:t>
      </w:r>
      <w:hyperlink r:id="rId7" w:tooltip="Персональный компьютер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компьютера</w:t>
        </w:r>
      </w:hyperlink>
      <w:r>
        <w:rPr>
          <w:rFonts w:cs="Times New Roman"/>
          <w:sz w:val="28"/>
          <w:szCs w:val="28"/>
        </w:rPr>
        <w:t xml:space="preserve"> или </w:t>
      </w:r>
      <w:hyperlink r:id="rId8" w:tooltip="Планшетный компьютер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планшета</w:t>
        </w:r>
      </w:hyperlink>
      <w:r>
        <w:rPr>
          <w:rFonts w:cs="Times New Roman"/>
          <w:sz w:val="28"/>
          <w:szCs w:val="28"/>
        </w:rPr>
        <w:t xml:space="preserve">, или даже </w:t>
      </w:r>
      <w:hyperlink r:id="rId9" w:tooltip="Смарт-часы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смарт-часы</w:t>
        </w:r>
      </w:hyperlink>
      <w:r>
        <w:rPr>
          <w:rFonts w:cs="Times New Roman"/>
          <w:sz w:val="28"/>
          <w:szCs w:val="28"/>
        </w:rPr>
        <w:t xml:space="preserve">) для выполнения </w:t>
      </w:r>
      <w:hyperlink r:id="rId10" w:tooltip="Операции над числами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операций над числами</w:t>
        </w:r>
      </w:hyperlink>
      <w:r>
        <w:rPr>
          <w:rFonts w:cs="Times New Roman"/>
          <w:sz w:val="28"/>
          <w:szCs w:val="28"/>
        </w:rPr>
        <w:t xml:space="preserve"> или </w:t>
      </w:r>
      <w:hyperlink r:id="rId11">
        <w:r>
          <w:rPr>
            <w:rStyle w:val="Hyperlink"/>
            <w:rFonts w:cs="Times New Roman"/>
            <w:color w:val="auto"/>
            <w:sz w:val="28"/>
            <w:szCs w:val="28"/>
            <w:u w:val="none"/>
          </w:rPr>
          <w:t>алгебраическими формулами</w:t>
        </w:r>
      </w:hyperlink>
      <w:r>
        <w:rPr>
          <w:rFonts w:cs="Times New Roman"/>
          <w:sz w:val="28"/>
          <w:szCs w:val="28"/>
        </w:rPr>
        <w:t>.</w:t>
      </w:r>
    </w:p>
    <w:p>
      <w:pPr>
        <w:pStyle w:val="Standard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  <w:t>Построение модели «чёрный ящик»</w:t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Входы</w:t>
      </w:r>
    </w:p>
    <w:p>
      <w:pPr>
        <w:pStyle w:val="Standard"/>
        <w:ind w:left="72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1.1. Напряжение питания (батарейка или сеть)</w:t>
        <w:br/>
        <w:t>1.2. Нажатия цифровых кнопок (0-9)</w:t>
        <w:br/>
        <w:t>1.3. Нажатия кнопок операций (+, -, *, /, =)</w:t>
        <w:br/>
        <w:t>1.4. Нажатия кнопок дополнительных функций (%, √, M+, M-, MR, MC)</w:t>
        <w:br/>
        <w:t>1.5. Кнопка включения/выключения (ON/C, OFF)</w:t>
        <w:br/>
        <w:t>1.6. Кнопка очистки (C, CE)</w:t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Выходы</w:t>
      </w:r>
    </w:p>
    <w:p>
      <w:pPr>
        <w:pStyle w:val="Standard"/>
        <w:ind w:left="72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2.1. Отображение введённых цифр и символов на дисплее</w:t>
        <w:br/>
        <w:t>2.2. Отображение результата вычисления на дисплее</w:t>
        <w:br/>
        <w:t>2.3. Отображение служебной информации (знак числа, индикатор памяти, ошибка)</w:t>
        <w:br/>
        <w:t>2.4. Звуковой сигнал нажатия кнопки (если есть)</w:t>
        <w:br/>
        <w:t>2.5. Отключение питания при бездействии (автовыключение)</w:t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Нежелательные входы</w:t>
      </w:r>
    </w:p>
    <w:p>
      <w:pPr>
        <w:pStyle w:val="Standard"/>
        <w:ind w:left="72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3.1. Повышенное напряжение питания (например, неправильная установка батареек)</w:t>
        <w:br/>
        <w:t>3.2. Пониженное напряжение питания (севшие батарейки)</w:t>
        <w:br/>
        <w:t>3.3. Электростатические разряды (при касании пользователем)</w:t>
        <w:br/>
        <w:t>3.4. Одновременное нажатие нескольких кнопок</w:t>
        <w:br/>
        <w:t>3.5. Попадание влаги, пыли, прямых солнечных лучей</w:t>
        <w:br/>
        <w:t>3.6. Механические воздействия (удар, падение)</w:t>
        <w:br/>
        <w:t>3.7. Ввод математически неверных операций (например, деление на ноль)</w:t>
      </w:r>
    </w:p>
    <w:p>
      <w:pPr>
        <w:pStyle w:val="Standard"/>
        <w:numPr>
          <w:ilvl w:val="0"/>
          <w:numId w:val="1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Нежелательные выходы</w:t>
      </w:r>
    </w:p>
    <w:p>
      <w:pPr>
        <w:pStyle w:val="Standard"/>
        <w:ind w:left="72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4.1. Неправильный результат вычислений</w:t>
        <w:br/>
        <w:t>4.2. Искажённое или отсутствующее изображение на дисплее</w:t>
        <w:br/>
        <w:t>4.3. «Зависание» калькулятора, невосприимчивость к нажатиям</w:t>
        <w:br/>
        <w:t>4.4. Самопроизвольное выключение или перезагрузка во время работы</w:t>
        <w:br/>
        <w:t>4.5. Отсутствие реакции на нажатие кнопок</w:t>
        <w:br/>
        <w:t>4.6. Течь электролита из батареек (как следствие перегрева или коррозии)</w:t>
      </w:r>
    </w:p>
    <w:p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eastAsia="ru-RU"/>
        </w:rPr>
        <w:t>Способы устранения недостатков системы</w:t>
      </w:r>
    </w:p>
    <w:p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5.1. Использование стабилизаторов и защитных цепей в электрической схеме для защиты от скачков напряжения.</w:t>
        <w:br/>
        <w:t>5.2. Программная обработка ошибок (например, вывод сообщения "Error" при делении на ноль).</w:t>
        <w:br/>
        <w:t>5.3. Защитный чехол или корпус, устойчивый к небольшим механическим воздействиям.</w:t>
        <w:br/>
        <w:t>5.4. Использование качественного ЖК-дисплея с защитным покрытием.</w:t>
        <w:br/>
        <w:t>5.5. Чёткая маркировка кнопок и надёжная клавиатура, предотвращающая залипание.</w:t>
        <w:br/>
        <w:t>5.6. Реализация таймера автовыключения для экономии заряда батареи и предотвращения перегрева.</w:t>
      </w:r>
      <w:r>
        <w:br w:type="page"/>
      </w:r>
    </w:p>
    <w:p>
      <w:pPr>
        <w:pStyle w:val="Standard"/>
        <w:spacing w:before="0" w:after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Standard"/>
        <w:rPr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  <w:t>Модель состава системы</w:t>
      </w:r>
    </w:p>
    <w:p>
      <w:pPr>
        <w:pStyle w:val="Standard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eastAsia="ru-RU"/>
        </w:rPr>
        <w:t>Корпус</w:t>
      </w:r>
    </w:p>
    <w:p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1.1. Внешний корпус (пластиковый/резиновый чехол)</w:t>
        <w:br/>
        <w:t>1.2. Задняя крышка (отсек для батареи)</w:t>
        <w:br/>
        <w:t>1.3. Защитная крышка дисплея</w:t>
      </w:r>
    </w:p>
    <w:p>
      <w:pPr>
        <w:pStyle w:val="Standard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Интерфейс пользователя</w:t>
      </w:r>
    </w:p>
    <w:p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2.1. Цифровые клавиши (0-9)</w:t>
        <w:br/>
        <w:t>2.2. Клавиши арифметических операций (+, -, ×, ÷, =)</w:t>
        <w:br/>
        <w:t>2.3. Клавиши дополнительных функций (%, √, x², M+, M-, MR, MC)</w:t>
        <w:br/>
        <w:t>2.4. Клавиши управления (ON/C, OFF, CLEAR/CE)</w:t>
        <w:br/>
        <w:t>2.5. Дисплей (ЖК-экран)</w:t>
      </w:r>
    </w:p>
    <w:p>
      <w:pPr>
        <w:pStyle w:val="Standard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eastAsia="ru-RU"/>
        </w:rPr>
        <w:t>Вычислительная система</w:t>
      </w:r>
    </w:p>
    <w:p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3.1. Микропроцессор (чип)</w:t>
        <w:br/>
        <w:t>3.2. Память (оперативная и постоянная)</w:t>
        <w:br/>
        <w:t>3.3. Тактовый генератор</w:t>
      </w:r>
    </w:p>
    <w:p>
      <w:pPr>
        <w:pStyle w:val="Standard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eastAsia="ru-RU"/>
        </w:rPr>
        <w:t>Электропитание</w:t>
      </w:r>
    </w:p>
    <w:p>
      <w:pPr>
        <w:pStyle w:val="Standard"/>
        <w:ind w:left="720"/>
        <w:rPr>
          <w:sz w:val="28"/>
          <w:szCs w:val="28"/>
        </w:rPr>
      </w:pPr>
      <w:r>
        <w:rPr>
          <w:sz w:val="28"/>
          <w:szCs w:val="28"/>
        </w:rPr>
        <w:t>4.1. Отсек для элементов питания</w:t>
        <w:br/>
        <w:t>4.2. Батарея (батарейки типа AA/AAA или солнечная панель)</w:t>
        <w:br/>
        <w:t>4.3. Контакты питания</w:t>
        <w:br/>
        <w:t>4.4. Преобразователь напряжения (стабилизатор)</w:t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Standard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Модель структуры системы</w:t>
      </w:r>
      <w:r>
        <w:rPr>
          <w:sz w:val="28"/>
          <w:szCs w:val="28"/>
        </w:rPr>
        <w:br/>
      </w:r>
    </w:p>
    <w:p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99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4999"/>
        <w:gridCol w:w="4998"/>
      </w:tblGrid>
      <w:tr>
        <w:trPr>
          <w:trHeight w:val="351" w:hRule="atLeast"/>
        </w:trPr>
        <w:tc>
          <w:tcPr>
            <w:tcW w:w="4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4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Свойства</w:t>
            </w:r>
          </w:p>
        </w:tc>
      </w:tr>
      <w:tr>
        <w:trPr>
          <w:trHeight w:val="703" w:hRule="atLeast"/>
        </w:trPr>
        <w:tc>
          <w:tcPr>
            <w:tcW w:w="49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Корпус</w:t>
            </w:r>
          </w:p>
        </w:tc>
        <w:tc>
          <w:tcPr>
            <w:tcW w:w="4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Механическая защита внутренних компонентов, эргономика</w:t>
            </w:r>
          </w:p>
        </w:tc>
      </w:tr>
      <w:tr>
        <w:trPr>
          <w:trHeight w:val="717" w:hRule="atLeast"/>
        </w:trPr>
        <w:tc>
          <w:tcPr>
            <w:tcW w:w="49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Клавиатура</w:t>
            </w:r>
          </w:p>
        </w:tc>
        <w:tc>
          <w:tcPr>
            <w:tcW w:w="4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данных и команд пользователем, тактильная обратная связь</w:t>
            </w:r>
          </w:p>
        </w:tc>
      </w:tr>
      <w:tr>
        <w:trPr>
          <w:trHeight w:val="1069" w:hRule="atLeast"/>
        </w:trPr>
        <w:tc>
          <w:tcPr>
            <w:tcW w:w="49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ЖК-дисплей</w:t>
            </w:r>
          </w:p>
        </w:tc>
        <w:tc>
          <w:tcPr>
            <w:tcW w:w="4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Отображение вводимых данных, результатов вычислений и служебной информации</w:t>
            </w:r>
          </w:p>
        </w:tc>
      </w:tr>
      <w:tr>
        <w:trPr>
          <w:trHeight w:val="1055" w:hRule="atLeast"/>
        </w:trPr>
        <w:tc>
          <w:tcPr>
            <w:tcW w:w="49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Микропроцессор (чип)</w:t>
            </w:r>
          </w:p>
        </w:tc>
        <w:tc>
          <w:tcPr>
            <w:tcW w:w="499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арифметических и логических операций, управление системой</w:t>
            </w:r>
          </w:p>
        </w:tc>
      </w:tr>
      <w:tr>
        <w:trPr>
          <w:trHeight w:val="192" w:hRule="atLeast"/>
        </w:trPr>
        <w:tc>
          <w:tcPr>
            <w:tcW w:w="499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Память (ОЗУ/ПЗУ)</w:t>
            </w:r>
          </w:p>
        </w:tc>
        <w:tc>
          <w:tcPr>
            <w:tcW w:w="499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временных данных и программных инструкций</w:t>
            </w:r>
          </w:p>
        </w:tc>
      </w:tr>
      <w:tr>
        <w:trPr>
          <w:trHeight w:val="192" w:hRule="atLeast"/>
        </w:trPr>
        <w:tc>
          <w:tcPr>
            <w:tcW w:w="499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Батарея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Обеспечение системы электропитанием</w:t>
            </w:r>
          </w:p>
        </w:tc>
      </w:tr>
      <w:tr>
        <w:trPr>
          <w:trHeight w:val="192" w:hRule="atLeast"/>
        </w:trPr>
        <w:tc>
          <w:tcPr>
            <w:tcW w:w="499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Печатная плата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Электрическое соединение всех компонентов системы</w:t>
            </w:r>
          </w:p>
        </w:tc>
      </w:tr>
    </w:tbl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4986"/>
        <w:gridCol w:w="4985"/>
      </w:tblGrid>
      <w:tr>
        <w:trPr/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 элементов</w:t>
            </w:r>
          </w:p>
        </w:tc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 между ними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Клавиатура и Микропроцессор</w:t>
            </w:r>
          </w:p>
        </w:tc>
        <w:tc>
          <w:tcPr>
            <w:tcW w:w="49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Передача сигнала о нажатой клавише для обработки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Микропроцессор и ЖК-дисплей</w:t>
            </w:r>
          </w:p>
        </w:tc>
        <w:tc>
          <w:tcPr>
            <w:tcW w:w="49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Передача данных для отображения на экране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Микропроцессор и Память</w:t>
            </w:r>
          </w:p>
        </w:tc>
        <w:tc>
          <w:tcPr>
            <w:tcW w:w="49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Чтение программных инструкций и запись/чтение временных данных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Печатная плата и Клавиатура</w:t>
            </w:r>
          </w:p>
        </w:tc>
        <w:tc>
          <w:tcPr>
            <w:tcW w:w="49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Замыкание цепи при нажатии клавиши и передача сигнала на обработку</w:t>
            </w:r>
          </w:p>
        </w:tc>
      </w:tr>
      <w:tr>
        <w:trPr/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Микропроцессор и встроенные функции (например, таймер)</w:t>
            </w:r>
          </w:p>
        </w:tc>
        <w:tc>
          <w:tcPr>
            <w:tcW w:w="49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Автоматическое отключение питания при бездействии для экономии энергии</w:t>
            </w:r>
          </w:p>
        </w:tc>
      </w:tr>
    </w:tbl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Standard"/>
        <w:spacing w:before="0" w:after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Построение структурной схемы системы</w:t>
      </w:r>
      <w:r>
        <w:rPr/>
        <w:drawing>
          <wp:inline distT="0" distB="0" distL="0" distR="0">
            <wp:extent cx="5295900" cy="6248400"/>
            <wp:effectExtent l="0" t="0" r="0" b="0"/>
            <wp:docPr id="1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andard"/>
        <w:spacing w:before="0" w:after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Лабораторная №2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Система «Калькулятор»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>СВЕДЕНИЕ МНОГОКРИТЕРИАЛЬНОЙ ЗАДАЧИ К ОДНОКРИТЕРИАЛЬНОЙ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</w:r>
    </w:p>
    <w:tbl>
      <w:tblPr>
        <w:tblW w:w="835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1"/>
        <w:gridCol w:w="2669"/>
        <w:gridCol w:w="1547"/>
        <w:gridCol w:w="1830"/>
        <w:gridCol w:w="1776"/>
      </w:tblGrid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Segoe UI Symbol" w:cs="Segoe UI Symbol" w:ascii="Segoe UI Symbol" w:hAnsi="Segoe UI Symbol"/>
                <w:color w:val="000000"/>
                <w:sz w:val="28"/>
              </w:rPr>
              <w:t>№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Наименование критерия q</w:t>
            </w:r>
            <w:r>
              <w:rPr>
                <w:rFonts w:eastAsia="Times New Roman" w:cs="Times New Roman" w:ascii="Times New Roman" w:hAnsi="Times New Roman"/>
                <w:color w:val="000000"/>
                <w:vertAlign w:val="subscript"/>
              </w:rPr>
              <w:t>i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Единица измерения q</w:t>
            </w:r>
            <w:r>
              <w:rPr>
                <w:rFonts w:eastAsia="Times New Roman" w:cs="Times New Roman" w:ascii="Times New Roman" w:hAnsi="Times New Roman"/>
                <w:color w:val="000000"/>
                <w:vertAlign w:val="subscript"/>
              </w:rPr>
              <w:t>i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Коэффициент a</w:t>
            </w:r>
            <w:r>
              <w:rPr>
                <w:rFonts w:eastAsia="Times New Roman" w:cs="Times New Roman" w:ascii="Times New Roman" w:hAnsi="Times New Roman"/>
                <w:color w:val="000000"/>
                <w:vertAlign w:val="subscript"/>
              </w:rPr>
              <w:t>i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Коэффициент b</w:t>
            </w:r>
            <w:r>
              <w:rPr>
                <w:rFonts w:eastAsia="Times New Roman" w:cs="Times New Roman" w:ascii="Times New Roman" w:hAnsi="Times New Roman"/>
                <w:color w:val="000000"/>
                <w:vertAlign w:val="subscript"/>
              </w:rPr>
              <w:t>i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vertAlign w:val="subscript"/>
              </w:rPr>
              <w:t>1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Количество функций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Шт</w:t>
            </w:r>
            <w:r>
              <w:rPr>
                <w:rFonts w:eastAsia="Calibri Light" w:cs="Calibri Light" w:ascii="Calibri Light" w:hAnsi="Calibri Light" w:asciiTheme="majorAscii" w:cstheme="majorAscii" w:eastAsiaTheme="majorAscii" w:hAnsiTheme="majorAscii"/>
              </w:rPr>
              <w:t>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0,4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0,6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vertAlign w:val="subscript"/>
              </w:rPr>
              <w:t>2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Автономность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Часов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0,5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0,5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q</w:t>
            </w:r>
            <w:r>
              <w:rPr>
                <w:rFonts w:cs="Times New Roman" w:ascii="Times New Roman" w:hAnsi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Вес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Г.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0,2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0,8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vertAlign w:val="subscript"/>
              </w:rPr>
              <w:t>4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Размер экрана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Дюйм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0,3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0,7</w:t>
            </w:r>
          </w:p>
        </w:tc>
      </w:tr>
      <w:tr>
        <w:trPr>
          <w:trHeight w:val="300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  <w:sz w:val="28"/>
                <w:szCs w:val="28"/>
                <w:vertAlign w:val="subscript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8"/>
                <w:szCs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Цена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Руб.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0,6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0,4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tbl>
      <w:tblPr>
        <w:tblW w:w="93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57"/>
        <w:gridCol w:w="1364"/>
        <w:gridCol w:w="1197"/>
        <w:gridCol w:w="2683"/>
        <w:gridCol w:w="1115"/>
        <w:gridCol w:w="1115"/>
      </w:tblGrid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Количество функций, шт.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Размер экрана, дюйм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Автономность, часов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Вес, г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Стоимость, руб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Casio FX-991ES PLUS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417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1.8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8000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105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92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Texas Instruments TI-84 Plus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340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2.8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5000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280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277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Citizen SDC-888S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120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1.5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12000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85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30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Casio MS-20UC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80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1.2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10000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65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19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HP 35s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500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2.0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6000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150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444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hd w:fill="FFFFFF" w:val="clear"/>
              </w:rPr>
              <w:t>S</w:t>
            </w:r>
            <w:r>
              <w:rPr>
                <w:rFonts w:eastAsia="Times New Roman" w:cs="Times New Roman" w:ascii="Times New Roman" w:hAnsi="Times New Roman"/>
                <w:color w:val="000000"/>
                <w:shd w:fill="FFFFFF" w:val="clear"/>
                <w:vertAlign w:val="subscript"/>
              </w:rPr>
              <w:t>i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cs="Times New Roman" w:ascii="Times New Roman" w:hAnsi="Times New Roman"/>
              </w:rPr>
              <w:t>500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2.8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12000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65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19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ab/>
        <w:tab/>
        <w:tab/>
        <w:tab/>
        <w:tab/>
        <w:tab/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Q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vertAlign w:val="subscript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(1) =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417</m:t>
                </m:r>
              </m:num>
              <m:den>
                <m:r>
                  <w:rPr>
                    <w:rFonts w:ascii="Cambria Math" w:hAnsi="Cambria Math"/>
                  </w:rPr>
                  <m:t xml:space="preserve">500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1.8</m:t>
                </m:r>
              </m:num>
              <m:den>
                <m:r>
                  <w:rPr>
                    <w:rFonts w:ascii="Cambria Math" w:hAnsi="Cambria Math"/>
                  </w:rPr>
                  <m:t xml:space="preserve">2.8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0.25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8000</m:t>
                </m:r>
              </m:num>
              <m:den>
                <m:r>
                  <w:rPr>
                    <w:rFonts w:ascii="Cambria Math" w:hAnsi="Cambria Math"/>
                  </w:rPr>
                  <m:t xml:space="preserve">12000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65</m:t>
                </m:r>
              </m:num>
              <m:den>
                <m:r>
                  <w:rPr>
                    <w:rFonts w:ascii="Cambria Math" w:hAnsi="Cambria Math"/>
                  </w:rPr>
                  <m:t xml:space="preserve">105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19</m:t>
                </m:r>
              </m:num>
              <m:den>
                <m:r>
                  <w:rPr>
                    <w:rFonts w:ascii="Cambria Math" w:hAnsi="Cambria Math"/>
                  </w:rPr>
                  <m:t xml:space="preserve">92</m:t>
                </m:r>
              </m:den>
            </m:f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0.5540</m:t>
        </m:r>
      </m:oMath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Q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vertAlign w:val="subscript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(2) =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340</m:t>
                </m:r>
              </m:num>
              <m:den>
                <m:r>
                  <w:rPr>
                    <w:rFonts w:ascii="Cambria Math" w:hAnsi="Cambria Math"/>
                  </w:rPr>
                  <m:t xml:space="preserve">500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2.8</m:t>
                </m:r>
              </m:num>
              <m:den>
                <m:r>
                  <w:rPr>
                    <w:rFonts w:ascii="Cambria Math" w:hAnsi="Cambria Math"/>
                  </w:rPr>
                  <m:t xml:space="preserve">2.8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0.25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5000</m:t>
                </m:r>
              </m:num>
              <m:den>
                <m:r>
                  <w:rPr>
                    <w:rFonts w:ascii="Cambria Math" w:hAnsi="Cambria Math"/>
                  </w:rPr>
                  <m:t xml:space="preserve">12000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65</m:t>
                </m:r>
              </m:num>
              <m:den>
                <m:r>
                  <w:rPr>
                    <w:rFonts w:ascii="Cambria Math" w:hAnsi="Cambria Math"/>
                  </w:rPr>
                  <m:t xml:space="preserve">280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19</m:t>
                </m:r>
              </m:num>
              <m:den>
                <m:r>
                  <w:rPr>
                    <w:rFonts w:ascii="Cambria Math" w:hAnsi="Cambria Math"/>
                  </w:rPr>
                  <m:t xml:space="preserve">277</m:t>
                </m:r>
              </m:den>
            </m:f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0.4340</m:t>
        </m:r>
      </m:oMath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Q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vertAlign w:val="subscript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(3) =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120</m:t>
                </m:r>
              </m:num>
              <m:den>
                <m:r>
                  <w:rPr>
                    <w:rFonts w:ascii="Cambria Math" w:hAnsi="Cambria Math"/>
                  </w:rPr>
                  <m:t xml:space="preserve">500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1.5</m:t>
                </m:r>
              </m:num>
              <m:den>
                <m:r>
                  <w:rPr>
                    <w:rFonts w:ascii="Cambria Math" w:hAnsi="Cambria Math"/>
                  </w:rPr>
                  <m:t xml:space="preserve">2.8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0.25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12000</m:t>
                </m:r>
              </m:num>
              <m:den>
                <m:r>
                  <w:rPr>
                    <w:rFonts w:ascii="Cambria Math" w:hAnsi="Cambria Math"/>
                  </w:rPr>
                  <m:t xml:space="preserve">12000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65</m:t>
                </m:r>
              </m:num>
              <m:den>
                <m:r>
                  <w:rPr>
                    <w:rFonts w:ascii="Cambria Math" w:hAnsi="Cambria Math"/>
                  </w:rPr>
                  <m:t xml:space="preserve">85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19</m:t>
                </m:r>
              </m:num>
              <m:den>
                <m:r>
                  <w:rPr>
                    <w:rFonts w:ascii="Cambria Math" w:hAnsi="Cambria Math"/>
                  </w:rPr>
                  <m:t xml:space="preserve">30</m:t>
                </m:r>
              </m:den>
            </m:f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0.6449</m:t>
        </m:r>
      </m:oMath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Q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vertAlign w:val="subscript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(4) =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80</m:t>
                </m:r>
              </m:num>
              <m:den>
                <m:r>
                  <w:rPr>
                    <w:rFonts w:ascii="Cambria Math" w:hAnsi="Cambria Math"/>
                  </w:rPr>
                  <m:t xml:space="preserve">500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1.2</m:t>
                </m:r>
              </m:num>
              <m:den>
                <m:r>
                  <w:rPr>
                    <w:rFonts w:ascii="Cambria Math" w:hAnsi="Cambria Math"/>
                  </w:rPr>
                  <m:t xml:space="preserve">2.8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0.25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10000</m:t>
                </m:r>
              </m:num>
              <m:den>
                <m:r>
                  <w:rPr>
                    <w:rFonts w:ascii="Cambria Math" w:hAnsi="Cambria Math"/>
                  </w:rPr>
                  <m:t xml:space="preserve">12000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65</m:t>
                </m:r>
              </m:num>
              <m:den>
                <m:r>
                  <w:rPr>
                    <w:rFonts w:ascii="Cambria Math" w:hAnsi="Cambria Math"/>
                  </w:rPr>
                  <m:t xml:space="preserve">65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19</m:t>
                </m:r>
              </m:num>
              <m:den>
                <m:r>
                  <w:rPr>
                    <w:rFonts w:ascii="Cambria Math" w:hAnsi="Cambria Math"/>
                  </w:rPr>
                  <m:t xml:space="preserve">19</m:t>
                </m:r>
              </m:den>
            </m:f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0.7046</m:t>
        </m:r>
      </m:oMath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Q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vertAlign w:val="subscript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(5) =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0.2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500</m:t>
                </m:r>
              </m:num>
              <m:den>
                <m:r>
                  <w:rPr>
                    <w:rFonts w:ascii="Cambria Math" w:hAnsi="Cambria Math"/>
                  </w:rPr>
                  <m:t xml:space="preserve">500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2.0</m:t>
                </m:r>
              </m:num>
              <m:den>
                <m:r>
                  <w:rPr>
                    <w:rFonts w:ascii="Cambria Math" w:hAnsi="Cambria Math"/>
                  </w:rPr>
                  <m:t xml:space="preserve">2.8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0.25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6000</m:t>
                </m:r>
              </m:num>
              <m:den>
                <m:r>
                  <w:rPr>
                    <w:rFonts w:ascii="Cambria Math" w:hAnsi="Cambria Math"/>
                  </w:rPr>
                  <m:t xml:space="preserve">12000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0.10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65</m:t>
                </m:r>
              </m:num>
              <m:den>
                <m:r>
                  <w:rPr>
                    <w:rFonts w:ascii="Cambria Math" w:hAnsi="Cambria Math"/>
                  </w:rPr>
                  <m:t xml:space="preserve">150</m:t>
                </m:r>
              </m:den>
            </m:f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0.30</m:t>
        </m:r>
        <m:r>
          <w:rPr>
            <w:rFonts w:ascii="Cambria Math" w:hAnsi="Cambria Math"/>
          </w:rPr>
          <m:t xml:space="preserve">×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</w:rPr>
                  <m:t xml:space="preserve">19</m:t>
                </m:r>
              </m:num>
              <m:den>
                <m:r>
                  <w:rPr>
                    <w:rFonts w:ascii="Cambria Math" w:hAnsi="Cambria Math"/>
                  </w:rPr>
                  <m:t xml:space="preserve">444</m:t>
                </m:r>
              </m:den>
            </m:f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0.4882</m:t>
        </m:r>
      </m:oMath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 помощью аддитивной функции было выяснено, что калькулятор модели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Casio MS-20UC</w:t>
      </w:r>
      <w:bookmarkStart w:id="0" w:name="_Hlk178708437"/>
      <w:r>
        <w:rPr>
          <w:rFonts w:eastAsia="Times New Roman" w:cs="Times New Roman" w:ascii="Times New Roman" w:hAnsi="Times New Roman"/>
          <w:color w:val="000000"/>
          <w:shd w:fill="FFFFFF" w:val="clear"/>
        </w:rPr>
        <w:t xml:space="preserve"> </w:t>
      </w:r>
      <w:bookmarkEnd w:id="0"/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</w:rPr>
        <w:t>наилучший по рассматриваемым критериям.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7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7"/>
          <w:lang w:val="en-US"/>
        </w:rPr>
        <w:t>x* = arg max</w:t>
      </w:r>
      <w:r>
        <w:rPr>
          <w:rFonts w:eastAsia="Times New Roman" w:cs="Times New Roman" w:ascii="Times New Roman" w:hAnsi="Times New Roman"/>
          <w:color w:val="000000"/>
          <w:sz w:val="27"/>
          <w:vertAlign w:val="subscript"/>
          <w:lang w:val="en-US"/>
        </w:rPr>
        <w:t>x</w:t>
      </w:r>
      <w:r>
        <w:rPr>
          <w:rFonts w:eastAsia="Cambria Math" w:cs="Cambria Math" w:ascii="Cambria Math" w:hAnsi="Cambria Math"/>
          <w:color w:val="000000"/>
          <w:sz w:val="27"/>
          <w:vertAlign w:val="subscript"/>
          <w:lang w:val="en-US"/>
        </w:rPr>
        <w:t>∈</w:t>
      </w:r>
      <w:r>
        <w:rPr>
          <w:rFonts w:eastAsia="Times New Roman" w:cs="Times New Roman" w:ascii="Times New Roman" w:hAnsi="Times New Roman"/>
          <w:color w:val="000000"/>
          <w:sz w:val="27"/>
          <w:vertAlign w:val="subscript"/>
          <w:lang w:val="en-US"/>
        </w:rPr>
        <w:t xml:space="preserve">X g0 </w:t>
      </w:r>
      <w:r>
        <w:rPr>
          <w:rFonts w:eastAsia="Times New Roman" w:cs="Times New Roman" w:ascii="Times New Roman" w:hAnsi="Times New Roman"/>
          <w:color w:val="000000"/>
          <w:sz w:val="27"/>
          <w:lang w:val="en-US"/>
        </w:rPr>
        <w:t>(q</w:t>
      </w:r>
      <w:r>
        <w:rPr>
          <w:rFonts w:eastAsia="Times New Roman" w:cs="Times New Roman" w:ascii="Times New Roman" w:hAnsi="Times New Roman"/>
          <w:color w:val="000000"/>
          <w:sz w:val="27"/>
          <w:vertAlign w:val="subscript"/>
          <w:lang w:val="en-US"/>
        </w:rPr>
        <w:t>1</w:t>
      </w:r>
      <w:r>
        <w:rPr>
          <w:rFonts w:eastAsia="Times New Roman" w:cs="Times New Roman" w:ascii="Times New Roman" w:hAnsi="Times New Roman"/>
          <w:color w:val="000000"/>
          <w:sz w:val="27"/>
          <w:lang w:val="en-US"/>
        </w:rPr>
        <w:t>(x), q</w:t>
      </w:r>
      <w:r>
        <w:rPr>
          <w:rFonts w:eastAsia="Times New Roman" w:cs="Times New Roman" w:ascii="Times New Roman" w:hAnsi="Times New Roman"/>
          <w:color w:val="000000"/>
          <w:sz w:val="27"/>
          <w:vertAlign w:val="subscript"/>
          <w:lang w:val="en-US"/>
        </w:rPr>
        <w:t>2</w:t>
      </w:r>
      <w:r>
        <w:rPr>
          <w:rFonts w:eastAsia="Times New Roman" w:cs="Times New Roman" w:ascii="Times New Roman" w:hAnsi="Times New Roman"/>
          <w:color w:val="000000"/>
          <w:sz w:val="27"/>
          <w:lang w:val="en-US"/>
        </w:rPr>
        <w:t xml:space="preserve">(x), </w:t>
      </w:r>
      <w:r>
        <w:rPr>
          <w:rFonts w:eastAsia="Calibri" w:cs="Calibri" w:ascii="Calibri" w:hAnsi="Calibri"/>
          <w:color w:val="000000"/>
          <w:sz w:val="27"/>
          <w:lang w:val="en-US"/>
        </w:rPr>
        <w:t>…</w:t>
      </w:r>
      <w:r>
        <w:rPr>
          <w:rFonts w:eastAsia="Times New Roman" w:cs="Times New Roman" w:ascii="Times New Roman" w:hAnsi="Times New Roman"/>
          <w:color w:val="000000"/>
          <w:sz w:val="27"/>
          <w:lang w:val="en-US"/>
        </w:rPr>
        <w:t>, q</w:t>
      </w:r>
      <w:r>
        <w:rPr>
          <w:rFonts w:eastAsia="Times New Roman" w:cs="Times New Roman" w:ascii="Times New Roman" w:hAnsi="Times New Roman"/>
          <w:color w:val="000000"/>
          <w:sz w:val="27"/>
          <w:vertAlign w:val="subscript"/>
          <w:lang w:val="en-US"/>
        </w:rPr>
        <w:t>p</w:t>
      </w:r>
      <w:r>
        <w:rPr>
          <w:rFonts w:eastAsia="Times New Roman" w:cs="Times New Roman" w:ascii="Times New Roman" w:hAnsi="Times New Roman"/>
          <w:color w:val="000000"/>
          <w:sz w:val="27"/>
          <w:lang w:val="en-US"/>
        </w:rPr>
        <w:t>(x))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7"/>
          <w:szCs w:val="27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>x* = arg max {0.5540, 0.4340, 0.6449, 0.6046, 0,4882} = 0.6449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7"/>
          <w:szCs w:val="27"/>
        </w:rPr>
      </w:pPr>
      <w:r>
        <w:rPr>
          <w:rFonts w:eastAsia="Times New Roman" w:cs="Times New Roman" w:ascii="Times New Roman" w:hAnsi="Times New Roman"/>
          <w:color w:val="000000"/>
          <w:sz w:val="27"/>
          <w:szCs w:val="27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7"/>
        </w:rPr>
      </w:pPr>
      <w:r>
        <w:rPr>
          <w:rFonts w:eastAsia="Times New Roman" w:cs="Times New Roman" w:ascii="Times New Roman" w:hAnsi="Times New Roman"/>
          <w:color w:val="000000"/>
          <w:sz w:val="27"/>
        </w:rPr>
        <w:t>Расчёты по мультипликативной функции: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7"/>
          <w:szCs w:val="27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>1-q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vertAlign w:val="subscript"/>
          <w:lang w:val="en-US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 xml:space="preserve"> (1) = 0.966*0.926*0.901*0.914*0.753 = 0.543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7"/>
          <w:szCs w:val="27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>1-q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vertAlign w:val="subscript"/>
          <w:lang w:val="en-US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 xml:space="preserve"> (2) = 0.926*0.866*0.718*1*0.637 = 0.367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7"/>
          <w:szCs w:val="27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>1-q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vertAlign w:val="subscript"/>
          <w:lang w:val="en-US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 xml:space="preserve"> (3) = 0.764*1*0.941*0.885*0.914 = 0.570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7"/>
          <w:szCs w:val="27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>1-q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vertAlign w:val="subscript"/>
          <w:lang w:val="en-US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 xml:space="preserve"> (4) = 0.695*0.967*1*0.853*1 = 0.573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7"/>
          <w:szCs w:val="27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>1-q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vertAlign w:val="subscript"/>
          <w:lang w:val="en-US"/>
        </w:rPr>
        <w:t>0</w:t>
      </w: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  <w:t xml:space="preserve"> (5) = 1*0.887*0.804*0.929*0.552 = 0.365 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7"/>
          <w:szCs w:val="27"/>
          <w:lang w:val="en-US"/>
        </w:rPr>
      </w:pPr>
      <w:r>
        <w:rPr>
          <w:rFonts w:eastAsia="Times New Roman" w:cs="Times New Roman" w:ascii="Times New Roman" w:hAnsi="Times New Roman"/>
          <w:color w:themeColor="text1" w:val="000000"/>
          <w:sz w:val="27"/>
          <w:szCs w:val="27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 помощью мультипликационной функции было выяснено, что калькулятор модели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Casio MS-20UC</w:t>
      </w:r>
      <w:r>
        <w:rPr>
          <w:rFonts w:eastAsia="Times New Roman" w:cs="Times New Roman" w:ascii="Times New Roman" w:hAnsi="Times New Roman"/>
          <w:color w:val="000000"/>
          <w:shd w:fill="FFFFFF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</w:rPr>
        <w:t>наилучший по рассматриваемым критериям.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</w:rPr>
        <w:t>Граф предпочтений: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280920" cy="5219700"/>
            <wp:effectExtent l="0" t="0" r="0" b="0"/>
            <wp:docPr id="2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20" cy="521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>Получившийся граф: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ind w:hanging="360" w:left="720"/>
        <w:jc w:val="left"/>
        <w:textAlignment w:val="auto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>Антисимметричный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ind w:hanging="360" w:left="720"/>
        <w:jc w:val="left"/>
        <w:textAlignment w:val="auto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>Нерефлексивный</w:t>
      </w:r>
    </w:p>
    <w:p>
      <w:pPr>
        <w:pStyle w:val="Normal"/>
        <w:numPr>
          <w:ilvl w:val="0"/>
          <w:numId w:val="3"/>
        </w:numPr>
        <w:spacing w:before="0" w:after="160"/>
        <w:ind w:hanging="360" w:left="720"/>
        <w:jc w:val="left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Транзитивнный</w:t>
      </w:r>
    </w:p>
    <w:p>
      <w:pPr>
        <w:pStyle w:val="Normal"/>
        <w:numPr>
          <w:ilvl w:val="0"/>
          <w:numId w:val="3"/>
        </w:numPr>
        <w:spacing w:before="0" w:after="160"/>
        <w:ind w:hanging="360" w:left="720"/>
        <w:jc w:val="left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Ацикличный</w:t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ind w:hanging="0" w:left="360"/>
        <w:jc w:val="center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  <w:t>Лабораторная №3</w:t>
      </w:r>
    </w:p>
    <w:p>
      <w:pPr>
        <w:pStyle w:val="NormalWeb"/>
        <w:spacing w:before="0" w:after="0"/>
        <w:jc w:val="center"/>
        <w:rPr/>
      </w:pPr>
      <w:r>
        <w:rPr>
          <w:bCs/>
          <w:color w:val="000000"/>
          <w:sz w:val="28"/>
          <w:szCs w:val="28"/>
        </w:rPr>
        <w:t>Система «Калькулятор»</w:t>
      </w:r>
    </w:p>
    <w:p>
      <w:pPr>
        <w:pStyle w:val="NormalWeb"/>
        <w:spacing w:before="0" w:after="0"/>
        <w:jc w:val="center"/>
        <w:rPr/>
      </w:pPr>
      <w:r>
        <w:rPr>
          <w:bCs/>
          <w:color w:val="000000"/>
          <w:sz w:val="28"/>
          <w:szCs w:val="28"/>
        </w:rPr>
        <w:t>ПОИСК АЛЬТЕРНАТИВЫ С ЗАДАННЫМИ СВОЙСТВАМИ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ab/>
        <w:tab/>
        <w:tab/>
        <w:tab/>
        <w:tab/>
      </w:r>
    </w:p>
    <w:tbl>
      <w:tblPr>
        <w:tblW w:w="835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1"/>
        <w:gridCol w:w="2669"/>
        <w:gridCol w:w="1389"/>
        <w:gridCol w:w="1633"/>
        <w:gridCol w:w="2131"/>
      </w:tblGrid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Segoe UI Symbol" w:cs="Segoe UI Symbol" w:ascii="Segoe UI Symbol" w:hAnsi="Segoe UI Symbol"/>
                <w:color w:val="000000"/>
                <w:sz w:val="28"/>
              </w:rPr>
              <w:t>№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Наименование критерия q</w:t>
            </w:r>
            <w:r>
              <w:rPr>
                <w:rFonts w:eastAsia="Times New Roman" w:cs="Times New Roman" w:ascii="Times New Roman" w:hAnsi="Times New Roman"/>
                <w:color w:val="000000"/>
                <w:vertAlign w:val="subscript"/>
              </w:rPr>
              <w:t>i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Единица измерения q</w:t>
            </w:r>
            <w:r>
              <w:rPr>
                <w:rFonts w:eastAsia="Times New Roman" w:cs="Times New Roman" w:ascii="Times New Roman" w:hAnsi="Times New Roman"/>
                <w:color w:val="000000"/>
                <w:vertAlign w:val="subscript"/>
              </w:rPr>
              <w:t>i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/>
              <w:t>Требуемые параметры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Коэффициент a</w:t>
            </w:r>
            <w:r>
              <w:rPr>
                <w:rFonts w:eastAsia="Times New Roman" w:cs="Times New Roman" w:ascii="Times New Roman" w:hAnsi="Times New Roman"/>
                <w:color w:val="000000"/>
                <w:vertAlign w:val="subscript"/>
              </w:rPr>
              <w:t>i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vertAlign w:val="subscript"/>
              </w:rPr>
              <w:t>1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Количество функций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Шт</w:t>
            </w:r>
            <w:r>
              <w:rPr>
                <w:rFonts w:eastAsia="Calibri Light" w:cs="Calibri Light" w:ascii="Calibri Light" w:hAnsi="Calibri Light" w:asciiTheme="majorAscii" w:cstheme="majorAscii" w:eastAsiaTheme="majorAscii" w:hAnsiTheme="majorAscii"/>
              </w:rPr>
              <w:t>.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/>
            </w:pPr>
            <w:r>
              <w:rPr/>
              <w:t>350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0,2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vertAlign w:val="subscript"/>
              </w:rPr>
              <w:t>2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Автономность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Часов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8000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0,25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q</w:t>
            </w:r>
            <w:r>
              <w:rPr>
                <w:rFonts w:cs="Times New Roman" w:ascii="Times New Roman" w:hAnsi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Вес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Г.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120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0,1</w:t>
            </w:r>
          </w:p>
        </w:tc>
      </w:tr>
      <w:tr>
        <w:trPr>
          <w:trHeight w:val="1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vertAlign w:val="subscript"/>
              </w:rPr>
              <w:t>4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Размер экрана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Дюйм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2.2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0,15</w:t>
            </w:r>
          </w:p>
        </w:tc>
      </w:tr>
      <w:tr>
        <w:trPr>
          <w:trHeight w:val="300" w:hRule="atLeast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  <w:sz w:val="28"/>
                <w:szCs w:val="28"/>
                <w:vertAlign w:val="subscript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sz w:val="28"/>
                <w:szCs w:val="28"/>
              </w:rPr>
              <w:t>q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Цена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Руб.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90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0,3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tbl>
      <w:tblPr>
        <w:tblW w:w="93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57"/>
        <w:gridCol w:w="1364"/>
        <w:gridCol w:w="1197"/>
        <w:gridCol w:w="2683"/>
        <w:gridCol w:w="1115"/>
        <w:gridCol w:w="1115"/>
      </w:tblGrid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Количество функций, шт.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Размер экрана, дюйм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Автономность, часов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Вес, г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Стоимость, руб</w:t>
            </w:r>
          </w:p>
        </w:tc>
      </w:tr>
      <w:tr>
        <w:trPr>
          <w:trHeight w:val="457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Casio FX-991ES PLUS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417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</w:rPr>
              <w:t>1.8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8000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105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92</w:t>
            </w:r>
          </w:p>
        </w:tc>
      </w:tr>
      <w:tr>
        <w:trPr>
          <w:trHeight w:val="923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Texas Instruments TI-84 Plus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340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2.8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5000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280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277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Citizen SDC-888S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120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1.5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12000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85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30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Casio MS-20UC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80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1.2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10000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65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19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HP 35s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500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2.0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6000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150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/>
              <w:t>444</w:t>
            </w:r>
          </w:p>
        </w:tc>
      </w:tr>
      <w:tr>
        <w:trPr>
          <w:trHeight w:val="300" w:hRule="atLeast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hd w:fill="FFFFFF" w:val="clear"/>
              </w:rPr>
              <w:t>S</w:t>
            </w:r>
            <w:r>
              <w:rPr>
                <w:rFonts w:eastAsia="Times New Roman" w:cs="Times New Roman" w:ascii="Times New Roman" w:hAnsi="Times New Roman"/>
                <w:color w:val="000000"/>
                <w:shd w:fill="FFFFFF" w:val="clear"/>
                <w:vertAlign w:val="subscript"/>
              </w:rPr>
              <w:t>i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cs="Times New Roman" w:ascii="Times New Roman" w:hAnsi="Times New Roman"/>
              </w:rPr>
              <w:t>500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2.8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12000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65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themeColor="text1" w:val="000000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19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left"/>
        <w:rPr>
          <w:color w:val="000000"/>
          <w:sz w:val="28"/>
          <w:szCs w:val="28"/>
          <w:vertAlign w:val="subscript"/>
          <w:lang w:val="en-US"/>
        </w:rPr>
      </w:pPr>
      <w:r>
        <w:rPr>
          <w:color w:val="000000"/>
          <w:sz w:val="28"/>
          <w:szCs w:val="28"/>
          <w:vertAlign w:val="subscript"/>
          <w:lang w:val="en-US"/>
        </w:rPr>
      </w:r>
    </w:p>
    <w:p>
      <w:pPr>
        <w:pStyle w:val="Normal"/>
        <w:jc w:val="center"/>
        <w:rPr>
          <w:bCs/>
          <w:color w:val="000000"/>
          <w:sz w:val="28"/>
          <w:szCs w:val="28"/>
          <w:vertAlign w:val="subscript"/>
          <w:lang w:val="en-US"/>
        </w:rPr>
      </w:pPr>
      <w:r>
        <w:rPr>
          <w:bCs/>
          <w:color w:val="000000"/>
          <w:sz w:val="28"/>
          <w:szCs w:val="28"/>
          <w:vertAlign w:val="subscript"/>
          <w:lang w:val="en-US"/>
        </w:rPr>
      </w:r>
    </w:p>
    <w:p>
      <w:pPr>
        <w:pStyle w:val="NormalWeb"/>
        <w:spacing w:before="0" w:after="0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ab/>
        <w:tab/>
        <w:tab/>
        <w:tab/>
        <w:tab/>
      </w:r>
      <w:r>
        <w:rPr/>
        <w:drawing>
          <wp:inline distT="0" distB="0" distL="0" distR="0">
            <wp:extent cx="2095500" cy="4572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pStyle w:val="NormalWeb"/>
        <w:spacing w:before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before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ab/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1</w:t>
      </w:r>
      <w:r>
        <w:rPr>
          <w:bCs/>
          <w:color w:val="000000"/>
          <w:sz w:val="28"/>
          <w:szCs w:val="28"/>
        </w:rPr>
        <w:t xml:space="preserve"> = </w:t>
      </w:r>
      <w:r>
        <w:rPr/>
        <w:t xml:space="preserve">0.2*|417-350| + 0.25*|8000-8000| + 0.1*|105-120| + 0.15*|1.8-2.2| + 0.3*|92-90| = 13.4 + 0 + 1.5 + 0.06 + 0.6 = </w:t>
      </w:r>
      <w:r>
        <w:rPr>
          <w:rStyle w:val="Strong"/>
          <w:b w:val="false"/>
          <w:bCs w:val="false"/>
        </w:rPr>
        <w:t>15.56</w:t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2</w:t>
      </w:r>
      <w:r>
        <w:rPr>
          <w:bCs/>
          <w:color w:val="000000"/>
          <w:sz w:val="28"/>
          <w:szCs w:val="28"/>
        </w:rPr>
        <w:t xml:space="preserve"> = </w:t>
      </w:r>
      <w:r>
        <w:rPr/>
        <w:t xml:space="preserve">0.2*|340-350| + 0.25*|5000-8000| + 0.1*|280-120| + 0.15*|2.8-2.2| + 0.3*|277-90| = 2 + 750 + 16 + 0.09 + 56.1 = </w:t>
      </w:r>
      <w:r>
        <w:rPr>
          <w:rStyle w:val="Strong"/>
          <w:b w:val="false"/>
          <w:bCs w:val="false"/>
        </w:rPr>
        <w:t>824.19</w:t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3</w:t>
      </w:r>
      <w:r>
        <w:rPr>
          <w:bCs/>
          <w:color w:val="000000"/>
          <w:sz w:val="28"/>
          <w:szCs w:val="28"/>
        </w:rPr>
        <w:t xml:space="preserve"> = </w:t>
      </w:r>
      <w:r>
        <w:rPr/>
        <w:t xml:space="preserve">0.2*|120-350| + 0.25*|12000-8000| + 0.1*|85-120| + 0.15*|1.5-2.2| + 0.3*|30-90| = 46 + 1000 + 3.5 + 0.105 + 18 = </w:t>
      </w:r>
      <w:r>
        <w:rPr>
          <w:rStyle w:val="Strong"/>
          <w:b w:val="false"/>
          <w:bCs w:val="false"/>
        </w:rPr>
        <w:t>1067.605</w:t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4</w:t>
      </w:r>
      <w:r>
        <w:rPr>
          <w:bCs/>
          <w:color w:val="000000"/>
          <w:sz w:val="28"/>
          <w:szCs w:val="28"/>
        </w:rPr>
        <w:t xml:space="preserve"> = </w:t>
      </w:r>
      <w:r>
        <w:rPr/>
        <w:t xml:space="preserve">0.2*|80-350| + 0.25*|10000-8000| + 0.1*|65-120| + 0.15*|1.2-2.2| + 0.3*|19-90| = 54 + 500 + 5.5 + 0.15 + 21.3 = </w:t>
      </w:r>
      <w:r>
        <w:rPr>
          <w:rStyle w:val="Strong"/>
          <w:b w:val="false"/>
          <w:bCs w:val="false"/>
        </w:rPr>
        <w:t>580.95</w:t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5</w:t>
      </w:r>
      <w:r>
        <w:rPr>
          <w:bCs/>
          <w:color w:val="000000"/>
          <w:sz w:val="28"/>
          <w:szCs w:val="28"/>
        </w:rPr>
        <w:t xml:space="preserve"> =</w:t>
      </w:r>
      <w:r>
        <w:rPr>
          <w:bCs/>
          <w:color w:val="000000"/>
          <w:sz w:val="20"/>
          <w:szCs w:val="20"/>
        </w:rPr>
        <w:t xml:space="preserve"> </w:t>
      </w:r>
      <w:r>
        <w:rPr/>
        <w:t xml:space="preserve">0.2*|500-350| + 0.25*|6000-8000| + 0.1*|150-120| + 0.15*|2.0-2.2| + 0.3*|444-90| = 30 + 500 + 3 + 0.03 + 106.2 = </w:t>
      </w:r>
      <w:r>
        <w:rPr>
          <w:rStyle w:val="Strong"/>
          <w:b w:val="false"/>
          <w:bCs w:val="false"/>
        </w:rPr>
        <w:t>639.23</w:t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/>
      </w:pPr>
      <w:r>
        <w:rPr>
          <w:bCs/>
          <w:color w:val="000000"/>
          <w:sz w:val="28"/>
          <w:szCs w:val="28"/>
        </w:rPr>
        <w:t xml:space="preserve">На основе поиска альтернативы с заданными свойствами было выяснено, что из выбранных калькуляторов самым лучшим является </w:t>
      </w:r>
      <w:r>
        <w:rPr>
          <w:rFonts w:eastAsia="Times New Roman" w:cs="Times New Roman"/>
          <w:bCs/>
          <w:color w:val="000000"/>
          <w:sz w:val="24"/>
          <w:szCs w:val="24"/>
          <w:shd w:fill="FFFFFF" w:val="clear"/>
          <w:lang w:val="en-US"/>
        </w:rPr>
        <w:t>Casio FX-991ES PLUS.</w:t>
      </w:r>
    </w:p>
    <w:p>
      <w:pPr>
        <w:pStyle w:val="NormalWeb"/>
        <w:spacing w:before="0" w:after="0"/>
        <w:rPr>
          <w:rFonts w:ascii="Times New Roman" w:hAnsi="Times New Roman" w:eastAsia="Times New Roman" w:cs="Times New Roman"/>
          <w:bCs/>
          <w:color w:val="000000"/>
          <w:sz w:val="24"/>
          <w:szCs w:val="24"/>
          <w:shd w:fill="FFFFFF" w:val="clear"/>
          <w:lang w:val="en-US"/>
        </w:rPr>
      </w:pPr>
      <w:r>
        <w:rPr>
          <w:rFonts w:eastAsia="Times New Roman" w:cs="Times New Roman"/>
          <w:bCs/>
          <w:color w:val="000000"/>
          <w:sz w:val="24"/>
          <w:szCs w:val="24"/>
          <w:shd w:fill="FFFFFF" w:val="clear"/>
          <w:lang w:val="en-US"/>
        </w:rPr>
      </w:r>
    </w:p>
    <w:p>
      <w:pPr>
        <w:pStyle w:val="NormalWeb"/>
        <w:spacing w:before="0" w:after="0"/>
        <w:rPr>
          <w:rFonts w:ascii="Times New Roman" w:hAnsi="Times New Roman" w:eastAsia="Times New Roman" w:cs="Times New Roman"/>
          <w:bCs/>
          <w:color w:val="000000"/>
          <w:sz w:val="24"/>
          <w:szCs w:val="24"/>
          <w:shd w:fill="FFFFFF" w:val="clear"/>
          <w:lang w:val="en-US"/>
        </w:rPr>
      </w:pPr>
      <w:r>
        <w:rPr>
          <w:rFonts w:eastAsia="Times New Roman" w:cs="Times New Roman"/>
          <w:bCs/>
          <w:color w:val="000000"/>
          <w:sz w:val="24"/>
          <w:szCs w:val="24"/>
          <w:shd w:fill="FFFFFF" w:val="clear"/>
          <w:lang w:val="en-US"/>
        </w:rPr>
      </w:r>
    </w:p>
    <w:p>
      <w:pPr>
        <w:pStyle w:val="NormalWeb"/>
        <w:spacing w:before="0" w:after="0"/>
        <w:jc w:val="center"/>
        <w:rPr/>
      </w:pPr>
      <w:r>
        <w:rPr>
          <w:color w:val="000000"/>
          <w:sz w:val="28"/>
          <w:szCs w:val="28"/>
          <w:shd w:fill="FFFFFF" w:val="clear"/>
        </w:rPr>
        <w:t>Система «Калькулятор»</w:t>
      </w:r>
    </w:p>
    <w:p>
      <w:pPr>
        <w:pStyle w:val="NormalWeb"/>
        <w:spacing w:before="0" w:after="0"/>
        <w:jc w:val="center"/>
        <w:rPr>
          <w:color w:val="000000"/>
          <w:sz w:val="28"/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НАХОЖДЕНИЕ МНОЖЕСТВА ПАРЕТО</w:t>
      </w:r>
    </w:p>
    <w:p>
      <w:pPr>
        <w:pStyle w:val="NormalWeb"/>
        <w:spacing w:before="0" w:after="0"/>
        <w:jc w:val="center"/>
        <w:rPr>
          <w:color w:val="000000"/>
          <w:sz w:val="28"/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</w:r>
    </w:p>
    <w:p>
      <w:pPr>
        <w:pStyle w:val="NormalWeb"/>
        <w:spacing w:before="0" w:after="0"/>
        <w:jc w:val="center"/>
        <w:rPr>
          <w:color w:val="000000"/>
          <w:sz w:val="28"/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</w:r>
    </w:p>
    <w:tbl>
      <w:tblPr>
        <w:tblW w:w="442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54"/>
        <w:gridCol w:w="1255"/>
        <w:gridCol w:w="1318"/>
      </w:tblGrid>
      <w:tr>
        <w:trPr>
          <w:trHeight w:val="1" w:hRule="atLeast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Количество функций, шт.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Автономность, часов</w:t>
            </w:r>
          </w:p>
        </w:tc>
      </w:tr>
      <w:tr>
        <w:trPr>
          <w:trHeight w:val="1" w:hRule="atLeast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HP 35s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500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6000</w:t>
            </w:r>
          </w:p>
        </w:tc>
      </w:tr>
      <w:tr>
        <w:trPr>
          <w:trHeight w:val="1" w:hRule="atLeast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Casio FX-991ES PLUS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417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8000</w:t>
            </w:r>
          </w:p>
        </w:tc>
      </w:tr>
      <w:tr>
        <w:trPr>
          <w:trHeight w:val="1" w:hRule="atLeast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Texas Instruments TI-84 Plus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340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5000</w:t>
            </w:r>
          </w:p>
        </w:tc>
      </w:tr>
      <w:tr>
        <w:trPr>
          <w:trHeight w:val="1" w:hRule="atLeast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Citizen SDC-888S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120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12000</w:t>
            </w:r>
          </w:p>
        </w:tc>
      </w:tr>
      <w:tr>
        <w:trPr>
          <w:trHeight w:val="1" w:hRule="atLeast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/>
              </w:rPr>
              <w:t>Casio MS-20UC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themeColor="text1" w:val="000000"/>
              </w:rPr>
              <w:t>80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/>
              <w:t>10000</w:t>
            </w:r>
          </w:p>
        </w:tc>
      </w:tr>
      <w:tr>
        <w:trPr>
          <w:trHeight w:val="1" w:hRule="atLeast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hd w:fill="FFFFFF" w:val="clear"/>
              </w:rPr>
              <w:t>S</w:t>
            </w:r>
            <w:r>
              <w:rPr>
                <w:rFonts w:eastAsia="Times New Roman" w:cs="Times New Roman" w:ascii="Times New Roman" w:hAnsi="Times New Roman"/>
                <w:color w:val="000000"/>
                <w:shd w:fill="FFFFFF" w:val="clear"/>
                <w:vertAlign w:val="subscript"/>
              </w:rPr>
              <w:t>i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rFonts w:cs="Times New Roman" w:ascii="Times New Roman" w:hAnsi="Times New Roman"/>
              </w:rPr>
              <w:t>500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12000</w:t>
            </w:r>
          </w:p>
        </w:tc>
      </w:tr>
    </w:tbl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Множество Парето строится на основе 2ух критериев: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344805</wp:posOffset>
            </wp:positionH>
            <wp:positionV relativeFrom="paragraph">
              <wp:posOffset>118110</wp:posOffset>
            </wp:positionV>
            <wp:extent cx="5760085" cy="3239770"/>
            <wp:effectExtent l="0" t="0" r="0" b="0"/>
            <wp:wrapSquare wrapText="largest"/>
            <wp:docPr id="4" name="Объект6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  <w:t>Лабораторная №4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center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Система «Калькулятор»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Для рассмотрения и построения когнитивной карты были взяты следующие критерии системы «Калькулятор»:</w:t>
      </w:r>
    </w:p>
    <w:p>
      <w:pPr>
        <w:pStyle w:val="Normal"/>
        <w:numPr>
          <w:ilvl w:val="0"/>
          <w:numId w:val="4"/>
        </w:numPr>
        <w:suppressAutoHyphens w:val="false"/>
        <w:spacing w:beforeAutospacing="1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Количество функций;</w:t>
      </w:r>
    </w:p>
    <w:p>
      <w:pPr>
        <w:pStyle w:val="Normal"/>
        <w:numPr>
          <w:ilvl w:val="0"/>
          <w:numId w:val="4"/>
        </w:numPr>
        <w:suppressAutoHyphens w:val="false"/>
        <w:spacing w:before="0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Автономность;</w:t>
      </w:r>
    </w:p>
    <w:p>
      <w:pPr>
        <w:pStyle w:val="Normal"/>
        <w:numPr>
          <w:ilvl w:val="0"/>
          <w:numId w:val="4"/>
        </w:numPr>
        <w:suppressAutoHyphens w:val="false"/>
        <w:spacing w:before="0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Размер экрана;</w:t>
      </w:r>
    </w:p>
    <w:p>
      <w:pPr>
        <w:pStyle w:val="Normal"/>
        <w:numPr>
          <w:ilvl w:val="0"/>
          <w:numId w:val="4"/>
        </w:numPr>
        <w:suppressAutoHyphens w:val="false"/>
        <w:spacing w:before="0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Цена;</w:t>
      </w:r>
    </w:p>
    <w:p>
      <w:pPr>
        <w:pStyle w:val="Normal"/>
        <w:numPr>
          <w:ilvl w:val="0"/>
          <w:numId w:val="4"/>
        </w:numPr>
        <w:suppressAutoHyphens w:val="false"/>
        <w:spacing w:before="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Вес.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На основе выбранных критериев были определены следующие связи:</w:t>
      </w:r>
    </w:p>
    <w:p>
      <w:pPr>
        <w:pStyle w:val="Normal"/>
        <w:numPr>
          <w:ilvl w:val="0"/>
          <w:numId w:val="5"/>
        </w:numPr>
        <w:suppressAutoHyphens w:val="false"/>
        <w:spacing w:beforeAutospacing="1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Количество функций и цена;</w:t>
      </w:r>
    </w:p>
    <w:p>
      <w:pPr>
        <w:pStyle w:val="Normal"/>
        <w:numPr>
          <w:ilvl w:val="0"/>
          <w:numId w:val="5"/>
        </w:numPr>
        <w:suppressAutoHyphens w:val="false"/>
        <w:spacing w:before="0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Размер экрана и вес;</w:t>
      </w:r>
    </w:p>
    <w:p>
      <w:pPr>
        <w:pStyle w:val="Normal"/>
        <w:numPr>
          <w:ilvl w:val="0"/>
          <w:numId w:val="5"/>
        </w:numPr>
        <w:suppressAutoHyphens w:val="false"/>
        <w:spacing w:before="0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Автономность и размер экрана;</w:t>
      </w:r>
    </w:p>
    <w:p>
      <w:pPr>
        <w:pStyle w:val="Normal"/>
        <w:numPr>
          <w:ilvl w:val="0"/>
          <w:numId w:val="5"/>
        </w:numPr>
        <w:suppressAutoHyphens w:val="false"/>
        <w:spacing w:before="0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Вес и цена;</w:t>
      </w:r>
    </w:p>
    <w:p>
      <w:pPr>
        <w:pStyle w:val="Normal"/>
        <w:numPr>
          <w:ilvl w:val="0"/>
          <w:numId w:val="5"/>
        </w:numPr>
        <w:suppressAutoHyphens w:val="false"/>
        <w:spacing w:before="0" w:after="0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Количество функций и автономность;</w:t>
      </w:r>
    </w:p>
    <w:p>
      <w:pPr>
        <w:pStyle w:val="Normal"/>
        <w:numPr>
          <w:ilvl w:val="0"/>
          <w:numId w:val="5"/>
        </w:numPr>
        <w:suppressAutoHyphens w:val="false"/>
        <w:spacing w:before="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Цена и размер экрана.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Рассмотрим каждую связь подробнее и поясним, почему было выбрано то или иное отношение.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32220" cy="19050"/>
                <wp:effectExtent l="0" t="0" r="0" b="0"/>
                <wp:docPr id="5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1" path="m0,0l-2147483645,0l-2147483645,-2147483646l0,-2147483646xe" fillcolor="#a0a0a0" stroked="f" o:allowincell="f" style="position:absolute;margin-left:0pt;margin-top:-1.55pt;width:498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Количество функций и цена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</w:rPr>
        <w:t>Коэффициент: +0,7.</w:t>
      </w:r>
      <w:r>
        <w:rPr>
          <w:rFonts w:eastAsia="Times New Roman" w:cs="Times New Roman" w:ascii="Times New Roman" w:hAnsi="Times New Roman"/>
        </w:rPr>
        <w:br/>
        <w:t>Чем больше функций у калькулятора (например, графические возможности, программирование, научные вычисления), тем выше его цена. Связь довольно сильная и прямая — сложные функции требуют более мощной электроники и ПО.</w:t>
        <w:br/>
      </w:r>
      <w:r>
        <w:rPr>
          <w:rStyle w:val="Strong"/>
          <w:rFonts w:eastAsia="Times New Roman" w:cs="Times New Roman" w:ascii="Times New Roman" w:hAnsi="Times New Roman"/>
        </w:rPr>
        <w:t>Решение:</w:t>
      </w:r>
      <w:r>
        <w:rPr>
          <w:rFonts w:eastAsia="Times New Roman" w:cs="Times New Roman" w:ascii="Times New Roman" w:hAnsi="Times New Roman"/>
        </w:rPr>
        <w:t xml:space="preserve"> Если бюджет ограничен, стоит выбрать модель с минимально необходимым набором функций. 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32220" cy="19050"/>
                <wp:effectExtent l="0" t="0" r="0" b="0"/>
                <wp:docPr id="6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2" path="m0,0l-2147483645,0l-2147483645,-2147483646l0,-2147483646xe" fillcolor="#a0a0a0" stroked="f" o:allowincell="f" style="position:absolute;margin-left:0pt;margin-top:-1.55pt;width:498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Размер экрана и вес</w:t>
      </w:r>
    </w:p>
    <w:p>
      <w:pPr>
        <w:pStyle w:val="Heading3"/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24"/>
          <w:szCs w:val="24"/>
        </w:rPr>
        <w:t>Коэффициент: +0,5.</w:t>
      </w:r>
      <w:r>
        <w:rPr>
          <w:rFonts w:eastAsia="Times New Roman" w:cs="Times New Roman" w:ascii="Times New Roman" w:hAnsi="Times New Roman"/>
          <w:sz w:val="24"/>
          <w:szCs w:val="24"/>
        </w:rPr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Более крупный экран обычно требует большего корпуса и дополнительных компонентов (подсветка, защита), что увеличивает вес. Однако у современных калькуляторов эта связь умеренная — многие используют лёгкие материалы.</w:t>
      </w:r>
      <w:r>
        <w:rPr>
          <w:rFonts w:eastAsia="Times New Roman" w:cs="Times New Roman" w:ascii="Times New Roman" w:hAnsi="Times New Roman"/>
          <w:sz w:val="24"/>
          <w:szCs w:val="24"/>
        </w:rPr>
        <w:br/>
      </w:r>
      <w:r>
        <w:rPr>
          <w:rStyle w:val="Strong"/>
          <w:rFonts w:eastAsia="Times New Roman" w:cs="Times New Roman" w:ascii="Times New Roman" w:hAnsi="Times New Roman"/>
          <w:b/>
          <w:bCs/>
          <w:sz w:val="24"/>
          <w:szCs w:val="24"/>
        </w:rPr>
        <w:t>Решение: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Для переносного использования лучше выбирать компактные модели с умеренным размером экрана. 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32220" cy="19050"/>
                <wp:effectExtent l="0" t="0" r="0" b="0"/>
                <wp:docPr id="7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3" path="m0,0l-2147483645,0l-2147483645,-2147483646l0,-2147483646xe" fillcolor="#a0a0a0" stroked="f" o:allowincell="f" style="position:absolute;margin-left:0pt;margin-top:-1.55pt;width:498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Автономность и размер экрана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BodyText"/>
        <w:spacing w:before="280" w:after="280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</w:rPr>
        <w:t>Коэффициент: -0,4.</w:t>
      </w:r>
      <w:r>
        <w:rPr>
          <w:rFonts w:eastAsia="Times New Roman" w:cs="Times New Roman" w:ascii="Times New Roman" w:hAnsi="Times New Roman"/>
        </w:rPr>
        <w:br/>
        <w:t>Большой экран потребляет больше энергии, что сокращает автономность при одинаковом объёме батареи. Однако современные дисплеи (например, ЖК с низким энергопотреблением) смягчают эту зависимость.</w:t>
        <w:br/>
      </w:r>
      <w:r>
        <w:rPr>
          <w:rStyle w:val="Strong"/>
          <w:rFonts w:eastAsia="Times New Roman" w:cs="Times New Roman" w:ascii="Times New Roman" w:hAnsi="Times New Roman"/>
        </w:rPr>
        <w:t>Решение:</w:t>
      </w:r>
      <w:r>
        <w:rPr>
          <w:rFonts w:eastAsia="Times New Roman" w:cs="Times New Roman" w:ascii="Times New Roman" w:hAnsi="Times New Roman"/>
        </w:rPr>
        <w:t xml:space="preserve"> При выборе калькулятора с длительной автономностью предпочтительны модели с компактным или энергоэффективным экраном. 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32220" cy="19050"/>
                <wp:effectExtent l="0" t="0" r="0" b="0"/>
                <wp:docPr id="8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4" path="m0,0l-2147483645,0l-2147483645,-2147483646l0,-2147483646xe" fillcolor="#a0a0a0" stroked="f" o:allowincell="f" style="position:absolute;margin-left:0pt;margin-top:-1.55pt;width:498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Вес и цена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BodyText"/>
        <w:spacing w:before="280" w:after="280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</w:rPr>
        <w:t>Коэффициент: +0,2</w:t>
      </w:r>
      <w:r>
        <w:rPr>
          <w:rFonts w:eastAsia="Times New Roman" w:cs="Times New Roman" w:ascii="Times New Roman" w:hAnsi="Times New Roman"/>
        </w:rPr>
        <w:br/>
        <w:t>Более дорогие калькуляторы иногда тяжелее из-за использования металлических корпусов или усиленных компонентов, но часто наоборот — премиальные модели делаются лёгкими. Связь слабая и неоднозначная.</w:t>
        <w:br/>
      </w:r>
      <w:r>
        <w:rPr>
          <w:rStyle w:val="Strong"/>
          <w:rFonts w:eastAsia="Times New Roman" w:cs="Times New Roman" w:ascii="Times New Roman" w:hAnsi="Times New Roman"/>
        </w:rPr>
        <w:t>Решение:</w:t>
      </w:r>
      <w:r>
        <w:rPr>
          <w:rFonts w:eastAsia="Times New Roman" w:cs="Times New Roman" w:ascii="Times New Roman" w:hAnsi="Times New Roman"/>
        </w:rPr>
        <w:t xml:space="preserve"> Вес не должен быть основным критерием при оценке цены — лучше ориентироваться на функционал и материалы. 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32220" cy="19050"/>
                <wp:effectExtent l="0" t="0" r="0" b="0"/>
                <wp:docPr id="9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5" path="m0,0l-2147483645,0l-2147483645,-2147483646l0,-2147483646xe" fillcolor="#a0a0a0" stroked="f" o:allowincell="f" style="position:absolute;margin-left:0pt;margin-top:-1.55pt;width:498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Автономность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и количество функций</w:t>
      </w:r>
    </w:p>
    <w:p>
      <w:pPr>
        <w:pStyle w:val="BodyText"/>
        <w:spacing w:before="280" w:after="280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</w:rPr>
        <w:t>Коэффициент: -0,6.</w:t>
      </w:r>
      <w:r>
        <w:rPr>
          <w:rFonts w:eastAsia="Times New Roman" w:cs="Times New Roman" w:ascii="Times New Roman" w:hAnsi="Times New Roman"/>
        </w:rPr>
        <w:br/>
        <w:t>Калькуляторы с расширенным функционалом (графика, CAS, программирование) требуют больше энергии, что снижает время автономной работы. Связь выраженная, особенно при активном использовании сложных режимов.</w:t>
        <w:br/>
      </w:r>
      <w:r>
        <w:rPr>
          <w:rStyle w:val="Strong"/>
          <w:rFonts w:eastAsia="Times New Roman" w:cs="Times New Roman" w:ascii="Times New Roman" w:hAnsi="Times New Roman"/>
        </w:rPr>
        <w:t>Решение:</w:t>
      </w:r>
      <w:r>
        <w:rPr>
          <w:rFonts w:eastAsia="Times New Roman" w:cs="Times New Roman" w:ascii="Times New Roman" w:hAnsi="Times New Roman"/>
        </w:rPr>
        <w:t xml:space="preserve"> Для длительного использования без подзарядки предпочтительны модели с ограниченным, но достаточным набором функций.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32220" cy="19050"/>
                <wp:effectExtent l="0" t="0" r="0" b="0"/>
                <wp:docPr id="10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6" path="m0,0l-2147483645,0l-2147483645,-2147483646l0,-2147483646xe" fillcolor="#a0a0a0" stroked="f" o:allowincell="f" style="position:absolute;margin-left:0pt;margin-top:-1.55pt;width:498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Цена и размер экрана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BodyText"/>
        <w:spacing w:before="280" w:after="280"/>
        <w:rPr>
          <w:rFonts w:ascii="Times New Roman" w:hAnsi="Times New Roman" w:eastAsia="Times New Roman" w:cs="Times New Roman"/>
        </w:rPr>
      </w:pPr>
      <w:r>
        <w:rPr>
          <w:rStyle w:val="Strong"/>
          <w:rFonts w:eastAsia="Times New Roman" w:cs="Times New Roman" w:ascii="Times New Roman" w:hAnsi="Times New Roman"/>
        </w:rPr>
        <w:t>Коэффициент: +0,3.</w:t>
      </w:r>
      <w:r>
        <w:rPr>
          <w:rFonts w:eastAsia="Times New Roman" w:cs="Times New Roman" w:ascii="Times New Roman" w:hAnsi="Times New Roman"/>
        </w:rPr>
        <w:br/>
        <w:t>Более крупные экраны (особенно цветные или с высоким разрешением) увеличивают стоимость, но не всегда — некоторые бюджетные модели имеют большой дисплей без продвинутой начинки. Зависимость умеренная.</w:t>
        <w:br/>
      </w:r>
      <w:r>
        <w:rPr>
          <w:rStyle w:val="Strong"/>
          <w:rFonts w:eastAsia="Times New Roman" w:cs="Times New Roman" w:ascii="Times New Roman" w:hAnsi="Times New Roman"/>
        </w:rPr>
        <w:t>Решение:</w:t>
      </w:r>
      <w:r>
        <w:rPr>
          <w:rFonts w:eastAsia="Times New Roman" w:cs="Times New Roman" w:ascii="Times New Roman" w:hAnsi="Times New Roman"/>
        </w:rPr>
        <w:t xml:space="preserve"> Если важен именно размер экрана, а не его качество, можно найти недорогие варианты — стоит сравнивать конкретные модели. </w:t>
      </w:r>
    </w:p>
    <w:p>
      <w:pPr>
        <w:pStyle w:val="Normal"/>
        <w:spacing w:before="280" w:after="280"/>
        <w:rPr>
          <w:rFonts w:ascii="Times New Roman" w:hAnsi="Times New Roman" w:eastAsia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32220" cy="19050"/>
                <wp:effectExtent l="0" t="0" r="0" b="0"/>
                <wp:docPr id="11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 1" path="m0,0l-2147483645,0l-2147483645,-2147483646l0,-2147483646xe" fillcolor="#a0a0a0" stroked="f" o:allowincell="f" style="position:absolute;margin-left:0pt;margin-top:-1.55pt;width:498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widowControl w:val="false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411480</wp:posOffset>
            </wp:positionH>
            <wp:positionV relativeFrom="paragraph">
              <wp:posOffset>145415</wp:posOffset>
            </wp:positionV>
            <wp:extent cx="5553075" cy="3197860"/>
            <wp:effectExtent l="0" t="0" r="0" b="0"/>
            <wp:wrapSquare wrapText="largest"/>
            <wp:docPr id="1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19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  <w:t xml:space="preserve">Лабораторная </w:t>
      </w:r>
      <w:r>
        <w:rPr>
          <w:rFonts w:eastAsia="Times New Roman" w:cs="Times New Roman" w:ascii="Times New Roman" w:hAnsi="Times New Roman"/>
          <w:b/>
          <w:color w:val="000000"/>
          <w:sz w:val="28"/>
        </w:rPr>
        <w:t>№5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  <w:t xml:space="preserve">Вариант </w:t>
      </w:r>
      <w:r>
        <w:rPr>
          <w:rFonts w:eastAsia="Times New Roman" w:cs="Times New Roman" w:ascii="Times New Roman" w:hAnsi="Times New Roman"/>
          <w:b/>
          <w:color w:val="000000"/>
          <w:sz w:val="28"/>
        </w:rPr>
        <w:t>9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center"/>
        <w:textAlignment w:val="auto"/>
        <w:rPr>
          <w:rFonts w:ascii="Times New Roman " w:hAnsi="Times New Roman "/>
          <w:b/>
          <w:bCs/>
          <w:sz w:val="28"/>
          <w:szCs w:val="28"/>
        </w:rPr>
      </w:pPr>
      <w:r>
        <w:rPr>
          <w:rFonts w:eastAsia="Times New Roman" w:cs="Times New Roman" w:ascii="Times New Roman " w:hAnsi="Times New Roman "/>
          <w:b/>
          <w:bCs/>
          <w:color w:val="000000"/>
          <w:sz w:val="28"/>
          <w:szCs w:val="28"/>
        </w:rPr>
        <w:t>«</w:t>
      </w:r>
      <w:r>
        <w:rPr>
          <w:rFonts w:ascii="Times New Roman " w:hAnsi="Times New Roman "/>
          <w:b/>
          <w:bCs/>
          <w:sz w:val="28"/>
          <w:szCs w:val="28"/>
        </w:rPr>
        <w:t>Поиск наилучшей альтернативы на основе принципа Кондорсе</w:t>
      </w:r>
      <w:r>
        <w:rPr>
          <w:rFonts w:eastAsia="Times New Roman" w:cs="Times New Roman" w:ascii="Times New Roman " w:hAnsi="Times New Roman "/>
          <w:b/>
          <w:bCs/>
          <w:color w:val="000000"/>
          <w:sz w:val="28"/>
          <w:szCs w:val="28"/>
        </w:rPr>
        <w:t>»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BodyText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t xml:space="preserve">Парадокс Кондорсе заключается в том, что при наличии более двух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u w:val="none"/>
          <w:shd w:fill="FFFFFF" w:val="clear"/>
        </w:rPr>
        <w:t>альтернатив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t xml:space="preserve"> и более двух избирателей коллективная ранжировка альтернатив может быть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u w:val="none"/>
        </w:rPr>
        <w:t>цикличной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t xml:space="preserve">(не транзитивна), даже если ранжировки всех избирателей не являются цикличными (транзитивны). Таким образом, волеизъявления разных групп избирателей, каждая из которых представляет большинство, могут вступать в парадоксальное противоречие друг с другом. 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/>
          <w:b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t xml:space="preserve">В данной лабораторной работе была разработана функция </w:t>
      </w:r>
      <w:r>
        <w:rPr>
          <w:rFonts w:ascii="Droid Sans Mono;monospace;monospace" w:hAnsi="Droid Sans Mono;monospace;monospace"/>
          <w:b w:val="false"/>
          <w:color w:val="111111"/>
          <w:sz w:val="21"/>
          <w:shd w:fill="FFFFFF" w:val="clear"/>
        </w:rPr>
        <w:t xml:space="preserve">condorcetWinner, </w:t>
      </w:r>
      <w:r>
        <w:rPr>
          <w:rFonts w:ascii="Times new roman " w:hAnsi="Times new roman "/>
          <w:b w:val="false"/>
          <w:color w:val="111111"/>
          <w:sz w:val="28"/>
          <w:szCs w:val="28"/>
          <w:shd w:fill="FFFFFF" w:val="clear"/>
        </w:rPr>
        <w:t>которая отвечает за реализацию выбора наилучшей альтернативы посредством принципа Кондорсе. Данная функция выглядит следующим образом</w:t>
      </w:r>
      <w:r>
        <w:rPr>
          <w:rFonts w:ascii="Times new roman " w:hAnsi="Times new roman "/>
          <w:b w:val="false"/>
          <w:color w:val="111111"/>
          <w:sz w:val="28"/>
          <w:szCs w:val="28"/>
          <w:shd w:fill="FFFFFF" w:val="clear"/>
        </w:rPr>
        <w:t>: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635</wp:posOffset>
            </wp:positionH>
            <wp:positionV relativeFrom="paragraph">
              <wp:posOffset>268605</wp:posOffset>
            </wp:positionV>
            <wp:extent cx="6332220" cy="5144770"/>
            <wp:effectExtent l="0" t="0" r="0" b="0"/>
            <wp:wrapSquare wrapText="largest"/>
            <wp:docPr id="1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4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br/>
        <w:br/>
        <w:br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t>Также, было разработано меню для удобной работы с интерфейсом программы.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t xml:space="preserve">Пример работы программы: 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440055</wp:posOffset>
            </wp:positionH>
            <wp:positionV relativeFrom="paragraph">
              <wp:posOffset>2542540</wp:posOffset>
            </wp:positionV>
            <wp:extent cx="5446395" cy="2230120"/>
            <wp:effectExtent l="0" t="0" r="0" b="0"/>
            <wp:wrapSquare wrapText="largest"/>
            <wp:docPr id="1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223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440055</wp:posOffset>
            </wp:positionH>
            <wp:positionV relativeFrom="paragraph">
              <wp:posOffset>4772025</wp:posOffset>
            </wp:positionV>
            <wp:extent cx="5443855" cy="2813685"/>
            <wp:effectExtent l="0" t="0" r="0" b="0"/>
            <wp:wrapSquare wrapText="largest"/>
            <wp:docPr id="1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440055</wp:posOffset>
            </wp:positionH>
            <wp:positionV relativeFrom="paragraph">
              <wp:posOffset>327025</wp:posOffset>
            </wp:positionV>
            <wp:extent cx="5412105" cy="2216150"/>
            <wp:effectExtent l="0" t="0" r="0" b="0"/>
            <wp:wrapSquare wrapText="largest"/>
            <wp:docPr id="1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221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br/>
        <w:br/>
        <w:br/>
        <w:br/>
        <w:br/>
        <w:br/>
        <w:br/>
        <w:br/>
        <w:br/>
        <w:br/>
        <w:br/>
        <w:br/>
        <w:t xml:space="preserve"> </w:t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411480</wp:posOffset>
            </wp:positionH>
            <wp:positionV relativeFrom="paragraph">
              <wp:posOffset>46990</wp:posOffset>
            </wp:positionV>
            <wp:extent cx="5452110" cy="2543175"/>
            <wp:effectExtent l="0" t="0" r="0" b="0"/>
            <wp:wrapSquare wrapText="largest"/>
            <wp:docPr id="1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spacing w:before="0" w:after="160"/>
        <w:ind w:hanging="0" w:left="0"/>
        <w:jc w:val="left"/>
        <w:textAlignment w:val="auto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br/>
        <w:br/>
        <w:br/>
        <w:br/>
        <w:br/>
        <w:br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t>На данном примере видно, что 2 и 3 альтернативы имеют одинаковое кол-во баллов после проведения анализа, поэтому победителя выделить невозмножно.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>
      <w:headerReference w:type="even" r:id="rId22"/>
      <w:headerReference w:type="default" r:id="rId23"/>
      <w:type w:val="nextPage"/>
      <w:pgSz w:w="12240" w:h="15840"/>
      <w:pgMar w:left="1134" w:right="1134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swiss"/>
    <w:pitch w:val="variable"/>
  </w:font>
  <w:font w:name="Calibri Light">
    <w:charset w:val="01"/>
    <w:family w:val="swiss"/>
    <w:pitch w:val="variable"/>
  </w:font>
  <w:font w:name="Calibri">
    <w:charset w:val="01"/>
    <w:family w:val="swiss"/>
    <w:pitch w:val="variable"/>
  </w:font>
  <w:font w:name="Cambria Math">
    <w:charset w:val="01"/>
    <w:family w:val="roman"/>
    <w:pitch w:val="variable"/>
  </w:font>
  <w:font w:name="Times New Roman ">
    <w:charset w:val="01"/>
    <w:family w:val="roman"/>
    <w:pitch w:val="default"/>
  </w:font>
  <w:font w:name="Droid Sans Mono">
    <w:altName w:val="monospace"/>
    <w:charset w:val="01"/>
    <w:family w:val="auto"/>
    <w:pitch w:val="default"/>
  </w:font>
  <w:font w:name="Times new roman 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36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Textbody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user2"/>
    <w:next w:val="Textbody"/>
    <w:uiPriority w:val="9"/>
    <w:semiHidden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01" w:customStyle="1">
    <w:name w:val="fontstyle01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character" w:styleId="user" w:customStyle="1">
    <w:name w:val="Символ нумерации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Hyperlink">
    <w:name w:val="Hyperlink"/>
    <w:basedOn w:val="DefaultParagraphFont"/>
    <w:uiPriority w:val="99"/>
    <w:unhideWhenUsed/>
    <w:rsid w:val="001d225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d225f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user3" w:customStyle="1">
    <w:name w:val="Указатель (user)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NormalWeb">
    <w:name w:val="Normal (Web)"/>
    <w:basedOn w:val="Standard"/>
    <w:qFormat/>
    <w:pPr>
      <w:spacing w:before="280" w:after="280"/>
    </w:pPr>
    <w:rPr>
      <w:rFonts w:ascii="Times New Roman" w:hAnsi="Times New Roman" w:eastAsia="Times New Roman" w:cs="Times New Roman"/>
      <w:lang w:eastAsia="ru-RU"/>
    </w:rPr>
  </w:style>
  <w:style w:type="paragraph" w:styleId="user4" w:customStyle="1">
    <w:name w:val="Содержимое таблицы (user)"/>
    <w:basedOn w:val="Standard"/>
    <w:qFormat/>
    <w:pPr>
      <w:suppressLineNumbers/>
    </w:pPr>
    <w:rPr/>
  </w:style>
  <w:style w:type="paragraph" w:styleId="user5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user6">
    <w:name w:val="Колонтитулы (user)"/>
    <w:basedOn w:val="Normal"/>
    <w:qFormat/>
    <w:pPr/>
    <w:rPr/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uiPriority w:val="99"/>
    <w:unhideWhenUsed/>
    <w:rsid w:val="5e2b4cfa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5e2b4cfa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user7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8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69;&#1083;&#1077;&#1082;&#1090;&#1088;&#1086;&#1085;&#1080;&#1082;&#1072;" TargetMode="External"/><Relationship Id="rId3" Type="http://schemas.openxmlformats.org/officeDocument/2006/relationships/hyperlink" Target="https://ru.wikipedia.org/wiki/&#1042;&#1099;&#1095;&#1080;&#1089;&#1083;&#1080;&#1090;&#1077;&#1083;&#1100;&#1085;&#1086;&#1077;_&#1091;&#1089;&#1090;&#1088;&#1086;&#1081;&#1089;&#1090;&#1074;&#1086;" TargetMode="External"/><Relationship Id="rId4" Type="http://schemas.openxmlformats.org/officeDocument/2006/relationships/hyperlink" Target="https://ru.wikipedia.org/wiki/&#1055;&#1088;&#1086;&#1075;&#1088;&#1072;&#1084;&#1084;&#1085;&#1086;&#1077;_&#1086;&#1073;&#1077;&#1089;&#1087;&#1077;&#1095;&#1077;&#1085;&#1080;&#1077;" TargetMode="External"/><Relationship Id="rId5" Type="http://schemas.openxmlformats.org/officeDocument/2006/relationships/hyperlink" Target="https://ru.wikipedia.org/wiki/&#1057;&#1086;&#1090;&#1086;&#1074;&#1099;&#1081;_&#1090;&#1077;&#1083;&#1077;&#1092;&#1086;&#1085;" TargetMode="External"/><Relationship Id="rId6" Type="http://schemas.openxmlformats.org/officeDocument/2006/relationships/hyperlink" Target="https://ru.wikipedia.org/wiki/&#1054;&#1087;&#1077;&#1088;&#1072;&#1094;&#1080;&#1086;&#1085;&#1085;&#1072;&#1103;_&#1089;&#1080;&#1089;&#1090;&#1077;&#1084;&#1072;" TargetMode="External"/><Relationship Id="rId7" Type="http://schemas.openxmlformats.org/officeDocument/2006/relationships/hyperlink" Target="https://ru.wikipedia.org/wiki/&#1055;&#1077;&#1088;&#1089;&#1086;&#1085;&#1072;&#1083;&#1100;&#1085;&#1099;&#1081;_&#1082;&#1086;&#1084;&#1087;&#1100;&#1102;&#1090;&#1077;&#1088;" TargetMode="External"/><Relationship Id="rId8" Type="http://schemas.openxmlformats.org/officeDocument/2006/relationships/hyperlink" Target="https://ru.wikipedia.org/wiki/&#1055;&#1083;&#1072;&#1085;&#1096;&#1077;&#1090;&#1085;&#1099;&#1081;_&#1082;&#1086;&#1084;&#1087;&#1100;&#1102;&#1090;&#1077;&#1088;" TargetMode="External"/><Relationship Id="rId9" Type="http://schemas.openxmlformats.org/officeDocument/2006/relationships/hyperlink" Target="https://ru.wikipedia.org/wiki/&#1057;&#1084;&#1072;&#1088;&#1090;-&#1095;&#1072;&#1089;&#1099;" TargetMode="External"/><Relationship Id="rId10" Type="http://schemas.openxmlformats.org/officeDocument/2006/relationships/hyperlink" Target="https://ru.wikipedia.org/wiki/&#1054;&#1087;&#1077;&#1088;&#1072;&#1094;&#1080;&#1080;_&#1085;&#1072;&#1076;_&#1095;&#1080;&#1089;&#1083;&#1072;&#1084;&#1080;" TargetMode="External"/><Relationship Id="rId11" Type="http://schemas.openxmlformats.org/officeDocument/2006/relationships/hyperlink" Target="https://ru.wikipedia.org/wiki/&#1040;&#1083;&#1075;&#1077;&#1073;&#1088;&#1072;&#1080;&#1095;&#1077;&#1089;&#1082;&#1072;&#1103;_&#1092;&#1091;&#1085;&#1082;&#1094;&#1080;&#1103;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wmf"/><Relationship Id="rId15" Type="http://schemas.openxmlformats.org/officeDocument/2006/relationships/chart" Target="charts/chart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sz="1300" strike="noStrike" u="none">
                <a:solidFill>
                  <a:srgbClr val="000000"/>
                </a:solidFill>
                <a:uFillTx/>
                <a:latin typeface="Arial"/>
              </a:rPr>
              <a:t>Множество Парето</a:t>
            </a:r>
          </a:p>
          <a:p>
            <a:pPr>
              <a:defRPr b="0" sz="1300" strike="noStrike" u="none">
                <a:uFillTx/>
                <a:latin typeface="Arial"/>
              </a:defRPr>
            </a:pPr>
            <a:r>
              <a:rPr b="0" sz="1100" strike="noStrike" u="none">
                <a:solidFill>
                  <a:srgbClr val="000000"/>
                </a:solidFill>
                <a:uFillTx/>
                <a:latin typeface="Arial"/>
              </a:rPr>
              <a:t>Гафическое представление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Автономность</c:v>
                </c:pt>
              </c:strCache>
            </c:strRef>
          </c:tx>
          <c:spPr>
            <a:solidFill>
              <a:srgbClr val="004586"/>
            </a:solidFill>
            <a:ln w="28800">
              <a:noFill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noFill/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417</c:v>
                </c:pt>
                <c:pt idx="1">
                  <c:v>340</c:v>
                </c:pt>
                <c:pt idx="2">
                  <c:v>120</c:v>
                </c:pt>
                <c:pt idx="3">
                  <c:v>80</c:v>
                </c:pt>
                <c:pt idx="4">
                  <c:v>500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8000</c:v>
                </c:pt>
                <c:pt idx="1">
                  <c:v>5000</c:v>
                </c:pt>
                <c:pt idx="2">
                  <c:v>12000</c:v>
                </c:pt>
                <c:pt idx="3">
                  <c:v>10000</c:v>
                </c:pt>
                <c:pt idx="4">
                  <c:v>6000</c:v>
                </c:pt>
              </c:numCache>
            </c:numRef>
          </c:yVal>
          <c:smooth val="0"/>
        </c:ser>
        <c:axId val="24009565"/>
        <c:axId val="94789071"/>
      </c:scatterChart>
      <c:valAx>
        <c:axId val="24009565"/>
        <c:scaling>
          <c:orientation val="minMax"/>
        </c:scaling>
        <c:delete val="0"/>
        <c:axPos val="b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</a:rPr>
                  <a:t>Автономность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94789071"/>
        <c:crosses val="autoZero"/>
        <c:crossBetween val="midCat"/>
      </c:valAx>
      <c:valAx>
        <c:axId val="9478907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</a:rPr>
                  <a:t>Кол-во функций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24009565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plotVisOnly val="1"/>
    <c:dispBlanksAs val="span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LibreOffice/25.2.6.2$Linux_X86_64 LibreOffice_project/40d1a0e1d5bdf1afaeae24d9ece32bbb00fa66a4</Application>
  <AppVersion>15.0000</AppVersion>
  <Pages>18</Pages>
  <Words>1515</Words>
  <Characters>9749</Characters>
  <CharactersWithSpaces>11032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2025-10-16T15:00:00Z</dcterms:created>
  <dc:creator>MrZet</dc:creator>
  <dc:description/>
  <dc:language>ru-RU</dc:language>
  <cp:lastModifiedBy/>
  <cp:lastPrinted>2025-12-16T17:56:31Z</cp:lastPrinted>
  <dcterms:modified xsi:type="dcterms:W3CDTF">2025-12-16T17:56:57Z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