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0"/>
        </w:rPr>
        <w:t>OPERATOR GUIDE + TECHNICAL OVERVIEW</w:t>
      </w:r>
    </w:p>
    <w:p>
      <w:pPr>
        <w:pStyle w:val="Title"/>
        <w:jc w:val="center"/>
      </w:pPr>
      <w:r>
        <w:rPr>
          <w:rFonts w:ascii="Calibri" w:hAnsi="Calibri"/>
          <w:b/>
          <w:color w:val="0B2545"/>
          <w:sz w:val="60"/>
        </w:rPr>
        <w:t>Dozi Mastering</w:t>
      </w:r>
    </w:p>
    <w:p>
      <w:pPr>
        <w:pStyle w:val="Subtitle"/>
        <w:jc w:val="center"/>
      </w:pPr>
      <w:r>
        <w:rPr>
          <w:rFonts w:ascii="Calibri" w:hAnsi="Calibri"/>
          <w:b w:val="0"/>
          <w:color w:val="1F4D78"/>
          <w:sz w:val="32"/>
        </w:rPr>
        <w:t>Phases 1–2</w:t>
      </w:r>
    </w:p>
    <w:p>
      <w:pPr>
        <w:spacing w:after="560"/>
        <w:jc w:val="center"/>
      </w:pPr>
      <w:r>
        <w:rPr>
          <w:rFonts w:ascii="Calibri" w:hAnsi="Calibri"/>
          <w:b w:val="0"/>
          <w:i/>
          <w:color w:val="5F6B78"/>
          <w:sz w:val="24"/>
        </w:rPr>
        <w:t>Transparent, measurable, reversible mastering for macOS</w:t>
      </w:r>
    </w:p>
    <w:p>
      <w:pPr>
        <w:pStyle w:val="Callout"/>
        <w:shd w:fill="F4F6F9"/>
        <w:pBdr>
          <w:left w:val="single" w:sz="18" w:space="8" w:color="2D6A4F"/>
        </w:pBdr>
      </w:pPr>
      <w:r>
        <w:rPr>
          <w:rFonts w:ascii="Calibri" w:hAnsi="Calibri"/>
          <w:b/>
          <w:color w:val="2D6A4F"/>
          <w:sz w:val="21"/>
        </w:rPr>
        <w:t xml:space="preserve">CURRENT RELEASE  </w:t>
      </w:r>
      <w:r>
        <w:rPr>
          <w:rFonts w:ascii="Calibri" w:hAnsi="Calibri"/>
          <w:b w:val="0"/>
          <w:color w:val="0B2545"/>
          <w:sz w:val="21"/>
        </w:rPr>
        <w:t>Phase 1 analysis, decision engine, four-module mastering chain, health scoring and export; plus Phase 2 reference matching, dynamic EQ, de-essing, multiband compression, saturation, verified loudness presets, and version management.</w:t>
      </w:r>
    </w:p>
    <w:p>
      <w:pPr>
        <w:spacing w:before="1440"/>
        <w:jc w:val="center"/>
      </w:pPr>
      <w:r>
        <w:rPr>
          <w:rFonts w:ascii="Calibri" w:hAnsi="Calibri"/>
          <w:b w:val="0"/>
          <w:color w:val="5F6B78"/>
          <w:sz w:val="20"/>
        </w:rPr>
        <w:t>Validated on Apple Silicon  •  Updated August 9, 2026</w:t>
      </w:r>
    </w:p>
    <w:p>
      <w:r>
        <w:br w:type="page"/>
      </w:r>
    </w:p>
    <w:p>
      <w:pPr>
        <w:pStyle w:val="Heading1"/>
      </w:pPr>
      <w:r>
        <w:t>How to use this guide</w:t>
      </w:r>
    </w:p>
    <w:p>
      <w:r>
        <w:rPr>
          <w:rFonts w:ascii="Calibri" w:hAnsi="Calibri"/>
          <w:b w:val="0"/>
          <w:color w:val="000000"/>
          <w:sz w:val="22"/>
        </w:rPr>
        <w:t>Start with Quick Start if you want to master a song immediately. Use the workflow chapters when you need detail about references, targets, modules, versioning, or exports. The technical chapters explain exactly what Dozi measures, how it decides, and what has been validated.</w:t>
      </w:r>
    </w:p>
    <w:p>
      <w:pPr>
        <w:pStyle w:val="Heading2"/>
      </w:pPr>
      <w:r>
        <w:t>Contents</w:t>
      </w:r>
    </w:p>
    <w:p>
      <w:pPr>
        <w:pStyle w:val="ListBullet"/>
      </w:pPr>
      <w:r>
        <w:rPr>
          <w:rFonts w:ascii="Calibri" w:hAnsi="Calibri"/>
          <w:color w:val="000000"/>
          <w:sz w:val="22"/>
        </w:rPr>
        <w:t>1. Quick Start</w:t>
      </w:r>
    </w:p>
    <w:p>
      <w:pPr>
        <w:pStyle w:val="ListBullet"/>
      </w:pPr>
      <w:r>
        <w:rPr>
          <w:rFonts w:ascii="Calibri" w:hAnsi="Calibri"/>
          <w:color w:val="000000"/>
          <w:sz w:val="22"/>
        </w:rPr>
        <w:t>2. Installation and Launch</w:t>
      </w:r>
    </w:p>
    <w:p>
      <w:pPr>
        <w:pStyle w:val="ListBullet"/>
      </w:pPr>
      <w:r>
        <w:rPr>
          <w:rFonts w:ascii="Calibri" w:hAnsi="Calibri"/>
          <w:color w:val="000000"/>
          <w:sz w:val="22"/>
        </w:rPr>
        <w:t>3. The Dozi Mastering Workspace</w:t>
      </w:r>
    </w:p>
    <w:p>
      <w:pPr>
        <w:pStyle w:val="ListBullet"/>
      </w:pPr>
      <w:r>
        <w:rPr>
          <w:rFonts w:ascii="Calibri" w:hAnsi="Calibri"/>
          <w:color w:val="000000"/>
          <w:sz w:val="22"/>
        </w:rPr>
        <w:t>4. Analysis and Health Measurements</w:t>
      </w:r>
    </w:p>
    <w:p>
      <w:pPr>
        <w:pStyle w:val="ListBullet"/>
      </w:pPr>
      <w:r>
        <w:rPr>
          <w:rFonts w:ascii="Calibri" w:hAnsi="Calibri"/>
          <w:color w:val="000000"/>
          <w:sz w:val="22"/>
        </w:rPr>
        <w:t>5. Automated Mastering Plan</w:t>
      </w:r>
    </w:p>
    <w:p>
      <w:pPr>
        <w:pStyle w:val="ListBullet"/>
      </w:pPr>
      <w:r>
        <w:rPr>
          <w:rFonts w:ascii="Calibri" w:hAnsi="Calibri"/>
          <w:color w:val="000000"/>
          <w:sz w:val="22"/>
        </w:rPr>
        <w:t>6. Phase 1 DSP Modules</w:t>
      </w:r>
    </w:p>
    <w:p>
      <w:pPr>
        <w:pStyle w:val="ListBullet"/>
      </w:pPr>
      <w:r>
        <w:rPr>
          <w:rFonts w:ascii="Calibri" w:hAnsi="Calibri"/>
          <w:color w:val="000000"/>
          <w:sz w:val="22"/>
        </w:rPr>
        <w:t>7. Phase 2 DSP Modules</w:t>
      </w:r>
    </w:p>
    <w:p>
      <w:pPr>
        <w:pStyle w:val="ListBullet"/>
      </w:pPr>
      <w:r>
        <w:rPr>
          <w:rFonts w:ascii="Calibri" w:hAnsi="Calibri"/>
          <w:color w:val="000000"/>
          <w:sz w:val="22"/>
        </w:rPr>
        <w:t>8. Reference-Track Matching</w:t>
      </w:r>
    </w:p>
    <w:p>
      <w:pPr>
        <w:pStyle w:val="ListBullet"/>
      </w:pPr>
      <w:r>
        <w:rPr>
          <w:rFonts w:ascii="Calibri" w:hAnsi="Calibri"/>
          <w:color w:val="000000"/>
          <w:sz w:val="22"/>
        </w:rPr>
        <w:t>9. Loudness Targets</w:t>
      </w:r>
    </w:p>
    <w:p>
      <w:pPr>
        <w:pStyle w:val="ListBullet"/>
      </w:pPr>
      <w:r>
        <w:rPr>
          <w:rFonts w:ascii="Calibri" w:hAnsi="Calibri"/>
          <w:color w:val="000000"/>
          <w:sz w:val="22"/>
        </w:rPr>
        <w:t>10. Mastering Versions</w:t>
      </w:r>
    </w:p>
    <w:p>
      <w:pPr>
        <w:pStyle w:val="ListBullet"/>
      </w:pPr>
      <w:r>
        <w:rPr>
          <w:rFonts w:ascii="Calibri" w:hAnsi="Calibri"/>
          <w:color w:val="000000"/>
          <w:sz w:val="22"/>
        </w:rPr>
        <w:t>11. Export and A/B Listening</w:t>
      </w:r>
    </w:p>
    <w:p>
      <w:pPr>
        <w:pStyle w:val="ListBullet"/>
      </w:pPr>
      <w:r>
        <w:rPr>
          <w:rFonts w:ascii="Calibri" w:hAnsi="Calibri"/>
          <w:color w:val="000000"/>
          <w:sz w:val="22"/>
        </w:rPr>
        <w:t>12. Troubleshooting</w:t>
      </w:r>
    </w:p>
    <w:p>
      <w:pPr>
        <w:pStyle w:val="ListBullet"/>
      </w:pPr>
      <w:r>
        <w:rPr>
          <w:rFonts w:ascii="Calibri" w:hAnsi="Calibri"/>
          <w:color w:val="000000"/>
          <w:sz w:val="22"/>
        </w:rPr>
        <w:t>13. Safety, Limitations, and Validation</w:t>
      </w:r>
    </w:p>
    <w:p>
      <w:pPr>
        <w:pStyle w:val="ListBullet"/>
      </w:pPr>
      <w:r>
        <w:rPr>
          <w:rFonts w:ascii="Calibri" w:hAnsi="Calibri"/>
          <w:color w:val="000000"/>
          <w:sz w:val="22"/>
        </w:rPr>
        <w:t>Appendix A. Technical Architecture</w:t>
      </w:r>
    </w:p>
    <w:p>
      <w:pPr>
        <w:pStyle w:val="ListBullet"/>
      </w:pPr>
      <w:r>
        <w:rPr>
          <w:rFonts w:ascii="Calibri" w:hAnsi="Calibri"/>
          <w:color w:val="000000"/>
          <w:sz w:val="22"/>
        </w:rPr>
        <w:t>Appendix B. Build and Test Commands</w:t>
      </w:r>
    </w:p>
    <w:p>
      <w:pPr>
        <w:pStyle w:val="Callout"/>
        <w:shd w:fill="F4F6F9"/>
        <w:pBdr>
          <w:left w:val="single" w:sz="18" w:space="8" w:color="2D6A4F"/>
        </w:pBdr>
      </w:pPr>
      <w:r>
        <w:rPr>
          <w:rFonts w:ascii="Calibri" w:hAnsi="Calibri"/>
          <w:b/>
          <w:color w:val="2D6A4F"/>
          <w:sz w:val="21"/>
        </w:rPr>
        <w:t xml:space="preserve">IMPORTANT  </w:t>
      </w:r>
      <w:r>
        <w:rPr>
          <w:rFonts w:ascii="Calibri" w:hAnsi="Calibri"/>
          <w:b w:val="0"/>
          <w:color w:val="0B2545"/>
          <w:sz w:val="21"/>
        </w:rPr>
        <w:t>Dozi never changes the original mix file. Mastering processing is written to a new 32-bit floating-point WAV through an atomic export workflow.</w:t>
      </w:r>
    </w:p>
    <w:p>
      <w:pPr>
        <w:pStyle w:val="Heading1"/>
      </w:pPr>
      <w:r>
        <w:t>1. Quick Start</w:t>
      </w:r>
    </w:p>
    <w:p>
      <w:pPr>
        <w:pStyle w:val="ListNumber"/>
      </w:pPr>
      <w:r>
        <w:rPr>
          <w:rFonts w:ascii="Calibri" w:hAnsi="Calibri"/>
          <w:color w:val="000000"/>
          <w:sz w:val="22"/>
        </w:rPr>
        <w:t>Open Dozi Mastering from the Dock, Launchpad, or /Applications/Dozi Mastering.app.</w:t>
      </w:r>
    </w:p>
    <w:p>
      <w:pPr>
        <w:pStyle w:val="ListNumber"/>
      </w:pPr>
      <w:r>
        <w:rPr>
          <w:rFonts w:ascii="Calibri" w:hAnsi="Calibri"/>
          <w:color w:val="000000"/>
          <w:sz w:val="22"/>
        </w:rPr>
        <w:t>Drag one stereo WAV, AIFF, or FLAC mix onto the window, or click Choose Mix.</w:t>
      </w:r>
    </w:p>
    <w:p>
      <w:pPr>
        <w:pStyle w:val="ListNumber"/>
      </w:pPr>
      <w:r>
        <w:rPr>
          <w:rFonts w:ascii="Calibri" w:hAnsi="Calibri"/>
          <w:color w:val="000000"/>
          <w:sz w:val="22"/>
        </w:rPr>
        <w:t>Optional: click Choose Reference and select a stereo reference at the same sample rate.</w:t>
      </w:r>
    </w:p>
    <w:p>
      <w:pPr>
        <w:pStyle w:val="ListNumber"/>
      </w:pPr>
      <w:r>
        <w:rPr>
          <w:rFonts w:ascii="Calibri" w:hAnsi="Calibri"/>
          <w:color w:val="000000"/>
          <w:sz w:val="22"/>
        </w:rPr>
        <w:t>Choose Spotify Normal, Spotify Loud, Spotify Quiet, or Custom.</w:t>
      </w:r>
    </w:p>
    <w:p>
      <w:pPr>
        <w:pStyle w:val="ListNumber"/>
      </w:pPr>
      <w:r>
        <w:rPr>
          <w:rFonts w:ascii="Calibri" w:hAnsi="Calibri"/>
          <w:color w:val="000000"/>
          <w:sz w:val="22"/>
        </w:rPr>
        <w:t>Click Analyze. Review the measured BEFORE values, health score, proposed modules, and rule explanations.</w:t>
      </w:r>
    </w:p>
    <w:p>
      <w:pPr>
        <w:pStyle w:val="ListNumber"/>
      </w:pPr>
      <w:r>
        <w:rPr>
          <w:rFonts w:ascii="Calibri" w:hAnsi="Calibri"/>
          <w:color w:val="000000"/>
          <w:sz w:val="22"/>
        </w:rPr>
        <w:t>Enable or bypass modules as desired. Adjust target, true-peak ceiling, stereo width, saturation drive, and saturation mix.</w:t>
      </w:r>
    </w:p>
    <w:p>
      <w:pPr>
        <w:pStyle w:val="ListNumber"/>
      </w:pPr>
      <w:r>
        <w:rPr>
          <w:rFonts w:ascii="Calibri" w:hAnsi="Calibri"/>
          <w:color w:val="000000"/>
          <w:sz w:val="22"/>
        </w:rPr>
        <w:t>Click Export Master, choose a new WAV filename, and wait for export validation.</w:t>
      </w:r>
    </w:p>
    <w:p>
      <w:pPr>
        <w:pStyle w:val="ListNumber"/>
      </w:pPr>
      <w:r>
        <w:rPr>
          <w:rFonts w:ascii="Calibri" w:hAnsi="Calibri"/>
          <w:color w:val="000000"/>
          <w:sz w:val="22"/>
        </w:rPr>
        <w:t>Use Listen: Mastered and Play to compare the original and mastered versions at matched loudness.</w:t>
      </w:r>
    </w:p>
    <w:p>
      <w:pPr>
        <w:pStyle w:val="ListNumber"/>
      </w:pPr>
      <w:r>
        <w:rPr>
          <w:rFonts w:ascii="Calibri" w:hAnsi="Calibri"/>
          <w:color w:val="000000"/>
          <w:sz w:val="22"/>
        </w:rPr>
        <w:t>Use Save Version before major edits so the exact plan can be restored or compared later.</w:t>
      </w:r>
    </w:p>
    <w:p>
      <w:pPr>
        <w:pStyle w:val="Callout"/>
        <w:shd w:fill="F4F6F9"/>
        <w:pBdr>
          <w:left w:val="single" w:sz="18" w:space="8" w:color="2E74B5"/>
        </w:pBdr>
      </w:pPr>
      <w:r>
        <w:rPr>
          <w:rFonts w:ascii="Calibri" w:hAnsi="Calibri"/>
          <w:b/>
          <w:color w:val="2E74B5"/>
          <w:sz w:val="21"/>
        </w:rPr>
        <w:t xml:space="preserve">BEST PRACTICE  </w:t>
      </w:r>
      <w:r>
        <w:rPr>
          <w:rFonts w:ascii="Calibri" w:hAnsi="Calibri"/>
          <w:b w:val="0"/>
          <w:color w:val="0B2545"/>
          <w:sz w:val="21"/>
        </w:rPr>
        <w:t>Listen to the entire exported master on multiple playback systems. Automated mastering is a starting point; artistic approval remains yours.</w:t>
      </w:r>
    </w:p>
    <w:p>
      <w:pPr>
        <w:pStyle w:val="Heading1"/>
      </w:pPr>
      <w:r>
        <w:t>2. Installation and Launch</w:t>
      </w:r>
    </w:p>
    <w:p>
      <w:pPr>
        <w:pStyle w:val="Heading2"/>
      </w:pPr>
      <w:r>
        <w:t>System assumptions</w:t>
      </w:r>
    </w:p>
    <w:p>
      <w:pPr>
        <w:pStyle w:val="ListBullet"/>
      </w:pPr>
      <w:r>
        <w:rPr>
          <w:rFonts w:ascii="Calibri" w:hAnsi="Calibri"/>
          <w:color w:val="000000"/>
          <w:sz w:val="22"/>
        </w:rPr>
        <w:t>macOS on Apple Silicon (arm64).</w:t>
      </w:r>
    </w:p>
    <w:p>
      <w:pPr>
        <w:pStyle w:val="ListBullet"/>
      </w:pPr>
      <w:r>
        <w:rPr>
          <w:rFonts w:ascii="Calibri" w:hAnsi="Calibri"/>
          <w:color w:val="000000"/>
          <w:sz w:val="22"/>
        </w:rPr>
        <w:t>The installed application is /Applications/Dozi Mastering.app.</w:t>
      </w:r>
    </w:p>
    <w:p>
      <w:pPr>
        <w:pStyle w:val="ListBullet"/>
      </w:pPr>
      <w:r>
        <w:rPr>
          <w:rFonts w:ascii="Calibri" w:hAnsi="Calibri"/>
          <w:color w:val="000000"/>
          <w:sz w:val="22"/>
        </w:rPr>
        <w:t>The app runs independently; Pro Tools and Dozi Session Prep are not required for mastering.</w:t>
      </w:r>
    </w:p>
    <w:p>
      <w:pPr>
        <w:pStyle w:val="ListBullet"/>
      </w:pPr>
      <w:r>
        <w:rPr>
          <w:rFonts w:ascii="Calibri" w:hAnsi="Calibri"/>
          <w:color w:val="000000"/>
          <w:sz w:val="22"/>
        </w:rPr>
        <w:t>For WAV/AIFF/FLAC support, the shipping build includes the project’s libsndfile/libebur128 dependencies.</w:t>
      </w:r>
    </w:p>
    <w:p>
      <w:pPr>
        <w:pStyle w:val="Heading2"/>
      </w:pPr>
      <w:r>
        <w:t>Open the app</w:t>
      </w:r>
    </w:p>
    <w:p>
      <w:pPr>
        <w:pStyle w:val="ListNumber"/>
      </w:pPr>
      <w:r>
        <w:rPr>
          <w:rFonts w:ascii="Calibri" w:hAnsi="Calibri"/>
          <w:color w:val="000000"/>
          <w:sz w:val="22"/>
        </w:rPr>
        <w:t>Open Finder and select Applications.</w:t>
      </w:r>
    </w:p>
    <w:p>
      <w:pPr>
        <w:pStyle w:val="ListNumber"/>
      </w:pPr>
      <w:r>
        <w:rPr>
          <w:rFonts w:ascii="Calibri" w:hAnsi="Calibri"/>
          <w:color w:val="000000"/>
          <w:sz w:val="22"/>
        </w:rPr>
        <w:t>Double-click Dozi Mastering.</w:t>
      </w:r>
    </w:p>
    <w:p>
      <w:pPr>
        <w:pStyle w:val="ListNumber"/>
      </w:pPr>
      <w:r>
        <w:rPr>
          <w:rFonts w:ascii="Calibri" w:hAnsi="Calibri"/>
          <w:color w:val="000000"/>
          <w:sz w:val="22"/>
        </w:rPr>
        <w:t>If the app is already in the Dock, click its Dock icon.</w:t>
      </w:r>
    </w:p>
    <w:p>
      <w:r>
        <w:rPr>
          <w:rFonts w:ascii="Calibri" w:hAnsi="Calibri"/>
          <w:b w:val="0"/>
          <w:color w:val="000000"/>
          <w:sz w:val="22"/>
        </w:rPr>
        <w:t>To keep it in the Dock, Control-click the running app icon, choose Options, then Keep in Dock.</w:t>
      </w:r>
    </w:p>
    <w:p>
      <w:pPr>
        <w:pStyle w:val="Heading2"/>
      </w:pPr>
      <w:r>
        <w:t>About the icon</w:t>
      </w:r>
    </w:p>
    <w:p>
      <w:r>
        <w:rPr>
          <w:rFonts w:ascii="Calibri" w:hAnsi="Calibri"/>
          <w:b w:val="0"/>
          <w:color w:val="000000"/>
          <w:sz w:val="22"/>
        </w:rPr>
        <w:t>The Dock icon comes from the icon embedded in the application bundle. A custom Dozi icon image has not yet been embedded in the current project. When supplied, the preferred source is a square 1024 × 1024 PNG with transparency and no pre-rounded corners.</w:t>
      </w:r>
    </w:p>
    <w:p>
      <w:pPr>
        <w:pStyle w:val="Heading2"/>
      </w:pPr>
      <w:r>
        <w:t>Supported source files</w:t>
      </w:r>
    </w:p>
    <w:tbl>
      <w:tblPr>
        <w:tblStyle w:val="TableGrid"/>
        <w:tblW w:type="dxa" w:w="9360"/>
        <w:tblLayout w:type="fixed"/>
        <w:tblLook w:firstColumn="1" w:firstRow="1" w:lastColumn="0" w:lastRow="0" w:noHBand="0" w:noVBand="1" w:val="04A0"/>
        <w:jc w:val="left"/>
        <w:tblInd w:type="dxa" w:w="120"/>
      </w:tblPr>
      <w:tblGrid>
        <w:gridCol w:w="1600"/>
        <w:gridCol w:w="1300"/>
        <w:gridCol w:w="6460"/>
      </w:tblGrid>
      <w:tr>
        <w:trPr>
          <w:tblHeader w:val="true"/>
        </w:trPr>
        <w:tc>
          <w:tcPr>
            <w:tcW w:type="dxa" w:w="1600"/>
            <w:vAlign w:val="center"/>
            <w:tcMar>
              <w:top w:w="80" w:type="dxa"/>
              <w:start w:w="120" w:type="dxa"/>
              <w:bottom w:w="80" w:type="dxa"/>
              <w:end w:w="120" w:type="dxa"/>
            </w:tcMar>
            <w:shd w:fill="E8EEF5"/>
          </w:tcPr>
          <w:p>
            <w:pPr>
              <w:spacing w:after="0"/>
            </w:pPr>
            <w:r>
              <w:rPr>
                <w:rFonts w:ascii="Calibri" w:hAnsi="Calibri"/>
                <w:b/>
                <w:color w:val="0B2545"/>
                <w:sz w:val="20"/>
              </w:rPr>
              <w:t>Format</w:t>
            </w:r>
          </w:p>
        </w:tc>
        <w:tc>
          <w:tcPr>
            <w:tcW w:type="dxa" w:w="1300"/>
            <w:vAlign w:val="center"/>
            <w:tcMar>
              <w:top w:w="80" w:type="dxa"/>
              <w:start w:w="120" w:type="dxa"/>
              <w:bottom w:w="80" w:type="dxa"/>
              <w:end w:w="120" w:type="dxa"/>
            </w:tcMar>
            <w:shd w:fill="E8EEF5"/>
          </w:tcPr>
          <w:p>
            <w:pPr>
              <w:spacing w:after="0"/>
            </w:pPr>
            <w:r>
              <w:rPr>
                <w:rFonts w:ascii="Calibri" w:hAnsi="Calibri"/>
                <w:b/>
                <w:color w:val="0B2545"/>
                <w:sz w:val="20"/>
              </w:rPr>
              <w:t>Support</w:t>
            </w:r>
          </w:p>
        </w:tc>
        <w:tc>
          <w:tcPr>
            <w:tcW w:type="dxa" w:w="6460"/>
            <w:vAlign w:val="center"/>
            <w:tcMar>
              <w:top w:w="80" w:type="dxa"/>
              <w:start w:w="120" w:type="dxa"/>
              <w:bottom w:w="80" w:type="dxa"/>
              <w:end w:w="120" w:type="dxa"/>
            </w:tcMar>
            <w:shd w:fill="E8EEF5"/>
          </w:tcPr>
          <w:p>
            <w:pPr>
              <w:spacing w:after="0"/>
            </w:pPr>
            <w:r>
              <w:rPr>
                <w:rFonts w:ascii="Calibri" w:hAnsi="Calibri"/>
                <w:b/>
                <w:color w:val="0B2545"/>
                <w:sz w:val="20"/>
              </w:rPr>
              <w:t>Notes</w:t>
            </w:r>
          </w:p>
        </w:tc>
      </w:tr>
      <w:tr>
        <w:tc>
          <w:tcPr>
            <w:tcW w:type="dxa" w:w="1600"/>
            <w:vAlign w:val="center"/>
            <w:tcMar>
              <w:top w:w="80" w:type="dxa"/>
              <w:start w:w="120" w:type="dxa"/>
              <w:bottom w:w="80" w:type="dxa"/>
              <w:end w:w="120" w:type="dxa"/>
            </w:tcMar>
          </w:tcPr>
          <w:p>
            <w:pPr>
              <w:spacing w:after="0" w:line="264" w:lineRule="auto"/>
            </w:pPr>
            <w:r>
              <w:rPr>
                <w:rFonts w:ascii="Calibri" w:hAnsi="Calibri"/>
                <w:b w:val="0"/>
                <w:color w:val="000000"/>
                <w:sz w:val="19"/>
              </w:rPr>
              <w:t>WAV</w:t>
            </w:r>
          </w:p>
        </w:tc>
        <w:tc>
          <w:tcPr>
            <w:tcW w:type="dxa" w:w="1300"/>
            <w:vAlign w:val="center"/>
            <w:tcMar>
              <w:top w:w="80" w:type="dxa"/>
              <w:start w:w="120" w:type="dxa"/>
              <w:bottom w:w="80" w:type="dxa"/>
              <w:end w:w="120" w:type="dxa"/>
            </w:tcMar>
          </w:tcPr>
          <w:p>
            <w:pPr>
              <w:spacing w:after="0" w:line="264" w:lineRule="auto"/>
            </w:pPr>
            <w:r>
              <w:rPr>
                <w:rFonts w:ascii="Calibri" w:hAnsi="Calibri"/>
                <w:b w:val="0"/>
                <w:color w:val="000000"/>
                <w:sz w:val="19"/>
              </w:rPr>
              <w:t>Yes</w:t>
            </w:r>
          </w:p>
        </w:tc>
        <w:tc>
          <w:tcPr>
            <w:tcW w:type="dxa" w:w="6460"/>
            <w:vAlign w:val="center"/>
            <w:tcMar>
              <w:top w:w="80" w:type="dxa"/>
              <w:start w:w="120" w:type="dxa"/>
              <w:bottom w:w="80" w:type="dxa"/>
              <w:end w:w="120" w:type="dxa"/>
            </w:tcMar>
          </w:tcPr>
          <w:p>
            <w:pPr>
              <w:spacing w:after="0" w:line="264" w:lineRule="auto"/>
            </w:pPr>
            <w:r>
              <w:rPr>
                <w:rFonts w:ascii="Calibri" w:hAnsi="Calibri"/>
                <w:b w:val="0"/>
                <w:color w:val="000000"/>
                <w:sz w:val="19"/>
              </w:rPr>
              <w:t>PCM and 32-bit floating-point sources supported through the tested decoder.</w:t>
            </w:r>
          </w:p>
        </w:tc>
      </w:tr>
      <w:tr>
        <w:tc>
          <w:tcPr>
            <w:tcW w:type="dxa" w:w="1600"/>
            <w:vAlign w:val="center"/>
            <w:tcMar>
              <w:top w:w="80" w:type="dxa"/>
              <w:start w:w="120" w:type="dxa"/>
              <w:bottom w:w="80" w:type="dxa"/>
              <w:end w:w="120" w:type="dxa"/>
            </w:tcMar>
          </w:tcPr>
          <w:p>
            <w:pPr>
              <w:spacing w:after="0" w:line="264" w:lineRule="auto"/>
            </w:pPr>
            <w:r>
              <w:rPr>
                <w:rFonts w:ascii="Calibri" w:hAnsi="Calibri"/>
                <w:b w:val="0"/>
                <w:color w:val="000000"/>
                <w:sz w:val="19"/>
              </w:rPr>
              <w:t>AIFF / AIF</w:t>
            </w:r>
          </w:p>
        </w:tc>
        <w:tc>
          <w:tcPr>
            <w:tcW w:type="dxa" w:w="1300"/>
            <w:vAlign w:val="center"/>
            <w:tcMar>
              <w:top w:w="80" w:type="dxa"/>
              <w:start w:w="120" w:type="dxa"/>
              <w:bottom w:w="80" w:type="dxa"/>
              <w:end w:w="120" w:type="dxa"/>
            </w:tcMar>
          </w:tcPr>
          <w:p>
            <w:pPr>
              <w:spacing w:after="0" w:line="264" w:lineRule="auto"/>
            </w:pPr>
            <w:r>
              <w:rPr>
                <w:rFonts w:ascii="Calibri" w:hAnsi="Calibri"/>
                <w:b w:val="0"/>
                <w:color w:val="000000"/>
                <w:sz w:val="19"/>
              </w:rPr>
              <w:t>Yes</w:t>
            </w:r>
          </w:p>
        </w:tc>
        <w:tc>
          <w:tcPr>
            <w:tcW w:type="dxa" w:w="6460"/>
            <w:vAlign w:val="center"/>
            <w:tcMar>
              <w:top w:w="80" w:type="dxa"/>
              <w:start w:w="120" w:type="dxa"/>
              <w:bottom w:w="80" w:type="dxa"/>
              <w:end w:w="120" w:type="dxa"/>
            </w:tcMar>
          </w:tcPr>
          <w:p>
            <w:pPr>
              <w:spacing w:after="0" w:line="264" w:lineRule="auto"/>
            </w:pPr>
            <w:r>
              <w:rPr>
                <w:rFonts w:ascii="Calibri" w:hAnsi="Calibri"/>
                <w:b w:val="0"/>
                <w:color w:val="000000"/>
                <w:sz w:val="19"/>
              </w:rPr>
              <w:t>Decoded through the same audited audio-I/O path.</w:t>
            </w:r>
          </w:p>
        </w:tc>
      </w:tr>
      <w:tr>
        <w:tc>
          <w:tcPr>
            <w:tcW w:type="dxa" w:w="1600"/>
            <w:vAlign w:val="center"/>
            <w:tcMar>
              <w:top w:w="80" w:type="dxa"/>
              <w:start w:w="120" w:type="dxa"/>
              <w:bottom w:w="80" w:type="dxa"/>
              <w:end w:w="120" w:type="dxa"/>
            </w:tcMar>
          </w:tcPr>
          <w:p>
            <w:pPr>
              <w:spacing w:after="0" w:line="264" w:lineRule="auto"/>
            </w:pPr>
            <w:r>
              <w:rPr>
                <w:rFonts w:ascii="Calibri" w:hAnsi="Calibri"/>
                <w:b w:val="0"/>
                <w:color w:val="000000"/>
                <w:sz w:val="19"/>
              </w:rPr>
              <w:t>FLAC</w:t>
            </w:r>
          </w:p>
        </w:tc>
        <w:tc>
          <w:tcPr>
            <w:tcW w:type="dxa" w:w="1300"/>
            <w:vAlign w:val="center"/>
            <w:tcMar>
              <w:top w:w="80" w:type="dxa"/>
              <w:start w:w="120" w:type="dxa"/>
              <w:bottom w:w="80" w:type="dxa"/>
              <w:end w:w="120" w:type="dxa"/>
            </w:tcMar>
          </w:tcPr>
          <w:p>
            <w:pPr>
              <w:spacing w:after="0" w:line="264" w:lineRule="auto"/>
            </w:pPr>
            <w:r>
              <w:rPr>
                <w:rFonts w:ascii="Calibri" w:hAnsi="Calibri"/>
                <w:b w:val="0"/>
                <w:color w:val="000000"/>
                <w:sz w:val="19"/>
              </w:rPr>
              <w:t>Yes</w:t>
            </w:r>
          </w:p>
        </w:tc>
        <w:tc>
          <w:tcPr>
            <w:tcW w:type="dxa" w:w="6460"/>
            <w:vAlign w:val="center"/>
            <w:tcMar>
              <w:top w:w="80" w:type="dxa"/>
              <w:start w:w="120" w:type="dxa"/>
              <w:bottom w:w="80" w:type="dxa"/>
              <w:end w:w="120" w:type="dxa"/>
            </w:tcMar>
          </w:tcPr>
          <w:p>
            <w:pPr>
              <w:spacing w:after="0" w:line="264" w:lineRule="auto"/>
            </w:pPr>
            <w:r>
              <w:rPr>
                <w:rFonts w:ascii="Calibri" w:hAnsi="Calibri"/>
                <w:b w:val="0"/>
                <w:color w:val="000000"/>
                <w:sz w:val="19"/>
              </w:rPr>
              <w:t>Lossless decode; mastered export remains WAV.</w:t>
            </w:r>
          </w:p>
        </w:tc>
      </w:tr>
      <w:tr>
        <w:tc>
          <w:tcPr>
            <w:tcW w:type="dxa" w:w="1600"/>
            <w:vAlign w:val="center"/>
            <w:tcMar>
              <w:top w:w="80" w:type="dxa"/>
              <w:start w:w="120" w:type="dxa"/>
              <w:bottom w:w="80" w:type="dxa"/>
              <w:end w:w="120" w:type="dxa"/>
            </w:tcMar>
          </w:tcPr>
          <w:p>
            <w:pPr>
              <w:spacing w:after="0" w:line="264" w:lineRule="auto"/>
            </w:pPr>
            <w:r>
              <w:rPr>
                <w:rFonts w:ascii="Calibri" w:hAnsi="Calibri"/>
                <w:b w:val="0"/>
                <w:color w:val="000000"/>
                <w:sz w:val="19"/>
              </w:rPr>
              <w:t>Channels</w:t>
            </w:r>
          </w:p>
        </w:tc>
        <w:tc>
          <w:tcPr>
            <w:tcW w:type="dxa" w:w="1300"/>
            <w:vAlign w:val="center"/>
            <w:tcMar>
              <w:top w:w="80" w:type="dxa"/>
              <w:start w:w="120" w:type="dxa"/>
              <w:bottom w:w="80" w:type="dxa"/>
              <w:end w:w="120" w:type="dxa"/>
            </w:tcMar>
          </w:tcPr>
          <w:p>
            <w:pPr>
              <w:spacing w:after="0" w:line="264" w:lineRule="auto"/>
            </w:pPr>
            <w:r>
              <w:rPr>
                <w:rFonts w:ascii="Calibri" w:hAnsi="Calibri"/>
                <w:b w:val="0"/>
                <w:color w:val="000000"/>
                <w:sz w:val="19"/>
              </w:rPr>
              <w:t>Stereo</w:t>
            </w:r>
          </w:p>
        </w:tc>
        <w:tc>
          <w:tcPr>
            <w:tcW w:type="dxa" w:w="6460"/>
            <w:vAlign w:val="center"/>
            <w:tcMar>
              <w:top w:w="80" w:type="dxa"/>
              <w:start w:w="120" w:type="dxa"/>
              <w:bottom w:w="80" w:type="dxa"/>
              <w:end w:w="120" w:type="dxa"/>
            </w:tcMar>
          </w:tcPr>
          <w:p>
            <w:pPr>
              <w:spacing w:after="0" w:line="264" w:lineRule="auto"/>
            </w:pPr>
            <w:r>
              <w:rPr>
                <w:rFonts w:ascii="Calibri" w:hAnsi="Calibri"/>
                <w:b w:val="0"/>
                <w:color w:val="000000"/>
                <w:sz w:val="19"/>
              </w:rPr>
              <w:t>Mastering and reference matching require two channels.</w:t>
            </w:r>
          </w:p>
        </w:tc>
      </w:tr>
      <w:tr>
        <w:tc>
          <w:tcPr>
            <w:tcW w:type="dxa" w:w="1600"/>
            <w:vAlign w:val="center"/>
            <w:tcMar>
              <w:top w:w="80" w:type="dxa"/>
              <w:start w:w="120" w:type="dxa"/>
              <w:bottom w:w="80" w:type="dxa"/>
              <w:end w:w="120" w:type="dxa"/>
            </w:tcMar>
          </w:tcPr>
          <w:p>
            <w:pPr>
              <w:spacing w:after="0" w:line="264" w:lineRule="auto"/>
            </w:pPr>
            <w:r>
              <w:rPr>
                <w:rFonts w:ascii="Calibri" w:hAnsi="Calibri"/>
                <w:b w:val="0"/>
                <w:color w:val="000000"/>
                <w:sz w:val="19"/>
              </w:rPr>
              <w:t>Sample rate</w:t>
            </w:r>
          </w:p>
        </w:tc>
        <w:tc>
          <w:tcPr>
            <w:tcW w:type="dxa" w:w="1300"/>
            <w:vAlign w:val="center"/>
            <w:tcMar>
              <w:top w:w="80" w:type="dxa"/>
              <w:start w:w="120" w:type="dxa"/>
              <w:bottom w:w="80" w:type="dxa"/>
              <w:end w:w="120" w:type="dxa"/>
            </w:tcMar>
          </w:tcPr>
          <w:p>
            <w:pPr>
              <w:spacing w:after="0" w:line="264" w:lineRule="auto"/>
            </w:pPr>
            <w:r>
              <w:rPr>
                <w:rFonts w:ascii="Calibri" w:hAnsi="Calibri"/>
                <w:b w:val="0"/>
                <w:color w:val="000000"/>
                <w:sz w:val="19"/>
              </w:rPr>
              <w:t>Up to 192 kHz</w:t>
            </w:r>
          </w:p>
        </w:tc>
        <w:tc>
          <w:tcPr>
            <w:tcW w:type="dxa" w:w="6460"/>
            <w:vAlign w:val="center"/>
            <w:tcMar>
              <w:top w:w="80" w:type="dxa"/>
              <w:start w:w="120" w:type="dxa"/>
              <w:bottom w:w="80" w:type="dxa"/>
              <w:end w:w="120" w:type="dxa"/>
            </w:tcMar>
          </w:tcPr>
          <w:p>
            <w:pPr>
              <w:spacing w:after="0" w:line="264" w:lineRule="auto"/>
            </w:pPr>
            <w:r>
              <w:rPr>
                <w:rFonts w:ascii="Calibri" w:hAnsi="Calibri"/>
                <w:b w:val="0"/>
                <w:color w:val="000000"/>
                <w:sz w:val="19"/>
              </w:rPr>
              <w:t>Do not claim 384 kHz until independently tested.</w:t>
            </w:r>
          </w:p>
        </w:tc>
      </w:tr>
    </w:tbl>
    <w:p>
      <w:pPr>
        <w:spacing w:after="40"/>
      </w:pPr>
    </w:p>
    <w:p>
      <w:pPr>
        <w:pStyle w:val="Heading1"/>
      </w:pPr>
      <w:r>
        <w:t>3. The Dozi Mastering Workspace</w:t>
      </w:r>
    </w:p>
    <w:tbl>
      <w:tblPr>
        <w:tblStyle w:val="TableGrid"/>
        <w:tblW w:type="dxa" w:w="9360"/>
        <w:tblLayout w:type="fixed"/>
        <w:tblLook w:firstColumn="1" w:firstRow="1" w:lastColumn="0" w:lastRow="0" w:noHBand="0" w:noVBand="1" w:val="04A0"/>
        <w:jc w:val="left"/>
        <w:tblInd w:type="dxa" w:w="120"/>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20"/>
              </w:rPr>
              <w:t>Control</w:t>
            </w:r>
          </w:p>
        </w:tc>
        <w:tc>
          <w:tcPr>
            <w:tcW w:type="dxa" w:w="7160"/>
            <w:vAlign w:val="center"/>
            <w:tcMar>
              <w:top w:w="80" w:type="dxa"/>
              <w:start w:w="120" w:type="dxa"/>
              <w:bottom w:w="80" w:type="dxa"/>
              <w:end w:w="120" w:type="dxa"/>
            </w:tcMar>
            <w:shd w:fill="E8EEF5"/>
          </w:tcPr>
          <w:p>
            <w:pPr>
              <w:spacing w:after="0"/>
            </w:pPr>
            <w:r>
              <w:rPr>
                <w:rFonts w:ascii="Calibri" w:hAnsi="Calibri"/>
                <w:b/>
                <w:color w:val="0B2545"/>
                <w:sz w:val="20"/>
              </w:rPr>
              <w:t>Purpose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Choose Mix</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Selects the stereo mix to analyze and master.</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Choose Reference</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Selects an optional stereo reference at the same sample rate.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Analyze</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Measures the mix and produces a deterministic mastering plan.</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Export Master</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Renders, atomically commits, reopens, and verifies a mastered WAV.</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Play</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Starts or pauses the currently selected A/B source.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Listen: Mastered</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Switches playback between original and mastered audio.</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Audio Device</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Chooses the macOS playback output.</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Save Version</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Saves the complete mastering plan and decision traces.</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Restore Version</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Loads a saved plan and restores its controls.</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Compare Version</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Shows target and module-setting differences without changing audio.</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Cancel</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Interrupts analysis or rendering and removes incomplete output.</w:t>
            </w:r>
          </w:p>
        </w:tc>
      </w:tr>
    </w:tbl>
    <w:p>
      <w:pPr>
        <w:spacing w:after="40"/>
      </w:pPr>
    </w:p>
    <w:p>
      <w:r>
        <w:rPr>
          <w:rFonts w:ascii="Calibri" w:hAnsi="Calibri"/>
          <w:b w:val="0"/>
          <w:color w:val="000000"/>
          <w:sz w:val="22"/>
        </w:rPr>
        <w:t>The waveform is a whole-file overview sampled at 2,000 positions. The seek control follows playback and can be dragged to another position.</w:t>
      </w:r>
    </w:p>
    <w:p>
      <w:pPr>
        <w:pStyle w:val="Heading1"/>
      </w:pPr>
      <w:r>
        <w:t>4. Analysis and Health Measurements</w:t>
      </w:r>
    </w:p>
    <w:p>
      <w:r>
        <w:rPr>
          <w:rFonts w:ascii="Calibri" w:hAnsi="Calibri"/>
          <w:b w:val="0"/>
          <w:color w:val="000000"/>
          <w:sz w:val="22"/>
        </w:rPr>
        <w:t>Every displayed measurement comes from decoded audio samples or libebur128. Dozi does not fabricate measurements, confidence percentages, or “AI-sounding” assessments.</w:t>
      </w:r>
    </w:p>
    <w:tbl>
      <w:tblPr>
        <w:tblStyle w:val="TableGrid"/>
        <w:tblW w:type="dxa" w:w="9360"/>
        <w:tblLayout w:type="fixed"/>
        <w:tblLook w:firstColumn="1" w:firstRow="1" w:lastColumn="0" w:lastRow="0" w:noHBand="0" w:noVBand="1" w:val="04A0"/>
        <w:jc w:val="left"/>
        <w:tblInd w:type="dxa" w:w="120"/>
      </w:tblPr>
      <w:tblGrid>
        <w:gridCol w:w="1700"/>
        <w:gridCol w:w="7660"/>
      </w:tblGrid>
      <w:tr>
        <w:trPr>
          <w:tblHeader w:val="true"/>
        </w:trPr>
        <w:tc>
          <w:tcPr>
            <w:tcW w:type="dxa" w:w="1700"/>
            <w:vAlign w:val="center"/>
            <w:tcMar>
              <w:top w:w="80" w:type="dxa"/>
              <w:start w:w="120" w:type="dxa"/>
              <w:bottom w:w="80" w:type="dxa"/>
              <w:end w:w="120" w:type="dxa"/>
            </w:tcMar>
            <w:shd w:fill="E8EEF5"/>
          </w:tcPr>
          <w:p>
            <w:pPr>
              <w:spacing w:after="0"/>
            </w:pPr>
            <w:r>
              <w:rPr>
                <w:rFonts w:ascii="Calibri" w:hAnsi="Calibri"/>
                <w:b/>
                <w:color w:val="0B2545"/>
                <w:sz w:val="20"/>
              </w:rPr>
              <w:t>Area</w:t>
            </w:r>
          </w:p>
        </w:tc>
        <w:tc>
          <w:tcPr>
            <w:tcW w:type="dxa" w:w="7660"/>
            <w:vAlign w:val="center"/>
            <w:tcMar>
              <w:top w:w="80" w:type="dxa"/>
              <w:start w:w="120" w:type="dxa"/>
              <w:bottom w:w="80" w:type="dxa"/>
              <w:end w:w="120" w:type="dxa"/>
            </w:tcMar>
            <w:shd w:fill="E8EEF5"/>
          </w:tcPr>
          <w:p>
            <w:pPr>
              <w:spacing w:after="0"/>
            </w:pPr>
            <w:r>
              <w:rPr>
                <w:rFonts w:ascii="Calibri" w:hAnsi="Calibri"/>
                <w:b/>
                <w:color w:val="0B2545"/>
                <w:sz w:val="20"/>
              </w:rPr>
              <w:t>Measurements and method</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color w:val="000000"/>
                <w:sz w:val="19"/>
              </w:rPr>
              <w:t>Loudness</w:t>
            </w:r>
          </w:p>
        </w:tc>
        <w:tc>
          <w:tcPr>
            <w:tcW w:type="dxa" w:w="7660"/>
            <w:vAlign w:val="center"/>
            <w:tcMar>
              <w:top w:w="80" w:type="dxa"/>
              <w:start w:w="120" w:type="dxa"/>
              <w:bottom w:w="80" w:type="dxa"/>
              <w:end w:w="120" w:type="dxa"/>
            </w:tcMar>
          </w:tcPr>
          <w:p>
            <w:pPr>
              <w:spacing w:after="0" w:line="264" w:lineRule="auto"/>
            </w:pPr>
            <w:r>
              <w:rPr>
                <w:rFonts w:ascii="Calibri" w:hAnsi="Calibri"/>
                <w:b w:val="0"/>
                <w:color w:val="000000"/>
                <w:sz w:val="19"/>
              </w:rPr>
              <w:t>Integrated, maximum short-term, and maximum momentary LUFS; true peak through libebur128.</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color w:val="000000"/>
                <w:sz w:val="19"/>
              </w:rPr>
              <w:t>Level</w:t>
            </w:r>
          </w:p>
        </w:tc>
        <w:tc>
          <w:tcPr>
            <w:tcW w:type="dxa" w:w="7660"/>
            <w:vAlign w:val="center"/>
            <w:tcMar>
              <w:top w:w="80" w:type="dxa"/>
              <w:start w:w="120" w:type="dxa"/>
              <w:bottom w:w="80" w:type="dxa"/>
              <w:end w:w="120" w:type="dxa"/>
            </w:tcMar>
          </w:tcPr>
          <w:p>
            <w:pPr>
              <w:spacing w:after="0" w:line="264" w:lineRule="auto"/>
            </w:pPr>
            <w:r>
              <w:rPr>
                <w:rFonts w:ascii="Calibri" w:hAnsi="Calibri"/>
                <w:b w:val="0"/>
                <w:color w:val="000000"/>
                <w:sz w:val="19"/>
              </w:rPr>
              <w:t>Sample peak, RMS, crest factor, DC offset, noise floor, clipped-sample count, and inter-sample peak detection.</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color w:val="000000"/>
                <w:sz w:val="19"/>
              </w:rPr>
              <w:t>Stereo</w:t>
            </w:r>
          </w:p>
        </w:tc>
        <w:tc>
          <w:tcPr>
            <w:tcW w:type="dxa" w:w="7660"/>
            <w:vAlign w:val="center"/>
            <w:tcMar>
              <w:top w:w="80" w:type="dxa"/>
              <w:start w:w="120" w:type="dxa"/>
              <w:bottom w:w="80" w:type="dxa"/>
              <w:end w:w="120" w:type="dxa"/>
            </w:tcMar>
          </w:tcPr>
          <w:p>
            <w:pPr>
              <w:spacing w:after="0" w:line="264" w:lineRule="auto"/>
            </w:pPr>
            <w:r>
              <w:rPr>
                <w:rFonts w:ascii="Calibri" w:hAnsi="Calibri"/>
                <w:b w:val="0"/>
                <w:color w:val="000000"/>
                <w:sz w:val="19"/>
              </w:rPr>
              <w:t>L/R phase correlation, mid/side energy ratio, and measured loss when summed to mono.</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color w:val="000000"/>
                <w:sz w:val="19"/>
              </w:rPr>
              <w:t>Spectrum</w:t>
            </w:r>
          </w:p>
        </w:tc>
        <w:tc>
          <w:tcPr>
            <w:tcW w:type="dxa" w:w="7660"/>
            <w:vAlign w:val="center"/>
            <w:tcMar>
              <w:top w:w="80" w:type="dxa"/>
              <w:start w:w="120" w:type="dxa"/>
              <w:bottom w:w="80" w:type="dxa"/>
              <w:end w:w="120" w:type="dxa"/>
            </w:tcMar>
          </w:tcPr>
          <w:p>
            <w:pPr>
              <w:spacing w:after="0" w:line="264" w:lineRule="auto"/>
            </w:pPr>
            <w:r>
              <w:rPr>
                <w:rFonts w:ascii="Calibri" w:hAnsi="Calibri"/>
                <w:b w:val="0"/>
                <w:color w:val="000000"/>
                <w:sz w:val="19"/>
              </w:rPr>
              <w:t>4096-sample Hann-windowed FFTs; centroid; seven defined frequency bands; local resonance peak detection.</w:t>
            </w:r>
          </w:p>
        </w:tc>
      </w:tr>
      <w:tr>
        <w:tc>
          <w:tcPr>
            <w:tcW w:type="dxa" w:w="1700"/>
            <w:vAlign w:val="center"/>
            <w:tcMar>
              <w:top w:w="80" w:type="dxa"/>
              <w:start w:w="120" w:type="dxa"/>
              <w:bottom w:w="80" w:type="dxa"/>
              <w:end w:w="120" w:type="dxa"/>
            </w:tcMar>
          </w:tcPr>
          <w:p>
            <w:pPr>
              <w:spacing w:after="0" w:line="264" w:lineRule="auto"/>
            </w:pPr>
            <w:r>
              <w:rPr>
                <w:rFonts w:ascii="Calibri" w:hAnsi="Calibri"/>
                <w:b w:val="0"/>
                <w:color w:val="000000"/>
                <w:sz w:val="19"/>
              </w:rPr>
              <w:t>Health score</w:t>
            </w:r>
          </w:p>
        </w:tc>
        <w:tc>
          <w:tcPr>
            <w:tcW w:type="dxa" w:w="7660"/>
            <w:vAlign w:val="center"/>
            <w:tcMar>
              <w:top w:w="80" w:type="dxa"/>
              <w:start w:w="120" w:type="dxa"/>
              <w:bottom w:w="80" w:type="dxa"/>
              <w:end w:w="120" w:type="dxa"/>
            </w:tcMar>
          </w:tcPr>
          <w:p>
            <w:pPr>
              <w:spacing w:after="0" w:line="264" w:lineRule="auto"/>
            </w:pPr>
            <w:r>
              <w:rPr>
                <w:rFonts w:ascii="Calibri" w:hAnsi="Calibri"/>
                <w:b w:val="0"/>
                <w:color w:val="000000"/>
                <w:sz w:val="19"/>
              </w:rPr>
              <w:t>Deterministic Tonal Balance, Dynamics, Stereo Image, and Loudness/Streaming Readiness categories.</w:t>
            </w:r>
          </w:p>
        </w:tc>
      </w:tr>
    </w:tbl>
    <w:p>
      <w:pPr>
        <w:spacing w:after="40"/>
      </w:pPr>
    </w:p>
    <w:p>
      <w:pPr>
        <w:pStyle w:val="Heading2"/>
      </w:pPr>
      <w:r>
        <w:t>Frequency bands</w:t>
      </w:r>
    </w:p>
    <w:tbl>
      <w:tblPr>
        <w:tblStyle w:val="TableGrid"/>
        <w:tblW w:type="dxa" w:w="9360"/>
        <w:tblLayout w:type="fixed"/>
        <w:tblLook w:firstColumn="1" w:firstRow="1" w:lastColumn="0" w:lastRow="0" w:noHBand="0" w:noVBand="1" w:val="04A0"/>
        <w:jc w:val="left"/>
        <w:tblInd w:type="dxa" w:w="120"/>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after="0"/>
            </w:pPr>
            <w:r>
              <w:rPr>
                <w:rFonts w:ascii="Calibri" w:hAnsi="Calibri"/>
                <w:b/>
                <w:color w:val="0B2545"/>
                <w:sz w:val="20"/>
              </w:rPr>
              <w:t>Band</w:t>
            </w:r>
          </w:p>
        </w:tc>
        <w:tc>
          <w:tcPr>
            <w:tcW w:type="dxa" w:w="6760"/>
            <w:vAlign w:val="center"/>
            <w:tcMar>
              <w:top w:w="80" w:type="dxa"/>
              <w:start w:w="120" w:type="dxa"/>
              <w:bottom w:w="80" w:type="dxa"/>
              <w:end w:w="120" w:type="dxa"/>
            </w:tcMar>
            <w:shd w:fill="E8EEF5"/>
          </w:tcPr>
          <w:p>
            <w:pPr>
              <w:spacing w:after="0"/>
            </w:pPr>
            <w:r>
              <w:rPr>
                <w:rFonts w:ascii="Calibri" w:hAnsi="Calibri"/>
                <w:b/>
                <w:color w:val="0B2545"/>
                <w:sz w:val="20"/>
              </w:rPr>
              <w:t>Range</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color w:val="000000"/>
                <w:sz w:val="19"/>
              </w:rPr>
              <w:t>Sub</w:t>
            </w:r>
          </w:p>
        </w:tc>
        <w:tc>
          <w:tcPr>
            <w:tcW w:type="dxa" w:w="6760"/>
            <w:vAlign w:val="center"/>
            <w:tcMar>
              <w:top w:w="80" w:type="dxa"/>
              <w:start w:w="120" w:type="dxa"/>
              <w:bottom w:w="80" w:type="dxa"/>
              <w:end w:w="120" w:type="dxa"/>
            </w:tcMar>
          </w:tcPr>
          <w:p>
            <w:pPr>
              <w:spacing w:after="0" w:line="264" w:lineRule="auto"/>
            </w:pPr>
            <w:r>
              <w:rPr>
                <w:rFonts w:ascii="Calibri" w:hAnsi="Calibri"/>
                <w:b w:val="0"/>
                <w:color w:val="000000"/>
                <w:sz w:val="19"/>
              </w:rPr>
              <w:t>20–60 Hz</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color w:val="000000"/>
                <w:sz w:val="19"/>
              </w:rPr>
              <w:t>Low</w:t>
            </w:r>
          </w:p>
        </w:tc>
        <w:tc>
          <w:tcPr>
            <w:tcW w:type="dxa" w:w="6760"/>
            <w:vAlign w:val="center"/>
            <w:tcMar>
              <w:top w:w="80" w:type="dxa"/>
              <w:start w:w="120" w:type="dxa"/>
              <w:bottom w:w="80" w:type="dxa"/>
              <w:end w:w="120" w:type="dxa"/>
            </w:tcMar>
          </w:tcPr>
          <w:p>
            <w:pPr>
              <w:spacing w:after="0" w:line="264" w:lineRule="auto"/>
            </w:pPr>
            <w:r>
              <w:rPr>
                <w:rFonts w:ascii="Calibri" w:hAnsi="Calibri"/>
                <w:b w:val="0"/>
                <w:color w:val="000000"/>
                <w:sz w:val="19"/>
              </w:rPr>
              <w:t>60–200 Hz</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color w:val="000000"/>
                <w:sz w:val="19"/>
              </w:rPr>
              <w:t>Low-mid</w:t>
            </w:r>
          </w:p>
        </w:tc>
        <w:tc>
          <w:tcPr>
            <w:tcW w:type="dxa" w:w="6760"/>
            <w:vAlign w:val="center"/>
            <w:tcMar>
              <w:top w:w="80" w:type="dxa"/>
              <w:start w:w="120" w:type="dxa"/>
              <w:bottom w:w="80" w:type="dxa"/>
              <w:end w:w="120" w:type="dxa"/>
            </w:tcMar>
          </w:tcPr>
          <w:p>
            <w:pPr>
              <w:spacing w:after="0" w:line="264" w:lineRule="auto"/>
            </w:pPr>
            <w:r>
              <w:rPr>
                <w:rFonts w:ascii="Calibri" w:hAnsi="Calibri"/>
                <w:b w:val="0"/>
                <w:color w:val="000000"/>
                <w:sz w:val="19"/>
              </w:rPr>
              <w:t>200–500 Hz</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color w:val="000000"/>
                <w:sz w:val="19"/>
              </w:rPr>
              <w:t>Mid</w:t>
            </w:r>
          </w:p>
        </w:tc>
        <w:tc>
          <w:tcPr>
            <w:tcW w:type="dxa" w:w="6760"/>
            <w:vAlign w:val="center"/>
            <w:tcMar>
              <w:top w:w="80" w:type="dxa"/>
              <w:start w:w="120" w:type="dxa"/>
              <w:bottom w:w="80" w:type="dxa"/>
              <w:end w:w="120" w:type="dxa"/>
            </w:tcMar>
          </w:tcPr>
          <w:p>
            <w:pPr>
              <w:spacing w:after="0" w:line="264" w:lineRule="auto"/>
            </w:pPr>
            <w:r>
              <w:rPr>
                <w:rFonts w:ascii="Calibri" w:hAnsi="Calibri"/>
                <w:b w:val="0"/>
                <w:color w:val="000000"/>
                <w:sz w:val="19"/>
              </w:rPr>
              <w:t>500 Hz–2 kHz</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color w:val="000000"/>
                <w:sz w:val="19"/>
              </w:rPr>
              <w:t>High-mid</w:t>
            </w:r>
          </w:p>
        </w:tc>
        <w:tc>
          <w:tcPr>
            <w:tcW w:type="dxa" w:w="6760"/>
            <w:vAlign w:val="center"/>
            <w:tcMar>
              <w:top w:w="80" w:type="dxa"/>
              <w:start w:w="120" w:type="dxa"/>
              <w:bottom w:w="80" w:type="dxa"/>
              <w:end w:w="120" w:type="dxa"/>
            </w:tcMar>
          </w:tcPr>
          <w:p>
            <w:pPr>
              <w:spacing w:after="0" w:line="264" w:lineRule="auto"/>
            </w:pPr>
            <w:r>
              <w:rPr>
                <w:rFonts w:ascii="Calibri" w:hAnsi="Calibri"/>
                <w:b w:val="0"/>
                <w:color w:val="000000"/>
                <w:sz w:val="19"/>
              </w:rPr>
              <w:t>2–6 kHz</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color w:val="000000"/>
                <w:sz w:val="19"/>
              </w:rPr>
              <w:t>High</w:t>
            </w:r>
          </w:p>
        </w:tc>
        <w:tc>
          <w:tcPr>
            <w:tcW w:type="dxa" w:w="6760"/>
            <w:vAlign w:val="center"/>
            <w:tcMar>
              <w:top w:w="80" w:type="dxa"/>
              <w:start w:w="120" w:type="dxa"/>
              <w:bottom w:w="80" w:type="dxa"/>
              <w:end w:w="120" w:type="dxa"/>
            </w:tcMar>
          </w:tcPr>
          <w:p>
            <w:pPr>
              <w:spacing w:after="0" w:line="264" w:lineRule="auto"/>
            </w:pPr>
            <w:r>
              <w:rPr>
                <w:rFonts w:ascii="Calibri" w:hAnsi="Calibri"/>
                <w:b w:val="0"/>
                <w:color w:val="000000"/>
                <w:sz w:val="19"/>
              </w:rPr>
              <w:t>6–12 kHz</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color w:val="000000"/>
                <w:sz w:val="19"/>
              </w:rPr>
              <w:t>Air</w:t>
            </w:r>
          </w:p>
        </w:tc>
        <w:tc>
          <w:tcPr>
            <w:tcW w:type="dxa" w:w="6760"/>
            <w:vAlign w:val="center"/>
            <w:tcMar>
              <w:top w:w="80" w:type="dxa"/>
              <w:start w:w="120" w:type="dxa"/>
              <w:bottom w:w="80" w:type="dxa"/>
              <w:end w:w="120" w:type="dxa"/>
            </w:tcMar>
          </w:tcPr>
          <w:p>
            <w:pPr>
              <w:spacing w:after="0" w:line="264" w:lineRule="auto"/>
            </w:pPr>
            <w:r>
              <w:rPr>
                <w:rFonts w:ascii="Calibri" w:hAnsi="Calibri"/>
                <w:b w:val="0"/>
                <w:color w:val="000000"/>
                <w:sz w:val="19"/>
              </w:rPr>
              <w:t>12–20 kHz</w:t>
            </w:r>
          </w:p>
        </w:tc>
      </w:tr>
    </w:tbl>
    <w:p>
      <w:pPr>
        <w:spacing w:after="40"/>
      </w:pPr>
    </w:p>
    <w:p>
      <w:pPr>
        <w:pStyle w:val="Callout"/>
        <w:shd w:fill="F4F6F9"/>
        <w:pBdr>
          <w:left w:val="single" w:sz="18" w:space="8" w:color="2E74B5"/>
        </w:pBdr>
      </w:pPr>
      <w:r>
        <w:rPr>
          <w:rFonts w:ascii="Calibri" w:hAnsi="Calibri"/>
          <w:b/>
          <w:color w:val="2E74B5"/>
          <w:sz w:val="21"/>
        </w:rPr>
        <w:t xml:space="preserve">SILENCE FLOOR  </w:t>
      </w:r>
      <w:r>
        <w:rPr>
          <w:rFonts w:ascii="Calibri" w:hAnsi="Calibri"/>
          <w:b w:val="0"/>
          <w:color w:val="0B2545"/>
          <w:sz w:val="21"/>
        </w:rPr>
        <w:t>Digital silence is represented by a finite floor of −120 dBFS/LUFS so reports remain deterministic and machine-readable.</w:t>
      </w:r>
    </w:p>
    <w:p>
      <w:pPr>
        <w:pStyle w:val="Heading1"/>
      </w:pPr>
      <w:r>
        <w:t>5. Automated Mastering Plan</w:t>
      </w:r>
    </w:p>
    <w:p>
      <w:r>
        <w:rPr>
          <w:rFonts w:ascii="Calibri" w:hAnsi="Calibri"/>
          <w:b w:val="0"/>
          <w:color w:val="000000"/>
          <w:sz w:val="22"/>
        </w:rPr>
        <w:t>The decision engine is rule-based. It consumes the measured analysis and an explicit target configuration. Every recommendation stores the triggering measurement, the applied rule, and the proposed action.</w:t>
      </w:r>
    </w:p>
    <w:p>
      <w:pPr>
        <w:pStyle w:val="ListBullet"/>
      </w:pPr>
      <w:r>
        <w:rPr>
          <w:rFonts w:ascii="Calibri" w:hAnsi="Calibri"/>
          <w:color w:val="000000"/>
          <w:sz w:val="22"/>
        </w:rPr>
        <w:t>Corrective EQ cuts measured spectral excess; it does not invent boosts.</w:t>
      </w:r>
    </w:p>
    <w:p>
      <w:pPr>
        <w:pStyle w:val="ListBullet"/>
      </w:pPr>
      <w:r>
        <w:rPr>
          <w:rFonts w:ascii="Calibri" w:hAnsi="Calibri"/>
          <w:color w:val="000000"/>
          <w:sz w:val="22"/>
        </w:rPr>
        <w:t>Glue compression activates only when the configured crest-factor rule is met.</w:t>
      </w:r>
    </w:p>
    <w:p>
      <w:pPr>
        <w:pStyle w:val="ListBullet"/>
      </w:pPr>
      <w:r>
        <w:rPr>
          <w:rFonts w:ascii="Calibri" w:hAnsi="Calibri"/>
          <w:color w:val="000000"/>
          <w:sz w:val="22"/>
        </w:rPr>
        <w:t>Stereo width is preserved unless correlation or mono-loss measurements cross a safety boundary. Automatic widening above 1.0 is not proposed.</w:t>
      </w:r>
    </w:p>
    <w:p>
      <w:pPr>
        <w:pStyle w:val="ListBullet"/>
      </w:pPr>
      <w:r>
        <w:rPr>
          <w:rFonts w:ascii="Calibri" w:hAnsi="Calibri"/>
          <w:color w:val="000000"/>
          <w:sz w:val="22"/>
        </w:rPr>
        <w:t>Limiter input gain is constrained by the loudness request, measured true-peak headroom, and maximum allowed input gain.</w:t>
      </w:r>
    </w:p>
    <w:p>
      <w:pPr>
        <w:pStyle w:val="Callout"/>
        <w:shd w:fill="F4F6F9"/>
        <w:pBdr>
          <w:left w:val="single" w:sz="18" w:space="8" w:color="7A5A00"/>
        </w:pBdr>
      </w:pPr>
      <w:r>
        <w:rPr>
          <w:rFonts w:ascii="Calibri" w:hAnsi="Calibri"/>
          <w:b/>
          <w:color w:val="7A5A00"/>
          <w:sz w:val="21"/>
        </w:rPr>
        <w:t xml:space="preserve">LOUDNESS IS BEST EFFORT  </w:t>
      </w:r>
      <w:r>
        <w:rPr>
          <w:rFonts w:ascii="Calibri" w:hAnsi="Calibri"/>
          <w:b w:val="0"/>
          <w:color w:val="0B2545"/>
          <w:sz w:val="21"/>
        </w:rPr>
        <w:t>The true-peak ceiling is a hard safety constraint. Dozi will stop short of the LUFS target when reaching it would violate peak safety.</w:t>
      </w:r>
    </w:p>
    <w:p>
      <w:pPr>
        <w:pStyle w:val="Heading1"/>
      </w:pPr>
      <w:r>
        <w:t>6. Phase 1 DSP Modules</w:t>
      </w:r>
    </w:p>
    <w:tbl>
      <w:tblPr>
        <w:tblStyle w:val="TableGrid"/>
        <w:tblW w:type="dxa" w:w="9360"/>
        <w:tblLayout w:type="fixed"/>
        <w:tblLook w:firstColumn="1" w:firstRow="1" w:lastColumn="0" w:lastRow="0" w:noHBand="0" w:noVBand="1" w:val="04A0"/>
        <w:jc w:val="left"/>
        <w:tblInd w:type="dxa" w:w="120"/>
      </w:tblPr>
      <w:tblGrid>
        <w:gridCol w:w="2200"/>
        <w:gridCol w:w="4300"/>
        <w:gridCol w:w="28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20"/>
              </w:rPr>
              <w:t>Module</w:t>
            </w:r>
          </w:p>
        </w:tc>
        <w:tc>
          <w:tcPr>
            <w:tcW w:type="dxa" w:w="4300"/>
            <w:vAlign w:val="center"/>
            <w:tcMar>
              <w:top w:w="80" w:type="dxa"/>
              <w:start w:w="120" w:type="dxa"/>
              <w:bottom w:w="80" w:type="dxa"/>
              <w:end w:w="120" w:type="dxa"/>
            </w:tcMar>
            <w:shd w:fill="E8EEF5"/>
          </w:tcPr>
          <w:p>
            <w:pPr>
              <w:spacing w:after="0"/>
            </w:pPr>
            <w:r>
              <w:rPr>
                <w:rFonts w:ascii="Calibri" w:hAnsi="Calibri"/>
                <w:b/>
                <w:color w:val="0B2545"/>
                <w:sz w:val="20"/>
              </w:rPr>
              <w:t>Function</w:t>
            </w:r>
          </w:p>
        </w:tc>
        <w:tc>
          <w:tcPr>
            <w:tcW w:type="dxa" w:w="2860"/>
            <w:vAlign w:val="center"/>
            <w:tcMar>
              <w:top w:w="80" w:type="dxa"/>
              <w:start w:w="120" w:type="dxa"/>
              <w:bottom w:w="80" w:type="dxa"/>
              <w:end w:w="120" w:type="dxa"/>
            </w:tcMar>
            <w:shd w:fill="E8EEF5"/>
          </w:tcPr>
          <w:p>
            <w:pPr>
              <w:spacing w:after="0"/>
            </w:pPr>
            <w:r>
              <w:rPr>
                <w:rFonts w:ascii="Calibri" w:hAnsi="Calibri"/>
                <w:b/>
                <w:color w:val="0B2545"/>
                <w:sz w:val="20"/>
              </w:rPr>
              <w:t>Default automation</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Corrective linear-phase EQ</w:t>
            </w:r>
          </w:p>
        </w:tc>
        <w:tc>
          <w:tcPr>
            <w:tcW w:type="dxa" w:w="4300"/>
            <w:vAlign w:val="center"/>
            <w:tcMar>
              <w:top w:w="80" w:type="dxa"/>
              <w:start w:w="120" w:type="dxa"/>
              <w:bottom w:w="80" w:type="dxa"/>
              <w:end w:w="120" w:type="dxa"/>
            </w:tcMar>
          </w:tcPr>
          <w:p>
            <w:pPr>
              <w:spacing w:after="0" w:line="264" w:lineRule="auto"/>
            </w:pPr>
            <w:r>
              <w:rPr>
                <w:rFonts w:ascii="Calibri" w:hAnsi="Calibri"/>
                <w:b w:val="0"/>
                <w:color w:val="000000"/>
                <w:sz w:val="19"/>
              </w:rPr>
              <w:t>Applies measured, bounded resonance cuts using overlap-add convolution.</w:t>
            </w:r>
          </w:p>
        </w:tc>
        <w:tc>
          <w:tcPr>
            <w:tcW w:type="dxa" w:w="2860"/>
            <w:vAlign w:val="center"/>
            <w:tcMar>
              <w:top w:w="80" w:type="dxa"/>
              <w:start w:w="120" w:type="dxa"/>
              <w:bottom w:w="80" w:type="dxa"/>
              <w:end w:w="120" w:type="dxa"/>
            </w:tcMar>
          </w:tcPr>
          <w:p>
            <w:pPr>
              <w:spacing w:after="0" w:line="264" w:lineRule="auto"/>
            </w:pPr>
            <w:r>
              <w:rPr>
                <w:rFonts w:ascii="Calibri" w:hAnsi="Calibri"/>
                <w:b w:val="0"/>
                <w:color w:val="000000"/>
                <w:sz w:val="19"/>
              </w:rPr>
              <w:t>Enabled only when qualifying spectral peaks exist.</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Glue compressor</w:t>
            </w:r>
          </w:p>
        </w:tc>
        <w:tc>
          <w:tcPr>
            <w:tcW w:type="dxa" w:w="4300"/>
            <w:vAlign w:val="center"/>
            <w:tcMar>
              <w:top w:w="80" w:type="dxa"/>
              <w:start w:w="120" w:type="dxa"/>
              <w:bottom w:w="80" w:type="dxa"/>
              <w:end w:w="120" w:type="dxa"/>
            </w:tcMar>
          </w:tcPr>
          <w:p>
            <w:pPr>
              <w:spacing w:after="0" w:line="264" w:lineRule="auto"/>
            </w:pPr>
            <w:r>
              <w:rPr>
                <w:rFonts w:ascii="Calibri" w:hAnsi="Calibri"/>
                <w:b w:val="0"/>
                <w:color w:val="000000"/>
                <w:sz w:val="19"/>
              </w:rPr>
              <w:t>Stereo-linked, low-ratio broadband dynamics control.</w:t>
            </w:r>
          </w:p>
        </w:tc>
        <w:tc>
          <w:tcPr>
            <w:tcW w:type="dxa" w:w="2860"/>
            <w:vAlign w:val="center"/>
            <w:tcMar>
              <w:top w:w="80" w:type="dxa"/>
              <w:start w:w="120" w:type="dxa"/>
              <w:bottom w:w="80" w:type="dxa"/>
              <w:end w:w="120" w:type="dxa"/>
            </w:tcMar>
          </w:tcPr>
          <w:p>
            <w:pPr>
              <w:spacing w:after="0" w:line="264" w:lineRule="auto"/>
            </w:pPr>
            <w:r>
              <w:rPr>
                <w:rFonts w:ascii="Calibri" w:hAnsi="Calibri"/>
                <w:b w:val="0"/>
                <w:color w:val="000000"/>
                <w:sz w:val="19"/>
              </w:rPr>
              <w:t>Enabled only for the configured high-crest condition; makeup starts at 0 dB.</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Width / mono bass</w:t>
            </w:r>
          </w:p>
        </w:tc>
        <w:tc>
          <w:tcPr>
            <w:tcW w:type="dxa" w:w="4300"/>
            <w:vAlign w:val="center"/>
            <w:tcMar>
              <w:top w:w="80" w:type="dxa"/>
              <w:start w:w="120" w:type="dxa"/>
              <w:bottom w:w="80" w:type="dxa"/>
              <w:end w:w="120" w:type="dxa"/>
            </w:tcMar>
          </w:tcPr>
          <w:p>
            <w:pPr>
              <w:spacing w:after="0" w:line="264" w:lineRule="auto"/>
            </w:pPr>
            <w:r>
              <w:rPr>
                <w:rFonts w:ascii="Calibri" w:hAnsi="Calibri"/>
                <w:b w:val="0"/>
                <w:color w:val="000000"/>
                <w:sz w:val="19"/>
              </w:rPr>
              <w:t>Controls mid/side width and removes unsafe low-frequency side energy below the crossover.</w:t>
            </w:r>
          </w:p>
        </w:tc>
        <w:tc>
          <w:tcPr>
            <w:tcW w:type="dxa" w:w="2860"/>
            <w:vAlign w:val="center"/>
            <w:tcMar>
              <w:top w:w="80" w:type="dxa"/>
              <w:start w:w="120" w:type="dxa"/>
              <w:bottom w:w="80" w:type="dxa"/>
              <w:end w:w="120" w:type="dxa"/>
            </w:tcMar>
          </w:tcPr>
          <w:p>
            <w:pPr>
              <w:spacing w:after="0" w:line="264" w:lineRule="auto"/>
            </w:pPr>
            <w:r>
              <w:rPr>
                <w:rFonts w:ascii="Calibri" w:hAnsi="Calibri"/>
                <w:b w:val="0"/>
                <w:color w:val="000000"/>
                <w:sz w:val="19"/>
              </w:rPr>
              <w:t>Width remains 1.0 unless stereo measurements are unsafe.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True-peak limiter</w:t>
            </w:r>
          </w:p>
        </w:tc>
        <w:tc>
          <w:tcPr>
            <w:tcW w:type="dxa" w:w="4300"/>
            <w:vAlign w:val="center"/>
            <w:tcMar>
              <w:top w:w="80" w:type="dxa"/>
              <w:start w:w="120" w:type="dxa"/>
              <w:bottom w:w="80" w:type="dxa"/>
              <w:end w:w="120" w:type="dxa"/>
            </w:tcMar>
          </w:tcPr>
          <w:p>
            <w:pPr>
              <w:spacing w:after="0" w:line="264" w:lineRule="auto"/>
            </w:pPr>
            <w:r>
              <w:rPr>
                <w:rFonts w:ascii="Calibri" w:hAnsi="Calibri"/>
                <w:b w:val="0"/>
                <w:color w:val="000000"/>
                <w:sz w:val="19"/>
              </w:rPr>
              <w:t>Applies allowable gain and verifies the result with true-peak remeasurement.</w:t>
            </w:r>
          </w:p>
        </w:tc>
        <w:tc>
          <w:tcPr>
            <w:tcW w:type="dxa" w:w="2860"/>
            <w:vAlign w:val="center"/>
            <w:tcMar>
              <w:top w:w="80" w:type="dxa"/>
              <w:start w:w="120" w:type="dxa"/>
              <w:bottom w:w="80" w:type="dxa"/>
              <w:end w:w="120" w:type="dxa"/>
            </w:tcMar>
          </w:tcPr>
          <w:p>
            <w:pPr>
              <w:spacing w:after="0" w:line="264" w:lineRule="auto"/>
            </w:pPr>
            <w:r>
              <w:rPr>
                <w:rFonts w:ascii="Calibri" w:hAnsi="Calibri"/>
                <w:b w:val="0"/>
                <w:color w:val="000000"/>
                <w:sz w:val="19"/>
              </w:rPr>
              <w:t>Peak ceiling always wins over target loudness.</w:t>
            </w:r>
          </w:p>
        </w:tc>
      </w:tr>
    </w:tbl>
    <w:p>
      <w:pPr>
        <w:spacing w:after="40"/>
      </w:pPr>
    </w:p>
    <w:p>
      <w:pPr>
        <w:pStyle w:val="Heading2"/>
      </w:pPr>
      <w:r>
        <w:t>Bypass and editing</w:t>
      </w:r>
    </w:p>
    <w:p>
      <w:r>
        <w:rPr>
          <w:rFonts w:ascii="Calibri" w:hAnsi="Calibri"/>
          <w:b w:val="0"/>
          <w:color w:val="000000"/>
          <w:sz w:val="22"/>
        </w:rPr>
        <w:t>Each module has an independent checkbox. Uncheck it to bypass that stage. The report panel also exposes PARAM lines; advanced users may edit numeric values there. Do not rename PARAM keys or module indexes.</w:t>
      </w:r>
    </w:p>
    <w:p>
      <w:pPr>
        <w:pStyle w:val="Heading1"/>
      </w:pPr>
      <w:r>
        <w:t>7. Phase 2 DSP Modules</w:t>
      </w:r>
    </w:p>
    <w:tbl>
      <w:tblPr>
        <w:tblStyle w:val="TableGrid"/>
        <w:tblW w:type="dxa" w:w="9360"/>
        <w:tblLayout w:type="fixed"/>
        <w:tblLook w:firstColumn="1" w:firstRow="1" w:lastColumn="0" w:lastRow="0" w:noHBand="0" w:noVBand="1" w:val="04A0"/>
        <w:jc w:val="left"/>
        <w:tblInd w:type="dxa" w:w="120"/>
      </w:tblPr>
      <w:tblGrid>
        <w:gridCol w:w="2200"/>
        <w:gridCol w:w="4200"/>
        <w:gridCol w:w="29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20"/>
              </w:rPr>
              <w:t>Module</w:t>
            </w:r>
          </w:p>
        </w:tc>
        <w:tc>
          <w:tcPr>
            <w:tcW w:type="dxa" w:w="4200"/>
            <w:vAlign w:val="center"/>
            <w:tcMar>
              <w:top w:w="80" w:type="dxa"/>
              <w:start w:w="120" w:type="dxa"/>
              <w:bottom w:w="80" w:type="dxa"/>
              <w:end w:w="120" w:type="dxa"/>
            </w:tcMar>
            <w:shd w:fill="E8EEF5"/>
          </w:tcPr>
          <w:p>
            <w:pPr>
              <w:spacing w:after="0"/>
            </w:pPr>
            <w:r>
              <w:rPr>
                <w:rFonts w:ascii="Calibri" w:hAnsi="Calibri"/>
                <w:b/>
                <w:color w:val="0B2545"/>
                <w:sz w:val="20"/>
              </w:rPr>
              <w:t>Processing behavior</w:t>
            </w:r>
          </w:p>
        </w:tc>
        <w:tc>
          <w:tcPr>
            <w:tcW w:type="dxa" w:w="2960"/>
            <w:vAlign w:val="center"/>
            <w:tcMar>
              <w:top w:w="80" w:type="dxa"/>
              <w:start w:w="120" w:type="dxa"/>
              <w:bottom w:w="80" w:type="dxa"/>
              <w:end w:w="120" w:type="dxa"/>
            </w:tcMar>
            <w:shd w:fill="E8EEF5"/>
          </w:tcPr>
          <w:p>
            <w:pPr>
              <w:spacing w:after="0"/>
            </w:pPr>
            <w:r>
              <w:rPr>
                <w:rFonts w:ascii="Calibri" w:hAnsi="Calibri"/>
                <w:b/>
                <w:color w:val="0B2545"/>
                <w:sz w:val="20"/>
              </w:rPr>
              <w:t>Safety behavior</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Dynamic EQ</w:t>
            </w:r>
          </w:p>
        </w:tc>
        <w:tc>
          <w:tcPr>
            <w:tcW w:type="dxa" w:w="4200"/>
            <w:vAlign w:val="center"/>
            <w:tcMar>
              <w:top w:w="80" w:type="dxa"/>
              <w:start w:w="120" w:type="dxa"/>
              <w:bottom w:w="80" w:type="dxa"/>
              <w:end w:w="120" w:type="dxa"/>
            </w:tcMar>
          </w:tcPr>
          <w:p>
            <w:pPr>
              <w:spacing w:after="0" w:line="264" w:lineRule="auto"/>
            </w:pPr>
            <w:r>
              <w:rPr>
                <w:rFonts w:ascii="Calibri" w:hAnsi="Calibri"/>
                <w:b w:val="0"/>
                <w:color w:val="000000"/>
                <w:sz w:val="19"/>
              </w:rPr>
              <w:t>Stereo-linked, band-specific dynamic attenuation driven by filtered energy.</w:t>
            </w:r>
          </w:p>
        </w:tc>
        <w:tc>
          <w:tcPr>
            <w:tcW w:type="dxa" w:w="2960"/>
            <w:vAlign w:val="center"/>
            <w:tcMar>
              <w:top w:w="80" w:type="dxa"/>
              <w:start w:w="120" w:type="dxa"/>
              <w:bottom w:w="80" w:type="dxa"/>
              <w:end w:w="120" w:type="dxa"/>
            </w:tcMar>
          </w:tcPr>
          <w:p>
            <w:pPr>
              <w:spacing w:after="0" w:line="264" w:lineRule="auto"/>
            </w:pPr>
            <w:r>
              <w:rPr>
                <w:rFonts w:ascii="Calibri" w:hAnsi="Calibri"/>
                <w:b w:val="0"/>
                <w:color w:val="000000"/>
                <w:sz w:val="19"/>
              </w:rPr>
              <w:t>Corrective cuts only; configurable threshold, Q, timing, and maximum cut.</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De-Esser</w:t>
            </w:r>
          </w:p>
        </w:tc>
        <w:tc>
          <w:tcPr>
            <w:tcW w:type="dxa" w:w="4200"/>
            <w:vAlign w:val="center"/>
            <w:tcMar>
              <w:top w:w="80" w:type="dxa"/>
              <w:start w:w="120" w:type="dxa"/>
              <w:bottom w:w="80" w:type="dxa"/>
              <w:end w:w="120" w:type="dxa"/>
            </w:tcMar>
          </w:tcPr>
          <w:p>
            <w:pPr>
              <w:spacing w:after="0" w:line="264" w:lineRule="auto"/>
            </w:pPr>
            <w:r>
              <w:rPr>
                <w:rFonts w:ascii="Calibri" w:hAnsi="Calibri"/>
                <w:b w:val="0"/>
                <w:color w:val="000000"/>
                <w:sz w:val="19"/>
              </w:rPr>
              <w:t>Detects and attenuates excessive high-frequency/sibilant-band energy.</w:t>
            </w:r>
          </w:p>
        </w:tc>
        <w:tc>
          <w:tcPr>
            <w:tcW w:type="dxa" w:w="2960"/>
            <w:vAlign w:val="center"/>
            <w:tcMar>
              <w:top w:w="80" w:type="dxa"/>
              <w:start w:w="120" w:type="dxa"/>
              <w:bottom w:w="80" w:type="dxa"/>
              <w:end w:w="120" w:type="dxa"/>
            </w:tcMar>
          </w:tcPr>
          <w:p>
            <w:pPr>
              <w:spacing w:after="0" w:line="264" w:lineRule="auto"/>
            </w:pPr>
            <w:r>
              <w:rPr>
                <w:rFonts w:ascii="Calibri" w:hAnsi="Calibri"/>
                <w:b w:val="0"/>
                <w:color w:val="000000"/>
                <w:sz w:val="19"/>
              </w:rPr>
              <w:t>Stereo-linked; bounded maximum reduction; bypass-safe.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Multiband compressor</w:t>
            </w:r>
          </w:p>
        </w:tc>
        <w:tc>
          <w:tcPr>
            <w:tcW w:type="dxa" w:w="4200"/>
            <w:vAlign w:val="center"/>
            <w:tcMar>
              <w:top w:w="80" w:type="dxa"/>
              <w:start w:w="120" w:type="dxa"/>
              <w:bottom w:w="80" w:type="dxa"/>
              <w:end w:w="120" w:type="dxa"/>
            </w:tcMar>
          </w:tcPr>
          <w:p>
            <w:pPr>
              <w:spacing w:after="0" w:line="264" w:lineRule="auto"/>
            </w:pPr>
            <w:r>
              <w:rPr>
                <w:rFonts w:ascii="Calibri" w:hAnsi="Calibri"/>
                <w:b w:val="0"/>
                <w:color w:val="000000"/>
                <w:sz w:val="19"/>
              </w:rPr>
              <w:t>Complementary low/mid/high crossover split with independent band dynamics.</w:t>
            </w:r>
          </w:p>
        </w:tc>
        <w:tc>
          <w:tcPr>
            <w:tcW w:type="dxa" w:w="2960"/>
            <w:vAlign w:val="center"/>
            <w:tcMar>
              <w:top w:w="80" w:type="dxa"/>
              <w:start w:w="120" w:type="dxa"/>
              <w:bottom w:w="80" w:type="dxa"/>
              <w:end w:w="120" w:type="dxa"/>
            </w:tcMar>
          </w:tcPr>
          <w:p>
            <w:pPr>
              <w:spacing w:after="0" w:line="264" w:lineRule="auto"/>
            </w:pPr>
            <w:r>
              <w:rPr>
                <w:rFonts w:ascii="Calibri" w:hAnsi="Calibri"/>
                <w:b w:val="0"/>
                <w:color w:val="000000"/>
                <w:sz w:val="19"/>
              </w:rPr>
              <w:t>Exact reconstruction within numerical tolerance when compression is inactive.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Tape/tube saturation</w:t>
            </w:r>
          </w:p>
        </w:tc>
        <w:tc>
          <w:tcPr>
            <w:tcW w:type="dxa" w:w="4200"/>
            <w:vAlign w:val="center"/>
            <w:tcMar>
              <w:top w:w="80" w:type="dxa"/>
              <w:start w:w="120" w:type="dxa"/>
              <w:bottom w:w="80" w:type="dxa"/>
              <w:end w:w="120" w:type="dxa"/>
            </w:tcMar>
          </w:tcPr>
          <w:p>
            <w:pPr>
              <w:spacing w:after="0" w:line="264" w:lineRule="auto"/>
            </w:pPr>
            <w:r>
              <w:rPr>
                <w:rFonts w:ascii="Calibri" w:hAnsi="Calibri"/>
                <w:b w:val="0"/>
                <w:color w:val="000000"/>
                <w:sz w:val="19"/>
              </w:rPr>
              <w:t>Symmetric tape-style or mildly asymmetric tube-style nonlinear shaping.</w:t>
            </w:r>
          </w:p>
        </w:tc>
        <w:tc>
          <w:tcPr>
            <w:tcW w:type="dxa" w:w="2960"/>
            <w:vAlign w:val="center"/>
            <w:tcMar>
              <w:top w:w="80" w:type="dxa"/>
              <w:start w:w="120" w:type="dxa"/>
              <w:bottom w:w="80" w:type="dxa"/>
              <w:end w:w="120" w:type="dxa"/>
            </w:tcMar>
          </w:tcPr>
          <w:p>
            <w:pPr>
              <w:spacing w:after="0" w:line="264" w:lineRule="auto"/>
            </w:pPr>
            <w:r>
              <w:rPr>
                <w:rFonts w:ascii="Calibri" w:hAnsi="Calibri"/>
                <w:b w:val="0"/>
                <w:color w:val="000000"/>
                <w:sz w:val="19"/>
              </w:rPr>
              <w:t>4× internal oversampling, DC removal, capped RMS compensation, wet/dry mix, hard output ceiling.</w:t>
            </w:r>
          </w:p>
        </w:tc>
      </w:tr>
    </w:tbl>
    <w:p>
      <w:pPr>
        <w:spacing w:after="40"/>
      </w:pPr>
    </w:p>
    <w:p>
      <w:r>
        <w:rPr>
          <w:rFonts w:ascii="Calibri" w:hAnsi="Calibri"/>
          <w:b w:val="0"/>
          <w:color w:val="000000"/>
          <w:sz w:val="22"/>
        </w:rPr>
        <w:t>Dynamic EQ and multiband compression may be activated by reference-driven rules. De-essing and saturation are available but begin bypassed unless the user deliberately enables them.</w:t>
      </w:r>
    </w:p>
    <w:p>
      <w:pPr>
        <w:pStyle w:val="Heading1"/>
      </w:pPr>
      <w:r>
        <w:t>8. Reference-Track Matching</w:t>
      </w:r>
    </w:p>
    <w:p>
      <w:pPr>
        <w:pStyle w:val="Heading2"/>
      </w:pPr>
      <w:r>
        <w:t>Load a reference</w:t>
      </w:r>
    </w:p>
    <w:p>
      <w:pPr>
        <w:pStyle w:val="ListNumber"/>
      </w:pPr>
      <w:r>
        <w:rPr>
          <w:rFonts w:ascii="Calibri" w:hAnsi="Calibri"/>
          <w:color w:val="000000"/>
          <w:sz w:val="22"/>
        </w:rPr>
        <w:t>Load the mix first.</w:t>
      </w:r>
    </w:p>
    <w:p>
      <w:pPr>
        <w:pStyle w:val="ListNumber"/>
      </w:pPr>
      <w:r>
        <w:rPr>
          <w:rFonts w:ascii="Calibri" w:hAnsi="Calibri"/>
          <w:color w:val="000000"/>
          <w:sz w:val="22"/>
        </w:rPr>
        <w:t>Click Choose Reference and select a stereo WAV, AIFF, or FLAC.</w:t>
      </w:r>
    </w:p>
    <w:p>
      <w:pPr>
        <w:pStyle w:val="ListNumber"/>
      </w:pPr>
      <w:r>
        <w:rPr>
          <w:rFonts w:ascii="Calibri" w:hAnsi="Calibri"/>
          <w:color w:val="000000"/>
          <w:sz w:val="22"/>
        </w:rPr>
        <w:t>Dozi automatically reruns source and reference analysis.</w:t>
      </w:r>
    </w:p>
    <w:p>
      <w:pPr>
        <w:pStyle w:val="ListNumber"/>
      </w:pPr>
      <w:r>
        <w:rPr>
          <w:rFonts w:ascii="Calibri" w:hAnsi="Calibri"/>
          <w:color w:val="000000"/>
          <w:sz w:val="22"/>
        </w:rPr>
        <w:t>Review the reference-driven rule traces and enabled Phase 2 modules.</w:t>
      </w:r>
    </w:p>
    <w:p>
      <w:pPr>
        <w:pStyle w:val="Heading2"/>
      </w:pPr>
      <w:r>
        <w:t>Compatibility rules</w:t>
      </w:r>
    </w:p>
    <w:p>
      <w:pPr>
        <w:pStyle w:val="ListBullet"/>
      </w:pPr>
      <w:r>
        <w:rPr>
          <w:rFonts w:ascii="Calibri" w:hAnsi="Calibri"/>
          <w:color w:val="000000"/>
          <w:sz w:val="22"/>
        </w:rPr>
        <w:t>Source and reference must both be stereo.</w:t>
      </w:r>
    </w:p>
    <w:p>
      <w:pPr>
        <w:pStyle w:val="ListBullet"/>
      </w:pPr>
      <w:r>
        <w:rPr>
          <w:rFonts w:ascii="Calibri" w:hAnsi="Calibri"/>
          <w:color w:val="000000"/>
          <w:sz w:val="22"/>
        </w:rPr>
        <w:t>Source and reference must have the same sample rate.</w:t>
      </w:r>
    </w:p>
    <w:p>
      <w:pPr>
        <w:pStyle w:val="ListBullet"/>
      </w:pPr>
      <w:r>
        <w:rPr>
          <w:rFonts w:ascii="Calibri" w:hAnsi="Calibri"/>
          <w:color w:val="000000"/>
          <w:sz w:val="22"/>
        </w:rPr>
        <w:t>Incompatible references are blocked with an actionable message.</w:t>
      </w:r>
    </w:p>
    <w:p>
      <w:pPr>
        <w:pStyle w:val="Heading2"/>
      </w:pPr>
      <w:r>
        <w:t>What is compared</w:t>
      </w:r>
    </w:p>
    <w:p>
      <w:pPr>
        <w:pStyle w:val="ListBullet"/>
      </w:pPr>
      <w:r>
        <w:rPr>
          <w:rFonts w:ascii="Calibri" w:hAnsi="Calibri"/>
          <w:color w:val="000000"/>
          <w:sz w:val="22"/>
        </w:rPr>
        <w:t>Integrated loudness and true peak.</w:t>
      </w:r>
    </w:p>
    <w:p>
      <w:pPr>
        <w:pStyle w:val="ListBullet"/>
      </w:pPr>
      <w:r>
        <w:rPr>
          <w:rFonts w:ascii="Calibri" w:hAnsi="Calibri"/>
          <w:color w:val="000000"/>
          <w:sz w:val="22"/>
        </w:rPr>
        <w:t>Crest factor and dynamics relationship.</w:t>
      </w:r>
    </w:p>
    <w:p>
      <w:pPr>
        <w:pStyle w:val="ListBullet"/>
      </w:pPr>
      <w:r>
        <w:rPr>
          <w:rFonts w:ascii="Calibri" w:hAnsi="Calibri"/>
          <w:color w:val="000000"/>
          <w:sz w:val="22"/>
        </w:rPr>
        <w:t>Phase correlation and mono compatibility.</w:t>
      </w:r>
    </w:p>
    <w:p>
      <w:pPr>
        <w:pStyle w:val="ListBullet"/>
      </w:pPr>
      <w:r>
        <w:rPr>
          <w:rFonts w:ascii="Calibri" w:hAnsi="Calibri"/>
          <w:color w:val="000000"/>
          <w:sz w:val="22"/>
        </w:rPr>
        <w:t>Spectral centroid.</w:t>
      </w:r>
    </w:p>
    <w:p>
      <w:pPr>
        <w:pStyle w:val="ListBullet"/>
      </w:pPr>
      <w:r>
        <w:rPr>
          <w:rFonts w:ascii="Calibri" w:hAnsi="Calibri"/>
          <w:color w:val="000000"/>
          <w:sz w:val="22"/>
        </w:rPr>
        <w:t>Relative energy in matching frequency bands.</w:t>
      </w:r>
    </w:p>
    <w:p>
      <w:pPr>
        <w:pStyle w:val="Callout"/>
        <w:shd w:fill="F4F6F9"/>
        <w:pBdr>
          <w:left w:val="single" w:sz="18" w:space="8" w:color="2D6A4F"/>
        </w:pBdr>
      </w:pPr>
      <w:r>
        <w:rPr>
          <w:rFonts w:ascii="Calibri" w:hAnsi="Calibri"/>
          <w:b/>
          <w:color w:val="2D6A4F"/>
          <w:sz w:val="21"/>
        </w:rPr>
        <w:t xml:space="preserve">NORMALIZED TONAL COMPARISON  </w:t>
      </w:r>
      <w:r>
        <w:rPr>
          <w:rFonts w:ascii="Calibri" w:hAnsi="Calibri"/>
          <w:b w:val="0"/>
          <w:color w:val="0B2545"/>
          <w:sz w:val="21"/>
        </w:rPr>
        <w:t>Band-energy shapes are normalized before comparison, preventing a simple level difference from being misinterpreted as an EQ difference.</w:t>
      </w:r>
    </w:p>
    <w:p>
      <w:r>
        <w:rPr>
          <w:rFonts w:ascii="Calibri" w:hAnsi="Calibri"/>
          <w:b w:val="0"/>
          <w:color w:val="000000"/>
          <w:sz w:val="22"/>
        </w:rPr>
        <w:t>Automatic reference EQ remains corrective. If the mix is deficient in a band relative to the reference, Dozi does not invent an automatic boost. Excess energy may receive a bounded cut.</w:t>
      </w:r>
    </w:p>
    <w:p>
      <w:pPr>
        <w:pStyle w:val="Heading1"/>
      </w:pPr>
      <w:r>
        <w:t>9. Loudness Targets</w:t>
      </w:r>
    </w:p>
    <w:tbl>
      <w:tblPr>
        <w:tblStyle w:val="TableGrid"/>
        <w:tblW w:type="dxa" w:w="9360"/>
        <w:tblLayout w:type="fixed"/>
        <w:tblLook w:firstColumn="1" w:firstRow="1" w:lastColumn="0" w:lastRow="0" w:noHBand="0" w:noVBand="1" w:val="04A0"/>
        <w:jc w:val="left"/>
        <w:tblInd w:type="dxa" w:w="120"/>
      </w:tblPr>
      <w:tblGrid>
        <w:gridCol w:w="2100"/>
        <w:gridCol w:w="2000"/>
        <w:gridCol w:w="2000"/>
        <w:gridCol w:w="3260"/>
      </w:tblGrid>
      <w:tr>
        <w:trPr>
          <w:tblHeader w:val="true"/>
        </w:trPr>
        <w:tc>
          <w:tcPr>
            <w:tcW w:type="dxa" w:w="2100"/>
            <w:vAlign w:val="center"/>
            <w:tcMar>
              <w:top w:w="80" w:type="dxa"/>
              <w:start w:w="120" w:type="dxa"/>
              <w:bottom w:w="80" w:type="dxa"/>
              <w:end w:w="120" w:type="dxa"/>
            </w:tcMar>
            <w:shd w:fill="E8EEF5"/>
          </w:tcPr>
          <w:p>
            <w:pPr>
              <w:spacing w:after="0"/>
            </w:pPr>
            <w:r>
              <w:rPr>
                <w:rFonts w:ascii="Calibri" w:hAnsi="Calibri"/>
                <w:b/>
                <w:color w:val="0B2545"/>
                <w:sz w:val="20"/>
              </w:rPr>
              <w:t>Preset</w:t>
            </w:r>
          </w:p>
        </w:tc>
        <w:tc>
          <w:tcPr>
            <w:tcW w:type="dxa" w:w="2000"/>
            <w:vAlign w:val="center"/>
            <w:tcMar>
              <w:top w:w="80" w:type="dxa"/>
              <w:start w:w="120" w:type="dxa"/>
              <w:bottom w:w="80" w:type="dxa"/>
              <w:end w:w="120" w:type="dxa"/>
            </w:tcMar>
            <w:shd w:fill="E8EEF5"/>
          </w:tcPr>
          <w:p>
            <w:pPr>
              <w:spacing w:after="0"/>
            </w:pPr>
            <w:r>
              <w:rPr>
                <w:rFonts w:ascii="Calibri" w:hAnsi="Calibri"/>
                <w:b/>
                <w:color w:val="0B2545"/>
                <w:sz w:val="20"/>
              </w:rPr>
              <w:t>Integrated target</w:t>
            </w:r>
          </w:p>
        </w:tc>
        <w:tc>
          <w:tcPr>
            <w:tcW w:type="dxa" w:w="2000"/>
            <w:vAlign w:val="center"/>
            <w:tcMar>
              <w:top w:w="80" w:type="dxa"/>
              <w:start w:w="120" w:type="dxa"/>
              <w:bottom w:w="80" w:type="dxa"/>
              <w:end w:w="120" w:type="dxa"/>
            </w:tcMar>
            <w:shd w:fill="E8EEF5"/>
          </w:tcPr>
          <w:p>
            <w:pPr>
              <w:spacing w:after="0"/>
            </w:pPr>
            <w:r>
              <w:rPr>
                <w:rFonts w:ascii="Calibri" w:hAnsi="Calibri"/>
                <w:b/>
                <w:color w:val="0B2545"/>
                <w:sz w:val="20"/>
              </w:rPr>
              <w:t>True-peak ceiling</w:t>
            </w:r>
          </w:p>
        </w:tc>
        <w:tc>
          <w:tcPr>
            <w:tcW w:type="dxa" w:w="3260"/>
            <w:vAlign w:val="center"/>
            <w:tcMar>
              <w:top w:w="80" w:type="dxa"/>
              <w:start w:w="120" w:type="dxa"/>
              <w:bottom w:w="80" w:type="dxa"/>
              <w:end w:w="120" w:type="dxa"/>
            </w:tcMar>
            <w:shd w:fill="E8EEF5"/>
          </w:tcPr>
          <w:p>
            <w:pPr>
              <w:spacing w:after="0"/>
            </w:pPr>
            <w:r>
              <w:rPr>
                <w:rFonts w:ascii="Calibri" w:hAnsi="Calibri"/>
                <w:b/>
                <w:color w:val="0B2545"/>
                <w:sz w:val="20"/>
              </w:rPr>
              <w:t>Status</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color w:val="000000"/>
                <w:sz w:val="19"/>
              </w:rPr>
              <w:t>Spotify Normal</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−14 LUFS</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−1 dBTP</w:t>
            </w:r>
          </w:p>
        </w:tc>
        <w:tc>
          <w:tcPr>
            <w:tcW w:type="dxa" w:w="3260"/>
            <w:vAlign w:val="center"/>
            <w:tcMar>
              <w:top w:w="80" w:type="dxa"/>
              <w:start w:w="120" w:type="dxa"/>
              <w:bottom w:w="80" w:type="dxa"/>
              <w:end w:w="120" w:type="dxa"/>
            </w:tcMar>
          </w:tcPr>
          <w:p>
            <w:pPr>
              <w:spacing w:after="0" w:line="264" w:lineRule="auto"/>
            </w:pPr>
            <w:r>
              <w:rPr>
                <w:rFonts w:ascii="Calibri" w:hAnsi="Calibri"/>
                <w:b w:val="0"/>
                <w:color w:val="000000"/>
                <w:sz w:val="19"/>
              </w:rPr>
              <w:t>Verified first-party guidance.</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color w:val="000000"/>
                <w:sz w:val="19"/>
              </w:rPr>
              <w:t>Spotify Loud</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−11 LUFS</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−2 dBTP</w:t>
            </w:r>
          </w:p>
        </w:tc>
        <w:tc>
          <w:tcPr>
            <w:tcW w:type="dxa" w:w="3260"/>
            <w:vAlign w:val="center"/>
            <w:tcMar>
              <w:top w:w="80" w:type="dxa"/>
              <w:start w:w="120" w:type="dxa"/>
              <w:bottom w:w="80" w:type="dxa"/>
              <w:end w:w="120" w:type="dxa"/>
            </w:tcMar>
          </w:tcPr>
          <w:p>
            <w:pPr>
              <w:spacing w:after="0" w:line="264" w:lineRule="auto"/>
            </w:pPr>
            <w:r>
              <w:rPr>
                <w:rFonts w:ascii="Calibri" w:hAnsi="Calibri"/>
                <w:b w:val="0"/>
                <w:color w:val="000000"/>
                <w:sz w:val="19"/>
              </w:rPr>
              <w:t>Spotify Loud mode plus louder-master true-peak guidance.</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color w:val="000000"/>
                <w:sz w:val="19"/>
              </w:rPr>
              <w:t>Spotify Quiet</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−19 LUFS</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−1 dBTP</w:t>
            </w:r>
          </w:p>
        </w:tc>
        <w:tc>
          <w:tcPr>
            <w:tcW w:type="dxa" w:w="3260"/>
            <w:vAlign w:val="center"/>
            <w:tcMar>
              <w:top w:w="80" w:type="dxa"/>
              <w:start w:w="120" w:type="dxa"/>
              <w:bottom w:w="80" w:type="dxa"/>
              <w:end w:w="120" w:type="dxa"/>
            </w:tcMar>
          </w:tcPr>
          <w:p>
            <w:pPr>
              <w:spacing w:after="0" w:line="264" w:lineRule="auto"/>
            </w:pPr>
            <w:r>
              <w:rPr>
                <w:rFonts w:ascii="Calibri" w:hAnsi="Calibri"/>
                <w:b w:val="0"/>
                <w:color w:val="000000"/>
                <w:sz w:val="19"/>
              </w:rPr>
              <w:t>Verified Quiet playback mode; conservative published mastering ceiling.</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color w:val="000000"/>
                <w:sz w:val="19"/>
              </w:rPr>
              <w:t>Custom</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User-selected</w:t>
            </w:r>
          </w:p>
        </w:tc>
        <w:tc>
          <w:tcPr>
            <w:tcW w:type="dxa" w:w="2000"/>
            <w:vAlign w:val="center"/>
            <w:tcMar>
              <w:top w:w="80" w:type="dxa"/>
              <w:start w:w="120" w:type="dxa"/>
              <w:bottom w:w="80" w:type="dxa"/>
              <w:end w:w="120" w:type="dxa"/>
            </w:tcMar>
          </w:tcPr>
          <w:p>
            <w:pPr>
              <w:spacing w:after="0" w:line="264" w:lineRule="auto"/>
            </w:pPr>
            <w:r>
              <w:rPr>
                <w:rFonts w:ascii="Calibri" w:hAnsi="Calibri"/>
                <w:b w:val="0"/>
                <w:color w:val="000000"/>
                <w:sz w:val="19"/>
              </w:rPr>
              <w:t>User-selected</w:t>
            </w:r>
          </w:p>
        </w:tc>
        <w:tc>
          <w:tcPr>
            <w:tcW w:type="dxa" w:w="3260"/>
            <w:vAlign w:val="center"/>
            <w:tcMar>
              <w:top w:w="80" w:type="dxa"/>
              <w:start w:w="120" w:type="dxa"/>
              <w:bottom w:w="80" w:type="dxa"/>
              <w:end w:w="120" w:type="dxa"/>
            </w:tcMar>
          </w:tcPr>
          <w:p>
            <w:pPr>
              <w:spacing w:after="0" w:line="264" w:lineRule="auto"/>
            </w:pPr>
            <w:r>
              <w:rPr>
                <w:rFonts w:ascii="Calibri" w:hAnsi="Calibri"/>
                <w:b w:val="0"/>
                <w:color w:val="000000"/>
                <w:sz w:val="19"/>
              </w:rPr>
              <w:t>Not labeled as platform-certified.</w:t>
            </w:r>
          </w:p>
        </w:tc>
      </w:tr>
    </w:tbl>
    <w:p>
      <w:pPr>
        <w:spacing w:after="40"/>
      </w:pPr>
    </w:p>
    <w:p>
      <w:r>
        <w:rPr>
          <w:rFonts w:ascii="Calibri" w:hAnsi="Calibri"/>
          <w:b w:val="0"/>
          <w:color w:val="000000"/>
          <w:sz w:val="22"/>
        </w:rPr>
        <w:t>Source: Spotify for Artists, “Loudness normalization on Spotify,” verified August 8, 2026: https://support.spotify.com/us/artists/article/loudness-normalization/</w:t>
      </w:r>
    </w:p>
    <w:p>
      <w:pPr>
        <w:pStyle w:val="Callout"/>
        <w:shd w:fill="F4F6F9"/>
        <w:pBdr>
          <w:left w:val="single" w:sz="18" w:space="8" w:color="7A5A00"/>
        </w:pBdr>
      </w:pPr>
      <w:r>
        <w:rPr>
          <w:rFonts w:ascii="Calibri" w:hAnsi="Calibri"/>
          <w:b/>
          <w:color w:val="7A5A00"/>
          <w:sz w:val="21"/>
        </w:rPr>
        <w:t xml:space="preserve">NO UNSOURCED PLATFORM CLAIMS  </w:t>
      </w:r>
      <w:r>
        <w:rPr>
          <w:rFonts w:ascii="Calibri" w:hAnsi="Calibri"/>
          <w:b w:val="0"/>
          <w:color w:val="0B2545"/>
          <w:sz w:val="21"/>
        </w:rPr>
        <w:t>Apple Music and YouTube are not presented as official presets because a current first-party fixed mastering target was not verified. Use Custom when another delivery specification is required.</w:t>
      </w:r>
    </w:p>
    <w:p>
      <w:pPr>
        <w:pStyle w:val="Heading1"/>
      </w:pPr>
      <w:r>
        <w:t>10. Mastering Versions</w:t>
      </w:r>
    </w:p>
    <w:p>
      <w:pPr>
        <w:pStyle w:val="Heading2"/>
      </w:pPr>
      <w:r>
        <w:t>Save a version</w:t>
      </w:r>
    </w:p>
    <w:p>
      <w:pPr>
        <w:pStyle w:val="ListNumber"/>
      </w:pPr>
      <w:r>
        <w:rPr>
          <w:rFonts w:ascii="Calibri" w:hAnsi="Calibri"/>
          <w:color w:val="000000"/>
          <w:sz w:val="22"/>
        </w:rPr>
        <w:t>Analyze a mix and make the desired module or parameter changes.</w:t>
      </w:r>
    </w:p>
    <w:p>
      <w:pPr>
        <w:pStyle w:val="ListNumber"/>
      </w:pPr>
      <w:r>
        <w:rPr>
          <w:rFonts w:ascii="Calibri" w:hAnsi="Calibri"/>
          <w:color w:val="000000"/>
          <w:sz w:val="22"/>
        </w:rPr>
        <w:t>Click Save Version.</w:t>
      </w:r>
    </w:p>
    <w:p>
      <w:pPr>
        <w:pStyle w:val="ListNumber"/>
      </w:pPr>
      <w:r>
        <w:rPr>
          <w:rFonts w:ascii="Calibri" w:hAnsi="Calibri"/>
          <w:color w:val="000000"/>
          <w:sz w:val="22"/>
        </w:rPr>
        <w:t>Choose a name ending in .dozimaster.</w:t>
      </w:r>
    </w:p>
    <w:p>
      <w:pPr>
        <w:pStyle w:val="ListNumber"/>
      </w:pPr>
      <w:r>
        <w:rPr>
          <w:rFonts w:ascii="Calibri" w:hAnsi="Calibri"/>
          <w:color w:val="000000"/>
          <w:sz w:val="22"/>
        </w:rPr>
        <w:t>Keep the version file with the project or mastering notes.</w:t>
      </w:r>
    </w:p>
    <w:p>
      <w:pPr>
        <w:pStyle w:val="Heading2"/>
      </w:pPr>
      <w:r>
        <w:t>Restore a version</w:t>
      </w:r>
    </w:p>
    <w:p>
      <w:pPr>
        <w:pStyle w:val="ListNumber"/>
      </w:pPr>
      <w:r>
        <w:rPr>
          <w:rFonts w:ascii="Calibri" w:hAnsi="Calibri"/>
          <w:color w:val="000000"/>
          <w:sz w:val="22"/>
        </w:rPr>
        <w:t>Click Restore Version.</w:t>
      </w:r>
    </w:p>
    <w:p>
      <w:pPr>
        <w:pStyle w:val="ListNumber"/>
      </w:pPr>
      <w:r>
        <w:rPr>
          <w:rFonts w:ascii="Calibri" w:hAnsi="Calibri"/>
          <w:color w:val="000000"/>
          <w:sz w:val="22"/>
        </w:rPr>
        <w:t>Select a .dozimaster file.</w:t>
      </w:r>
    </w:p>
    <w:p>
      <w:pPr>
        <w:pStyle w:val="ListNumber"/>
      </w:pPr>
      <w:r>
        <w:rPr>
          <w:rFonts w:ascii="Calibri" w:hAnsi="Calibri"/>
          <w:color w:val="000000"/>
          <w:sz w:val="22"/>
        </w:rPr>
        <w:t>Dozi restores the target, module order/types, bypass states, parameters, and decision traces.</w:t>
      </w:r>
    </w:p>
    <w:p>
      <w:pPr>
        <w:pStyle w:val="Heading2"/>
      </w:pPr>
      <w:r>
        <w:t>Compare versions</w:t>
      </w:r>
    </w:p>
    <w:p>
      <w:pPr>
        <w:pStyle w:val="ListNumber"/>
      </w:pPr>
      <w:r>
        <w:rPr>
          <w:rFonts w:ascii="Calibri" w:hAnsi="Calibri"/>
          <w:color w:val="000000"/>
          <w:sz w:val="22"/>
        </w:rPr>
        <w:t>Keep the current plan open.</w:t>
      </w:r>
    </w:p>
    <w:p>
      <w:pPr>
        <w:pStyle w:val="ListNumber"/>
      </w:pPr>
      <w:r>
        <w:rPr>
          <w:rFonts w:ascii="Calibri" w:hAnsi="Calibri"/>
          <w:color w:val="000000"/>
          <w:sz w:val="22"/>
        </w:rPr>
        <w:t>Click Compare Version and select another saved version.</w:t>
      </w:r>
    </w:p>
    <w:p>
      <w:pPr>
        <w:pStyle w:val="ListNumber"/>
      </w:pPr>
      <w:r>
        <w:rPr>
          <w:rFonts w:ascii="Calibri" w:hAnsi="Calibri"/>
          <w:color w:val="000000"/>
          <w:sz w:val="22"/>
        </w:rPr>
        <w:t>Read the differences shown in the report panel. Comparison does not render or modify audio.</w:t>
      </w:r>
    </w:p>
    <w:p>
      <w:pPr>
        <w:pStyle w:val="Callout"/>
        <w:shd w:fill="F4F6F9"/>
        <w:pBdr>
          <w:left w:val="single" w:sz="18" w:space="8" w:color="2D6A4F"/>
        </w:pBdr>
      </w:pPr>
      <w:r>
        <w:rPr>
          <w:rFonts w:ascii="Calibri" w:hAnsi="Calibri"/>
          <w:b/>
          <w:color w:val="2D6A4F"/>
          <w:sz w:val="21"/>
        </w:rPr>
        <w:t xml:space="preserve">ATOMIC SAVE  </w:t>
      </w:r>
      <w:r>
        <w:rPr>
          <w:rFonts w:ascii="Calibri" w:hAnsi="Calibri"/>
          <w:b w:val="0"/>
          <w:color w:val="0B2545"/>
          <w:sz w:val="21"/>
        </w:rPr>
        <w:t>Version saving writes a temporary file and commits it atomically. Unsupported format or plan-schema versions are rejected.</w:t>
      </w:r>
    </w:p>
    <w:p>
      <w:pPr>
        <w:pStyle w:val="Heading1"/>
      </w:pPr>
      <w:r>
        <w:t>11. Export and A/B Listening</w:t>
      </w:r>
    </w:p>
    <w:p>
      <w:pPr>
        <w:pStyle w:val="Heading2"/>
      </w:pPr>
      <w:r>
        <w:t>Export workflow</w:t>
      </w:r>
    </w:p>
    <w:p>
      <w:pPr>
        <w:pStyle w:val="ListNumber"/>
      </w:pPr>
      <w:r>
        <w:rPr>
          <w:rFonts w:ascii="Calibri" w:hAnsi="Calibri"/>
          <w:color w:val="000000"/>
          <w:sz w:val="22"/>
        </w:rPr>
        <w:t>Click Export Master and choose a new WAV destination.</w:t>
      </w:r>
    </w:p>
    <w:p>
      <w:pPr>
        <w:pStyle w:val="ListNumber"/>
      </w:pPr>
      <w:r>
        <w:rPr>
          <w:rFonts w:ascii="Calibri" w:hAnsi="Calibri"/>
          <w:color w:val="000000"/>
          <w:sz w:val="22"/>
        </w:rPr>
        <w:t>Dozi processes internally in floating point through the selected module chain.</w:t>
      </w:r>
    </w:p>
    <w:p>
      <w:pPr>
        <w:pStyle w:val="ListNumber"/>
      </w:pPr>
      <w:r>
        <w:rPr>
          <w:rFonts w:ascii="Calibri" w:hAnsi="Calibri"/>
          <w:color w:val="000000"/>
          <w:sz w:val="22"/>
        </w:rPr>
        <w:t>The app writes a partial file, then commits it only after writing succeeds.</w:t>
      </w:r>
    </w:p>
    <w:p>
      <w:pPr>
        <w:pStyle w:val="ListNumber"/>
      </w:pPr>
      <w:r>
        <w:rPr>
          <w:rFonts w:ascii="Calibri" w:hAnsi="Calibri"/>
          <w:color w:val="000000"/>
          <w:sz w:val="22"/>
        </w:rPr>
        <w:t>The exported file is reopened, reanalyzed, and checked before the app reports success.</w:t>
      </w:r>
    </w:p>
    <w:p>
      <w:pPr>
        <w:pStyle w:val="ListNumber"/>
      </w:pPr>
      <w:r>
        <w:rPr>
          <w:rFonts w:ascii="Calibri" w:hAnsi="Calibri"/>
          <w:color w:val="000000"/>
          <w:sz w:val="22"/>
        </w:rPr>
        <w:t>A text report and JSON report are written beside the WAV.</w:t>
      </w:r>
    </w:p>
    <w:p>
      <w:pPr>
        <w:pStyle w:val="Heading2"/>
      </w:pPr>
      <w:r>
        <w:t>A/B playback</w:t>
      </w:r>
    </w:p>
    <w:p>
      <w:r>
        <w:rPr>
          <w:rFonts w:ascii="Calibri" w:hAnsi="Calibri"/>
          <w:b w:val="0"/>
          <w:color w:val="000000"/>
          <w:sz w:val="22"/>
        </w:rPr>
        <w:t>After a successful export, Listen: Mastered becomes available. Switching A/B preserves the current playback position. Mastered playback is gain-adjusted for a loudness-matched comparison, reducing the chance that “louder” is mistaken for “better.”</w:t>
      </w:r>
    </w:p>
    <w:p>
      <w:pPr>
        <w:pStyle w:val="Callout"/>
        <w:shd w:fill="F4F6F9"/>
        <w:pBdr>
          <w:left w:val="single" w:sz="18" w:space="8" w:color="9B1C1C"/>
        </w:pBdr>
      </w:pPr>
      <w:r>
        <w:rPr>
          <w:rFonts w:ascii="Calibri" w:hAnsi="Calibri"/>
          <w:b/>
          <w:color w:val="9B1C1C"/>
          <w:sz w:val="21"/>
        </w:rPr>
        <w:t xml:space="preserve">CANCEL  </w:t>
      </w:r>
      <w:r>
        <w:rPr>
          <w:rFonts w:ascii="Calibri" w:hAnsi="Calibri"/>
          <w:b w:val="0"/>
          <w:color w:val="0B2545"/>
          <w:sz w:val="21"/>
        </w:rPr>
        <w:t>Cancel is checked during long analysis and DSP operations. Incomplete .partial output is removed. A cancelled job does not leave a falsely completed master.</w:t>
      </w:r>
    </w:p>
    <w:p>
      <w:pPr>
        <w:pStyle w:val="Heading1"/>
      </w:pPr>
      <w:r>
        <w:t>12. Troubleshooting</w:t>
      </w:r>
    </w:p>
    <w:tbl>
      <w:tblPr>
        <w:tblStyle w:val="TableGrid"/>
        <w:tblW w:type="dxa" w:w="9360"/>
        <w:tblLayout w:type="fixed"/>
        <w:tblLook w:firstColumn="1" w:firstRow="1" w:lastColumn="0" w:lastRow="0" w:noHBand="0" w:noVBand="1" w:val="04A0"/>
        <w:jc w:val="left"/>
        <w:tblInd w:type="dxa" w:w="120"/>
      </w:tblPr>
      <w:tblGrid>
        <w:gridCol w:w="2200"/>
        <w:gridCol w:w="3000"/>
        <w:gridCol w:w="41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20"/>
              </w:rPr>
              <w:t>Symptom</w:t>
            </w:r>
          </w:p>
        </w:tc>
        <w:tc>
          <w:tcPr>
            <w:tcW w:type="dxa" w:w="3000"/>
            <w:vAlign w:val="center"/>
            <w:tcMar>
              <w:top w:w="80" w:type="dxa"/>
              <w:start w:w="120" w:type="dxa"/>
              <w:bottom w:w="80" w:type="dxa"/>
              <w:end w:w="120" w:type="dxa"/>
            </w:tcMar>
            <w:shd w:fill="E8EEF5"/>
          </w:tcPr>
          <w:p>
            <w:pPr>
              <w:spacing w:after="0"/>
            </w:pPr>
            <w:r>
              <w:rPr>
                <w:rFonts w:ascii="Calibri" w:hAnsi="Calibri"/>
                <w:b/>
                <w:color w:val="0B2545"/>
                <w:sz w:val="20"/>
              </w:rPr>
              <w:t>Likely cause</w:t>
            </w:r>
          </w:p>
        </w:tc>
        <w:tc>
          <w:tcPr>
            <w:tcW w:type="dxa" w:w="4160"/>
            <w:vAlign w:val="center"/>
            <w:tcMar>
              <w:top w:w="80" w:type="dxa"/>
              <w:start w:w="120" w:type="dxa"/>
              <w:bottom w:w="80" w:type="dxa"/>
              <w:end w:w="120" w:type="dxa"/>
            </w:tcMar>
            <w:shd w:fill="E8EEF5"/>
          </w:tcPr>
          <w:p>
            <w:pPr>
              <w:spacing w:after="0"/>
            </w:pPr>
            <w:r>
              <w:rPr>
                <w:rFonts w:ascii="Calibri" w:hAnsi="Calibri"/>
                <w:b/>
                <w:color w:val="0B2545"/>
                <w:sz w:val="20"/>
              </w:rPr>
              <w:t>Action</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Analyze is disabled</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No valid source is loaded.</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Choose or drop one supported stereo file.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Reference rejected</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Channel count or sample rate differs.</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Choose a stereo reference at the mix sample rate.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Master does not reach target LUFS</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Peak safety is tighter than the loudness request.</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This is expected; inspect true peak and limiter trace.</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Phase 2 module is bypassed</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No measured rule activated it, or it is user-controlled.</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Enable deliberately only after reviewing the reason and listening.</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Export stops</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Cancellation, invalid setting, write failure, or validation failure.</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Read the status message; choose a writable destination and retry.</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No mastered A/B option</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No verified export is loaded.</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Complete Export Master successfully.</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Version will not restore</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Unsupported/corrupt file or plan schema.</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Use a version saved by the current Phase 2 build.</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Dock icon is generic</w:t>
            </w:r>
          </w:p>
        </w:tc>
        <w:tc>
          <w:tcPr>
            <w:tcW w:type="dxa" w:w="3000"/>
            <w:vAlign w:val="center"/>
            <w:tcMar>
              <w:top w:w="80" w:type="dxa"/>
              <w:start w:w="120" w:type="dxa"/>
              <w:bottom w:w="80" w:type="dxa"/>
              <w:end w:w="120" w:type="dxa"/>
            </w:tcMar>
          </w:tcPr>
          <w:p>
            <w:pPr>
              <w:spacing w:after="0" w:line="264" w:lineRule="auto"/>
            </w:pPr>
            <w:r>
              <w:rPr>
                <w:rFonts w:ascii="Calibri" w:hAnsi="Calibri"/>
                <w:b w:val="0"/>
                <w:color w:val="000000"/>
                <w:sz w:val="19"/>
              </w:rPr>
              <w:t>Custom app artwork has not been embedded.</w:t>
            </w:r>
          </w:p>
        </w:tc>
        <w:tc>
          <w:tcPr>
            <w:tcW w:type="dxa" w:w="4160"/>
            <w:vAlign w:val="center"/>
            <w:tcMar>
              <w:top w:w="80" w:type="dxa"/>
              <w:start w:w="120" w:type="dxa"/>
              <w:bottom w:w="80" w:type="dxa"/>
              <w:end w:w="120" w:type="dxa"/>
            </w:tcMar>
          </w:tcPr>
          <w:p>
            <w:pPr>
              <w:spacing w:after="0" w:line="264" w:lineRule="auto"/>
            </w:pPr>
            <w:r>
              <w:rPr>
                <w:rFonts w:ascii="Calibri" w:hAnsi="Calibri"/>
                <w:b w:val="0"/>
                <w:color w:val="000000"/>
                <w:sz w:val="19"/>
              </w:rPr>
              <w:t>Provide a 1024 × 1024 transparent PNG for icon packaging.</w:t>
            </w:r>
          </w:p>
        </w:tc>
      </w:tr>
    </w:tbl>
    <w:p>
      <w:pPr>
        <w:spacing w:after="40"/>
      </w:pPr>
    </w:p>
    <w:p>
      <w:pPr>
        <w:pStyle w:val="Heading1"/>
      </w:pPr>
      <w:r>
        <w:t>13. Safety, Limitations, and Validation</w:t>
      </w:r>
    </w:p>
    <w:p>
      <w:pPr>
        <w:pStyle w:val="Heading2"/>
      </w:pPr>
      <w:r>
        <w:t>Hard guarantees in the current implementation</w:t>
      </w:r>
    </w:p>
    <w:p>
      <w:pPr>
        <w:pStyle w:val="ListBullet"/>
      </w:pPr>
      <w:r>
        <w:rPr>
          <w:rFonts w:ascii="Calibri" w:hAnsi="Calibri"/>
          <w:color w:val="000000"/>
          <w:sz w:val="22"/>
        </w:rPr>
        <w:t>Original source files are opened read-only and remain untouched.</w:t>
      </w:r>
    </w:p>
    <w:p>
      <w:pPr>
        <w:pStyle w:val="ListBullet"/>
      </w:pPr>
      <w:r>
        <w:rPr>
          <w:rFonts w:ascii="Calibri" w:hAnsi="Calibri"/>
          <w:color w:val="000000"/>
          <w:sz w:val="22"/>
        </w:rPr>
        <w:t>Module bypass is sample-identical where specified and tested.</w:t>
      </w:r>
    </w:p>
    <w:p>
      <w:pPr>
        <w:pStyle w:val="ListBullet"/>
      </w:pPr>
      <w:r>
        <w:rPr>
          <w:rFonts w:ascii="Calibri" w:hAnsi="Calibri"/>
          <w:color w:val="000000"/>
          <w:sz w:val="22"/>
        </w:rPr>
        <w:t>Stereo-linked dynamics preserve channel relationships.</w:t>
      </w:r>
    </w:p>
    <w:p>
      <w:pPr>
        <w:pStyle w:val="ListBullet"/>
      </w:pPr>
      <w:r>
        <w:rPr>
          <w:rFonts w:ascii="Calibri" w:hAnsi="Calibri"/>
          <w:color w:val="000000"/>
          <w:sz w:val="22"/>
        </w:rPr>
        <w:t>Output frame count is preserved.</w:t>
      </w:r>
    </w:p>
    <w:p>
      <w:pPr>
        <w:pStyle w:val="ListBullet"/>
      </w:pPr>
      <w:r>
        <w:rPr>
          <w:rFonts w:ascii="Calibri" w:hAnsi="Calibri"/>
          <w:color w:val="000000"/>
          <w:sz w:val="22"/>
        </w:rPr>
        <w:t>True peak is remeasured after export.</w:t>
      </w:r>
    </w:p>
    <w:p>
      <w:pPr>
        <w:pStyle w:val="ListBullet"/>
      </w:pPr>
      <w:r>
        <w:rPr>
          <w:rFonts w:ascii="Calibri" w:hAnsi="Calibri"/>
          <w:color w:val="000000"/>
          <w:sz w:val="22"/>
        </w:rPr>
        <w:t>Exports and mastering versions use temporary files and atomic commit behavior.</w:t>
      </w:r>
    </w:p>
    <w:p>
      <w:pPr>
        <w:pStyle w:val="Heading2"/>
      </w:pPr>
      <w:r>
        <w:t>Current limitations</w:t>
      </w:r>
    </w:p>
    <w:p>
      <w:pPr>
        <w:pStyle w:val="ListBullet"/>
      </w:pPr>
      <w:r>
        <w:rPr>
          <w:rFonts w:ascii="Calibri" w:hAnsi="Calibri"/>
          <w:color w:val="000000"/>
          <w:sz w:val="22"/>
        </w:rPr>
        <w:t>No genre, mood, or era classification.</w:t>
      </w:r>
    </w:p>
    <w:p>
      <w:pPr>
        <w:pStyle w:val="ListBullet"/>
      </w:pPr>
      <w:r>
        <w:rPr>
          <w:rFonts w:ascii="Calibri" w:hAnsi="Calibri"/>
          <w:color w:val="000000"/>
          <w:sz w:val="22"/>
        </w:rPr>
        <w:t>No machine-learning preference model or invented recommendation confidence.</w:t>
      </w:r>
    </w:p>
    <w:p>
      <w:pPr>
        <w:pStyle w:val="ListBullet"/>
      </w:pPr>
      <w:r>
        <w:rPr>
          <w:rFonts w:ascii="Calibri" w:hAnsi="Calibri"/>
          <w:color w:val="000000"/>
          <w:sz w:val="22"/>
        </w:rPr>
        <w:t>No multiband “style” presets beyond measured/configured controls.</w:t>
      </w:r>
    </w:p>
    <w:p>
      <w:pPr>
        <w:pStyle w:val="ListBullet"/>
      </w:pPr>
      <w:r>
        <w:rPr>
          <w:rFonts w:ascii="Calibri" w:hAnsi="Calibri"/>
          <w:color w:val="000000"/>
          <w:sz w:val="22"/>
        </w:rPr>
        <w:t>No Apple Music or YouTube target labeled as official without verified first-party specifications.</w:t>
      </w:r>
    </w:p>
    <w:p>
      <w:pPr>
        <w:pStyle w:val="ListBullet"/>
      </w:pPr>
      <w:r>
        <w:rPr>
          <w:rFonts w:ascii="Calibri" w:hAnsi="Calibri"/>
          <w:color w:val="000000"/>
          <w:sz w:val="22"/>
        </w:rPr>
        <w:t>No custom application icon is currently embedded.</w:t>
      </w:r>
    </w:p>
    <w:p>
      <w:pPr>
        <w:pStyle w:val="ListBullet"/>
      </w:pPr>
      <w:r>
        <w:rPr>
          <w:rFonts w:ascii="Calibri" w:hAnsi="Calibri"/>
          <w:color w:val="000000"/>
          <w:sz w:val="22"/>
        </w:rPr>
        <w:t>Phase 3 ML features must not be implemented without real labeled data and a training pipeline.</w:t>
      </w:r>
    </w:p>
    <w:p>
      <w:pPr>
        <w:pStyle w:val="Heading1"/>
      </w:pPr>
      <w:r>
        <w:t>Validation record</w:t>
      </w:r>
    </w:p>
    <w:tbl>
      <w:tblPr>
        <w:tblStyle w:val="TableGrid"/>
        <w:tblW w:type="dxa" w:w="9360"/>
        <w:tblLayout w:type="fixed"/>
        <w:tblLook w:firstColumn="1" w:firstRow="1" w:lastColumn="0" w:lastRow="0" w:noHBand="0" w:noVBand="1" w:val="04A0"/>
        <w:jc w:val="left"/>
        <w:tblInd w:type="dxa" w:w="120"/>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20"/>
              </w:rPr>
              <w:t>Validation</w:t>
            </w:r>
          </w:p>
        </w:tc>
        <w:tc>
          <w:tcPr>
            <w:tcW w:type="dxa" w:w="7160"/>
            <w:vAlign w:val="center"/>
            <w:tcMar>
              <w:top w:w="80" w:type="dxa"/>
              <w:start w:w="120" w:type="dxa"/>
              <w:bottom w:w="80" w:type="dxa"/>
              <w:end w:w="120" w:type="dxa"/>
            </w:tcMar>
            <w:shd w:fill="E8EEF5"/>
          </w:tcPr>
          <w:p>
            <w:pPr>
              <w:spacing w:after="0"/>
            </w:pPr>
            <w:r>
              <w:rPr>
                <w:rFonts w:ascii="Calibri" w:hAnsi="Calibri"/>
                <w:b/>
                <w:color w:val="0B2545"/>
                <w:sz w:val="20"/>
              </w:rPr>
              <w:t>Result</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Automated tests</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Debug and Release test suites passed 100% on August 9, 2026.</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Phase 1 real audio</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Four music mixes reopened, preserved frames, and stayed below the configured −1 dBTP ceiling.</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Phase 2 real audio</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Two full-length 44.1 kHz stereo files rendered through the canonical eight-module plan and reopened successfully.</w:t>
            </w:r>
          </w:p>
        </w:tc>
      </w:tr>
      <w:tr>
        <w:tc>
          <w:tcPr>
            <w:tcW w:type="dxa" w:w="2200"/>
            <w:vAlign w:val="center"/>
            <w:tcMar>
              <w:top w:w="80" w:type="dxa"/>
              <w:start w:w="120" w:type="dxa"/>
              <w:bottom w:w="80" w:type="dxa"/>
              <w:end w:w="120" w:type="dxa"/>
            </w:tcMar>
          </w:tcPr>
          <w:p>
            <w:pPr>
              <w:spacing w:after="0" w:line="264" w:lineRule="auto"/>
            </w:pPr>
            <w:r>
              <w:rPr>
                <w:rFonts w:ascii="Calibri" w:hAnsi="Calibri"/>
                <w:b w:val="0"/>
                <w:color w:val="000000"/>
                <w:sz w:val="19"/>
              </w:rPr>
              <w:t>Installed app</w:t>
            </w:r>
          </w:p>
        </w:tc>
        <w:tc>
          <w:tcPr>
            <w:tcW w:type="dxa" w:w="7160"/>
            <w:vAlign w:val="center"/>
            <w:tcMar>
              <w:top w:w="80" w:type="dxa"/>
              <w:start w:w="120" w:type="dxa"/>
              <w:bottom w:w="80" w:type="dxa"/>
              <w:end w:w="120" w:type="dxa"/>
            </w:tcMar>
          </w:tcPr>
          <w:p>
            <w:pPr>
              <w:spacing w:after="0" w:line="264" w:lineRule="auto"/>
            </w:pPr>
            <w:r>
              <w:rPr>
                <w:rFonts w:ascii="Calibri" w:hAnsi="Calibri"/>
                <w:b w:val="0"/>
                <w:color w:val="000000"/>
                <w:sz w:val="19"/>
              </w:rPr>
              <w:t>Apple Silicon arm64 application at /Applications/Dozi Mastering.app; strict deep signature verification passed using an ad-hoc development signature.</w:t>
            </w:r>
          </w:p>
        </w:tc>
      </w:tr>
    </w:tbl>
    <w:p>
      <w:pPr>
        <w:spacing w:after="40"/>
      </w:pPr>
    </w:p>
    <w:tbl>
      <w:tblPr>
        <w:tblStyle w:val="TableGrid"/>
        <w:tblW w:type="dxa" w:w="9360"/>
        <w:tblLayout w:type="fixed"/>
        <w:tblLook w:firstColumn="1" w:firstRow="1" w:lastColumn="0" w:lastRow="0" w:noHBand="0" w:noVBand="1" w:val="04A0"/>
        <w:jc w:val="left"/>
        <w:tblInd w:type="dxa" w:w="120"/>
      </w:tblPr>
      <w:tblGrid>
        <w:gridCol w:w="3400"/>
        <w:gridCol w:w="1450"/>
        <w:gridCol w:w="1450"/>
        <w:gridCol w:w="1450"/>
        <w:gridCol w:w="1610"/>
      </w:tblGrid>
      <w:tr>
        <w:trPr>
          <w:tblHeader w:val="true"/>
        </w:trPr>
        <w:tc>
          <w:tcPr>
            <w:tcW w:type="dxa" w:w="3400"/>
            <w:vAlign w:val="center"/>
            <w:tcMar>
              <w:top w:w="80" w:type="dxa"/>
              <w:start w:w="120" w:type="dxa"/>
              <w:bottom w:w="80" w:type="dxa"/>
              <w:end w:w="120" w:type="dxa"/>
            </w:tcMar>
            <w:shd w:fill="E8EEF5"/>
          </w:tcPr>
          <w:p>
            <w:pPr>
              <w:spacing w:after="0"/>
            </w:pPr>
            <w:r>
              <w:rPr>
                <w:rFonts w:ascii="Calibri" w:hAnsi="Calibri"/>
                <w:b/>
                <w:color w:val="0B2545"/>
                <w:sz w:val="20"/>
              </w:rPr>
              <w:t>Phase 2 validation mix</w:t>
            </w:r>
          </w:p>
        </w:tc>
        <w:tc>
          <w:tcPr>
            <w:tcW w:type="dxa" w:w="1450"/>
            <w:vAlign w:val="center"/>
            <w:tcMar>
              <w:top w:w="80" w:type="dxa"/>
              <w:start w:w="120" w:type="dxa"/>
              <w:bottom w:w="80" w:type="dxa"/>
              <w:end w:w="120" w:type="dxa"/>
            </w:tcMar>
            <w:shd w:fill="E8EEF5"/>
          </w:tcPr>
          <w:p>
            <w:pPr>
              <w:spacing w:after="0"/>
            </w:pPr>
            <w:r>
              <w:rPr>
                <w:rFonts w:ascii="Calibri" w:hAnsi="Calibri"/>
                <w:b/>
                <w:color w:val="0B2545"/>
                <w:sz w:val="20"/>
              </w:rPr>
              <w:t>Before</w:t>
            </w:r>
          </w:p>
        </w:tc>
        <w:tc>
          <w:tcPr>
            <w:tcW w:type="dxa" w:w="1450"/>
            <w:vAlign w:val="center"/>
            <w:tcMar>
              <w:top w:w="80" w:type="dxa"/>
              <w:start w:w="120" w:type="dxa"/>
              <w:bottom w:w="80" w:type="dxa"/>
              <w:end w:w="120" w:type="dxa"/>
            </w:tcMar>
            <w:shd w:fill="E8EEF5"/>
          </w:tcPr>
          <w:p>
            <w:pPr>
              <w:spacing w:after="0"/>
            </w:pPr>
            <w:r>
              <w:rPr>
                <w:rFonts w:ascii="Calibri" w:hAnsi="Calibri"/>
                <w:b/>
                <w:color w:val="0B2545"/>
                <w:sz w:val="20"/>
              </w:rPr>
              <w:t>After</w:t>
            </w:r>
          </w:p>
        </w:tc>
        <w:tc>
          <w:tcPr>
            <w:tcW w:type="dxa" w:w="1450"/>
            <w:vAlign w:val="center"/>
            <w:tcMar>
              <w:top w:w="80" w:type="dxa"/>
              <w:start w:w="120" w:type="dxa"/>
              <w:bottom w:w="80" w:type="dxa"/>
              <w:end w:w="120" w:type="dxa"/>
            </w:tcMar>
            <w:shd w:fill="E8EEF5"/>
          </w:tcPr>
          <w:p>
            <w:pPr>
              <w:spacing w:after="0"/>
            </w:pPr>
            <w:r>
              <w:rPr>
                <w:rFonts w:ascii="Calibri" w:hAnsi="Calibri"/>
                <w:b/>
                <w:color w:val="0B2545"/>
                <w:sz w:val="20"/>
              </w:rPr>
              <w:t>True peak</w:t>
            </w:r>
          </w:p>
        </w:tc>
        <w:tc>
          <w:tcPr>
            <w:tcW w:type="dxa" w:w="1610"/>
            <w:vAlign w:val="center"/>
            <w:tcMar>
              <w:top w:w="80" w:type="dxa"/>
              <w:start w:w="120" w:type="dxa"/>
              <w:bottom w:w="80" w:type="dxa"/>
              <w:end w:w="120" w:type="dxa"/>
            </w:tcMar>
            <w:shd w:fill="E8EEF5"/>
          </w:tcPr>
          <w:p>
            <w:pPr>
              <w:spacing w:after="0"/>
            </w:pPr>
            <w:r>
              <w:rPr>
                <w:rFonts w:ascii="Calibri" w:hAnsi="Calibri"/>
                <w:b/>
                <w:color w:val="0B2545"/>
                <w:sz w:val="20"/>
              </w:rPr>
              <w:t>Frames</w:t>
            </w:r>
          </w:p>
        </w:tc>
      </w:tr>
      <w:tr>
        <w:tc>
          <w:tcPr>
            <w:tcW w:type="dxa" w:w="3400"/>
            <w:vAlign w:val="center"/>
            <w:tcMar>
              <w:top w:w="80" w:type="dxa"/>
              <w:start w:w="120" w:type="dxa"/>
              <w:bottom w:w="80" w:type="dxa"/>
              <w:end w:w="120" w:type="dxa"/>
            </w:tcMar>
          </w:tcPr>
          <w:p>
            <w:pPr>
              <w:spacing w:after="0" w:line="264" w:lineRule="auto"/>
            </w:pPr>
            <w:r>
              <w:rPr>
                <w:rFonts w:ascii="Calibri" w:hAnsi="Calibri"/>
                <w:b w:val="0"/>
                <w:color w:val="000000"/>
                <w:sz w:val="19"/>
              </w:rPr>
              <w:t>1_IntrepidatiiFINAL_(Instrumental).wav</w:t>
            </w:r>
          </w:p>
        </w:tc>
        <w:tc>
          <w:tcPr>
            <w:tcW w:type="dxa" w:w="1450"/>
            <w:vAlign w:val="center"/>
            <w:tcMar>
              <w:top w:w="80" w:type="dxa"/>
              <w:start w:w="120" w:type="dxa"/>
              <w:bottom w:w="80" w:type="dxa"/>
              <w:end w:w="120" w:type="dxa"/>
            </w:tcMar>
          </w:tcPr>
          <w:p>
            <w:pPr>
              <w:spacing w:after="0" w:line="264" w:lineRule="auto"/>
            </w:pPr>
            <w:r>
              <w:rPr>
                <w:rFonts w:ascii="Calibri" w:hAnsi="Calibri"/>
                <w:b w:val="0"/>
                <w:color w:val="000000"/>
                <w:sz w:val="19"/>
              </w:rPr>
              <w:t>−16.809 LUFS</w:t>
            </w:r>
          </w:p>
        </w:tc>
        <w:tc>
          <w:tcPr>
            <w:tcW w:type="dxa" w:w="1450"/>
            <w:vAlign w:val="center"/>
            <w:tcMar>
              <w:top w:w="80" w:type="dxa"/>
              <w:start w:w="120" w:type="dxa"/>
              <w:bottom w:w="80" w:type="dxa"/>
              <w:end w:w="120" w:type="dxa"/>
            </w:tcMar>
          </w:tcPr>
          <w:p>
            <w:pPr>
              <w:spacing w:after="0" w:line="264" w:lineRule="auto"/>
            </w:pPr>
            <w:r>
              <w:rPr>
                <w:rFonts w:ascii="Calibri" w:hAnsi="Calibri"/>
                <w:b w:val="0"/>
                <w:color w:val="000000"/>
                <w:sz w:val="19"/>
              </w:rPr>
              <w:t>−16.543 LUFS</w:t>
            </w:r>
          </w:p>
        </w:tc>
        <w:tc>
          <w:tcPr>
            <w:tcW w:type="dxa" w:w="1450"/>
            <w:vAlign w:val="center"/>
            <w:tcMar>
              <w:top w:w="80" w:type="dxa"/>
              <w:start w:w="120" w:type="dxa"/>
              <w:bottom w:w="80" w:type="dxa"/>
              <w:end w:w="120" w:type="dxa"/>
            </w:tcMar>
          </w:tcPr>
          <w:p>
            <w:pPr>
              <w:spacing w:after="0" w:line="264" w:lineRule="auto"/>
            </w:pPr>
            <w:r>
              <w:rPr>
                <w:rFonts w:ascii="Calibri" w:hAnsi="Calibri"/>
                <w:b w:val="0"/>
                <w:color w:val="000000"/>
                <w:sz w:val="19"/>
              </w:rPr>
              <w:t>−3.1339 dBTP</w:t>
            </w:r>
          </w:p>
        </w:tc>
        <w:tc>
          <w:tcPr>
            <w:tcW w:type="dxa" w:w="1610"/>
            <w:vAlign w:val="center"/>
            <w:tcMar>
              <w:top w:w="80" w:type="dxa"/>
              <w:start w:w="120" w:type="dxa"/>
              <w:bottom w:w="80" w:type="dxa"/>
              <w:end w:w="120" w:type="dxa"/>
            </w:tcMar>
          </w:tcPr>
          <w:p>
            <w:pPr>
              <w:spacing w:after="0" w:line="264" w:lineRule="auto"/>
            </w:pPr>
            <w:r>
              <w:rPr>
                <w:rFonts w:ascii="Calibri" w:hAnsi="Calibri"/>
                <w:b w:val="0"/>
                <w:color w:val="000000"/>
                <w:sz w:val="19"/>
              </w:rPr>
              <w:t>11,527,740</w:t>
            </w:r>
          </w:p>
        </w:tc>
      </w:tr>
      <w:tr>
        <w:tc>
          <w:tcPr>
            <w:tcW w:type="dxa" w:w="3400"/>
            <w:vAlign w:val="center"/>
            <w:tcMar>
              <w:top w:w="80" w:type="dxa"/>
              <w:start w:w="120" w:type="dxa"/>
              <w:bottom w:w="80" w:type="dxa"/>
              <w:end w:w="120" w:type="dxa"/>
            </w:tcMar>
          </w:tcPr>
          <w:p>
            <w:pPr>
              <w:spacing w:after="0" w:line="264" w:lineRule="auto"/>
            </w:pPr>
            <w:r>
              <w:rPr>
                <w:rFonts w:ascii="Calibri" w:hAnsi="Calibri"/>
                <w:b w:val="0"/>
                <w:color w:val="000000"/>
                <w:sz w:val="19"/>
              </w:rPr>
              <w:t>1_ICanMakeYouFeelVideoShoot_(Vocals).wav</w:t>
            </w:r>
          </w:p>
        </w:tc>
        <w:tc>
          <w:tcPr>
            <w:tcW w:type="dxa" w:w="1450"/>
            <w:vAlign w:val="center"/>
            <w:tcMar>
              <w:top w:w="80" w:type="dxa"/>
              <w:start w:w="120" w:type="dxa"/>
              <w:bottom w:w="80" w:type="dxa"/>
              <w:end w:w="120" w:type="dxa"/>
            </w:tcMar>
          </w:tcPr>
          <w:p>
            <w:pPr>
              <w:spacing w:after="0" w:line="264" w:lineRule="auto"/>
            </w:pPr>
            <w:r>
              <w:rPr>
                <w:rFonts w:ascii="Calibri" w:hAnsi="Calibri"/>
                <w:b w:val="0"/>
                <w:color w:val="000000"/>
                <w:sz w:val="19"/>
              </w:rPr>
              <w:t>−20.3658 LUFS</w:t>
            </w:r>
          </w:p>
        </w:tc>
        <w:tc>
          <w:tcPr>
            <w:tcW w:type="dxa" w:w="1450"/>
            <w:vAlign w:val="center"/>
            <w:tcMar>
              <w:top w:w="80" w:type="dxa"/>
              <w:start w:w="120" w:type="dxa"/>
              <w:bottom w:w="80" w:type="dxa"/>
              <w:end w:w="120" w:type="dxa"/>
            </w:tcMar>
          </w:tcPr>
          <w:p>
            <w:pPr>
              <w:spacing w:after="0" w:line="264" w:lineRule="auto"/>
            </w:pPr>
            <w:r>
              <w:rPr>
                <w:rFonts w:ascii="Calibri" w:hAnsi="Calibri"/>
                <w:b w:val="0"/>
                <w:color w:val="000000"/>
                <w:sz w:val="19"/>
              </w:rPr>
              <w:t>−18.9631 LUFS</w:t>
            </w:r>
          </w:p>
        </w:tc>
        <w:tc>
          <w:tcPr>
            <w:tcW w:type="dxa" w:w="1450"/>
            <w:vAlign w:val="center"/>
            <w:tcMar>
              <w:top w:w="80" w:type="dxa"/>
              <w:start w:w="120" w:type="dxa"/>
              <w:bottom w:w="80" w:type="dxa"/>
              <w:end w:w="120" w:type="dxa"/>
            </w:tcMar>
          </w:tcPr>
          <w:p>
            <w:pPr>
              <w:spacing w:after="0" w:line="264" w:lineRule="auto"/>
            </w:pPr>
            <w:r>
              <w:rPr>
                <w:rFonts w:ascii="Calibri" w:hAnsi="Calibri"/>
                <w:b w:val="0"/>
                <w:color w:val="000000"/>
                <w:sz w:val="19"/>
              </w:rPr>
              <w:t>−4.97785 dBTP</w:t>
            </w:r>
          </w:p>
        </w:tc>
        <w:tc>
          <w:tcPr>
            <w:tcW w:type="dxa" w:w="1610"/>
            <w:vAlign w:val="center"/>
            <w:tcMar>
              <w:top w:w="80" w:type="dxa"/>
              <w:start w:w="120" w:type="dxa"/>
              <w:bottom w:w="80" w:type="dxa"/>
              <w:end w:w="120" w:type="dxa"/>
            </w:tcMar>
          </w:tcPr>
          <w:p>
            <w:pPr>
              <w:spacing w:after="0" w:line="264" w:lineRule="auto"/>
            </w:pPr>
            <w:r>
              <w:rPr>
                <w:rFonts w:ascii="Calibri" w:hAnsi="Calibri"/>
                <w:b w:val="0"/>
                <w:color w:val="000000"/>
                <w:sz w:val="19"/>
              </w:rPr>
              <w:t>11,805,696</w:t>
            </w:r>
          </w:p>
        </w:tc>
      </w:tr>
    </w:tbl>
    <w:p>
      <w:pPr>
        <w:spacing w:after="40"/>
      </w:pPr>
    </w:p>
    <w:p>
      <w:pPr>
        <w:pStyle w:val="Heading1"/>
      </w:pPr>
      <w:r>
        <w:t>Appendix A. Technical Architecture</w:t>
      </w:r>
    </w:p>
    <w:tbl>
      <w:tblPr>
        <w:tblStyle w:val="TableGrid"/>
        <w:tblW w:type="dxa" w:w="9360"/>
        <w:tblLayout w:type="fixed"/>
        <w:tblLook w:firstColumn="1" w:firstRow="1" w:lastColumn="0" w:lastRow="0" w:noHBand="0" w:noVBand="1" w:val="04A0"/>
        <w:jc w:val="left"/>
        <w:tblInd w:type="dxa" w:w="120"/>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after="0"/>
            </w:pPr>
            <w:r>
              <w:rPr>
                <w:rFonts w:ascii="Calibri" w:hAnsi="Calibri"/>
                <w:b/>
                <w:color w:val="0B2545"/>
                <w:sz w:val="20"/>
              </w:rPr>
              <w:t>Layer</w:t>
            </w:r>
          </w:p>
        </w:tc>
        <w:tc>
          <w:tcPr>
            <w:tcW w:type="dxa" w:w="7560"/>
            <w:vAlign w:val="center"/>
            <w:tcMar>
              <w:top w:w="80" w:type="dxa"/>
              <w:start w:w="120" w:type="dxa"/>
              <w:bottom w:w="80" w:type="dxa"/>
              <w:end w:w="120" w:type="dxa"/>
            </w:tcMar>
            <w:shd w:fill="E8EEF5"/>
          </w:tcPr>
          <w:p>
            <w:pPr>
              <w:spacing w:after="0"/>
            </w:pPr>
            <w:r>
              <w:rPr>
                <w:rFonts w:ascii="Calibri" w:hAnsi="Calibri"/>
                <w:b/>
                <w:color w:val="0B2545"/>
                <w:sz w:val="20"/>
              </w:rPr>
              <w:t>Responsibility</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Audio I/O</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libsndfile decodes WAV, AIFF, and FLAC; mastered delivery is 32-bit float WAV.</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Analysis</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MasteringAnalyzer plus libebur128 produces real measurements.</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Decision</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MasteringDecisionEngine converts measurements into traced rules and an ordered plan.</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Reference</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MasteringReferenceMatcher measures differences and creates bounded corrective proposals.</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DSP</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Independent bypassable processors: EQ, dynamics, stereo, saturation, and limiter.</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Render</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MasteringRenderer processes, atomically writes, reopens, analyzes, and validates output.</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Versions</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MasteringVersionStore atomically saves, restores, and compares schema-2 plans.</w:t>
            </w:r>
          </w:p>
        </w:tc>
      </w:tr>
      <w:tr>
        <w:tc>
          <w:tcPr>
            <w:tcW w:type="dxa" w:w="1800"/>
            <w:vAlign w:val="center"/>
            <w:tcMar>
              <w:top w:w="80" w:type="dxa"/>
              <w:start w:w="120" w:type="dxa"/>
              <w:bottom w:w="80" w:type="dxa"/>
              <w:end w:w="120" w:type="dxa"/>
            </w:tcMar>
          </w:tcPr>
          <w:p>
            <w:pPr>
              <w:spacing w:after="0" w:line="264" w:lineRule="auto"/>
            </w:pPr>
            <w:r>
              <w:rPr>
                <w:rFonts w:ascii="Calibri" w:hAnsi="Calibri"/>
                <w:b w:val="0"/>
                <w:color w:val="000000"/>
                <w:sz w:val="19"/>
              </w:rPr>
              <w:t>UI</w:t>
            </w:r>
          </w:p>
        </w:tc>
        <w:tc>
          <w:tcPr>
            <w:tcW w:type="dxa" w:w="7560"/>
            <w:vAlign w:val="center"/>
            <w:tcMar>
              <w:top w:w="80" w:type="dxa"/>
              <w:start w:w="120" w:type="dxa"/>
              <w:bottom w:w="80" w:type="dxa"/>
              <w:end w:w="120" w:type="dxa"/>
            </w:tcMar>
          </w:tcPr>
          <w:p>
            <w:pPr>
              <w:spacing w:after="0" w:line="264" w:lineRule="auto"/>
            </w:pPr>
            <w:r>
              <w:rPr>
                <w:rFonts w:ascii="Calibri" w:hAnsi="Calibri"/>
                <w:b w:val="0"/>
                <w:color w:val="000000"/>
                <w:sz w:val="19"/>
              </w:rPr>
              <w:t>JUCE standalone macOS application; no Pro Tools dependency.</w:t>
            </w:r>
          </w:p>
        </w:tc>
      </w:tr>
    </w:tbl>
    <w:p>
      <w:pPr>
        <w:spacing w:after="40"/>
      </w:pPr>
    </w:p>
    <w:p>
      <w:r>
        <w:rPr>
          <w:rFonts w:ascii="Calibri" w:hAnsi="Calibri"/>
          <w:b w:val="0"/>
          <w:color w:val="000000"/>
          <w:sz w:val="22"/>
        </w:rPr>
        <w:t>The core is C++20 and is independently testable without launching the desktop interface. Long-file linear-phase EQ uses bounded-memory 16,384-frame overlap-add convolution rather than whole-file FFT allocation.</w:t>
      </w:r>
    </w:p>
    <w:p>
      <w:pPr>
        <w:pStyle w:val="Heading1"/>
      </w:pPr>
      <w:r>
        <w:t>Appendix B. Build and Test Commands</w:t>
      </w:r>
    </w:p>
    <w:p>
      <w:r>
        <w:rPr>
          <w:rFonts w:ascii="Calibri" w:hAnsi="Calibri"/>
          <w:b w:val="0"/>
          <w:color w:val="000000"/>
          <w:sz w:val="22"/>
        </w:rPr>
        <w:t>Developer prerequisites: Homebrew libsndfile and libebur128, CMake, and the configured JUCE dependency.</w:t>
      </w:r>
    </w:p>
    <w:p>
      <w:pPr>
        <w:spacing w:after="80"/>
        <w:ind w:left="360"/>
        <w:shd w:fill="F2F4F7"/>
        <w:pBdr>
          <w:left w:val="single" w:sz="18" w:space="8" w:color="D0D7DE"/>
        </w:pBdr>
      </w:pPr>
      <w:r>
        <w:rPr>
          <w:rFonts w:ascii="Menlo" w:hAnsi="Menlo"/>
          <w:b w:val="0"/>
          <w:color w:val="0B2545"/>
          <w:sz w:val="19"/>
        </w:rPr>
        <w:t>brew install libsndfile libebur128</w:t>
      </w:r>
    </w:p>
    <w:p>
      <w:pPr>
        <w:spacing w:after="80"/>
        <w:ind w:left="360"/>
        <w:shd w:fill="F2F4F7"/>
        <w:pBdr>
          <w:left w:val="single" w:sz="18" w:space="8" w:color="D0D7DE"/>
        </w:pBdr>
      </w:pPr>
      <w:r>
        <w:rPr>
          <w:rFonts w:ascii="Menlo" w:hAnsi="Menlo"/>
          <w:b w:val="0"/>
          <w:color w:val="0B2545"/>
          <w:sz w:val="19"/>
        </w:rPr>
        <w:t>cmake -S . -B build</w:t>
      </w:r>
    </w:p>
    <w:p>
      <w:pPr>
        <w:spacing w:after="80"/>
        <w:ind w:left="360"/>
        <w:shd w:fill="F2F4F7"/>
        <w:pBdr>
          <w:left w:val="single" w:sz="18" w:space="8" w:color="D0D7DE"/>
        </w:pBdr>
      </w:pPr>
      <w:r>
        <w:rPr>
          <w:rFonts w:ascii="Menlo" w:hAnsi="Menlo"/>
          <w:b w:val="0"/>
          <w:color w:val="0B2545"/>
          <w:sz w:val="19"/>
        </w:rPr>
        <w:t>cmake --build build -j 8</w:t>
      </w:r>
    </w:p>
    <w:p>
      <w:pPr>
        <w:spacing w:after="80"/>
        <w:ind w:left="360"/>
        <w:shd w:fill="F2F4F7"/>
        <w:pBdr>
          <w:left w:val="single" w:sz="18" w:space="8" w:color="D0D7DE"/>
        </w:pBdr>
      </w:pPr>
      <w:r>
        <w:rPr>
          <w:rFonts w:ascii="Menlo" w:hAnsi="Menlo"/>
          <w:b w:val="0"/>
          <w:color w:val="0B2545"/>
          <w:sz w:val="19"/>
        </w:rPr>
        <w:t>ctest --test-dir build --output-on-failure</w:t>
      </w:r>
    </w:p>
    <w:p>
      <w:pPr>
        <w:spacing w:after="80"/>
        <w:ind w:left="360"/>
        <w:shd w:fill="F2F4F7"/>
        <w:pBdr>
          <w:left w:val="single" w:sz="18" w:space="8" w:color="D0D7DE"/>
        </w:pBdr>
      </w:pPr>
      <w:r>
        <w:rPr>
          <w:rFonts w:ascii="Menlo" w:hAnsi="Menlo"/>
          <w:b w:val="0"/>
          <w:color w:val="0B2545"/>
          <w:sz w:val="19"/>
        </w:rPr>
        <w:t>cmake --build build-release -j 8</w:t>
      </w:r>
    </w:p>
    <w:p>
      <w:pPr>
        <w:spacing w:after="80"/>
        <w:ind w:left="360"/>
        <w:shd w:fill="F2F4F7"/>
        <w:pBdr>
          <w:left w:val="single" w:sz="18" w:space="8" w:color="D0D7DE"/>
        </w:pBdr>
      </w:pPr>
      <w:r>
        <w:rPr>
          <w:rFonts w:ascii="Menlo" w:hAnsi="Menlo"/>
          <w:b w:val="0"/>
          <w:color w:val="0B2545"/>
          <w:sz w:val="19"/>
        </w:rPr>
        <w:t>ctest --test-dir build-release --output-on-failure</w:t>
      </w:r>
    </w:p>
    <w:p>
      <w:pPr>
        <w:pStyle w:val="Heading2"/>
      </w:pPr>
      <w:r>
        <w:t>Document sources</w:t>
      </w:r>
    </w:p>
    <w:p>
      <w:pPr>
        <w:pStyle w:val="ListBullet"/>
      </w:pPr>
      <w:r>
        <w:rPr>
          <w:rFonts w:ascii="Calibri" w:hAnsi="Calibri"/>
          <w:color w:val="000000"/>
          <w:sz w:val="22"/>
        </w:rPr>
        <w:t>Project documents: MASTERING_PHASE1_ANALYSIS.md, MASTERING_PHASE1_DECISIONS.md, MASTERING_PHASE1_VALIDATION.md.</w:t>
      </w:r>
    </w:p>
    <w:p>
      <w:pPr>
        <w:pStyle w:val="ListBullet"/>
      </w:pPr>
      <w:r>
        <w:rPr>
          <w:rFonts w:ascii="Calibri" w:hAnsi="Calibri"/>
          <w:color w:val="000000"/>
          <w:sz w:val="22"/>
        </w:rPr>
        <w:t>Project documents: MASTERING_PHASE2_TARGETS_AND_VERSIONS.md and MASTERING_PHASE2_VALIDATION.md.</w:t>
      </w:r>
    </w:p>
    <w:p>
      <w:pPr>
        <w:pStyle w:val="ListBullet"/>
      </w:pPr>
      <w:r>
        <w:rPr>
          <w:rFonts w:ascii="Calibri" w:hAnsi="Calibri"/>
          <w:color w:val="000000"/>
          <w:sz w:val="22"/>
        </w:rPr>
        <w:t>Spotify for Artists: https://support.spotify.com/us/artists/article/loudness-normalization/</w:t>
      </w:r>
    </w:p>
    <w:p>
      <w:pPr>
        <w:pStyle w:val="ListBullet"/>
      </w:pPr>
      <w:r>
        <w:rPr>
          <w:rFonts w:ascii="Calibri" w:hAnsi="Calibri"/>
          <w:color w:val="000000"/>
          <w:sz w:val="22"/>
        </w:rPr>
        <w:t>EBU R 128: https://tech.ebu.ch/files/live/sites/tech/files/shared/r/r128-2014.pdf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F6B78"/>
        <w:sz w:val="18"/>
      </w:rPr>
      <w:t xml:space="preserve">Dozi  •  Phase 2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8"/>
        <w:sz w:val="18"/>
      </w:rPr>
      <w:t>DOZI MASTERING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83" w:lineRule="auto"/>
      <w:ind w:left="259" w:right="259"/>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Dozi Mastering — Phases 1–2 User Guide and Technical Overview</dc:title>
  <dc:subject>User manual, mastering workflow, architecture, and validation record</dc:subject>
  <dc:creator>Dozi</dc:creator>
  <cp:keywords>Dozi Mastering, audio mastering, LUFS, true peak, reference matching</cp:keywords>
  <dc:description>generated by python-docx</dc:description>
  <cp:lastModifiedBy/>
  <cp:revision>1</cp:revision>
  <dcterms:created xsi:type="dcterms:W3CDTF">2013-12-23T23:15:00Z</dcterms:created>
  <dcterms:modified xsi:type="dcterms:W3CDTF">2013-12-23T23:15:00Z</dcterms:modified>
  <cp:category/>
</cp:coreProperties>
</file>