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120"/>
        <w:jc w:val="center"/>
      </w:pPr>
      <w:r>
        <w:rPr>
          <w:rFonts w:ascii="Calibri" w:hAnsi="Calibri"/>
          <w:b/>
          <w:i w:val="0"/>
          <w:color w:val="1F4D78"/>
          <w:sz w:val="58"/>
        </w:rPr>
        <w:t>Weather Decision Agent</w:t>
      </w:r>
    </w:p>
    <w:p>
      <w:pPr>
        <w:spacing w:after="280"/>
        <w:jc w:val="center"/>
      </w:pPr>
      <w:r>
        <w:rPr>
          <w:rFonts w:ascii="Calibri" w:hAnsi="Calibri"/>
          <w:b w:val="0"/>
          <w:i w:val="0"/>
          <w:color w:val="2E74B5"/>
          <w:sz w:val="32"/>
        </w:rPr>
        <w:t>Practitioner Notes</w:t>
      </w:r>
    </w:p>
    <w:p>
      <w:pPr>
        <w:spacing w:after="1000"/>
        <w:jc w:val="center"/>
      </w:pPr>
      <w:r>
        <w:rPr>
          <w:rFonts w:ascii="Calibri" w:hAnsi="Calibri"/>
          <w:b w:val="0"/>
          <w:i/>
          <w:color w:val="626B75"/>
          <w:sz w:val="22"/>
        </w:rPr>
        <w:t>A concise guide for running, configuring, testing and maintaining the project</w:t>
      </w:r>
    </w:p>
    <w:p>
      <w:pPr>
        <w:jc w:val="center"/>
      </w:pPr>
      <w:r>
        <w:rPr>
          <w:rFonts w:ascii="Calibri" w:hAnsi="Calibri"/>
          <w:b/>
          <w:i w:val="0"/>
          <w:color w:val="202730"/>
          <w:sz w:val="21"/>
        </w:rPr>
        <w:t>Deniz Özmen · Ömer Şahin · June 2026</w:t>
      </w:r>
    </w:p>
    <w:p>
      <w:r>
        <w:br w:type="page"/>
      </w:r>
    </w:p>
    <w:p>
      <w:pPr>
        <w:pStyle w:val="Heading1"/>
        <w:keepNext/>
      </w:pPr>
      <w:r>
        <w:t>1. Purpose and Operating Model</w:t>
      </w:r>
    </w:p>
    <w:p>
      <w:r>
        <w:rPr>
          <w:rFonts w:ascii="Calibri" w:hAnsi="Calibri"/>
          <w:b w:val="0"/>
          <w:i w:val="0"/>
          <w:color w:val="202730"/>
          <w:sz w:val="22"/>
        </w:rPr>
        <w:t>These notes are for a developer, evaluator or maintainer who needs to run the application and understand where decisions are made. The core rule is simple: deterministic code owns safety and scoring; external services provide data; the LLM explains an approved result.</w:t>
      </w:r>
    </w:p>
    <w:p>
      <w:pPr>
        <w:pStyle w:val="Heading1"/>
        <w:keepNext/>
      </w:pPr>
      <w:r>
        <w:t>2. System Flow</w:t>
      </w:r>
    </w:p>
    <w:tbl>
      <w:tblPr>
        <w:tblStyle w:val="TableGrid"/>
        <w:tblW w:type="dxa" w:w="9360"/>
        <w:jc w:val="left"/>
        <w:tblLayout w:type="fixed"/>
        <w:tblLook w:firstColumn="1" w:firstRow="1" w:lastColumn="0" w:lastRow="0" w:noHBand="0" w:noVBand="1" w:val="04A0"/>
        <w:tblInd w:w="120" w:type="dxa"/>
      </w:tblPr>
      <w:tblGrid>
        <w:gridCol w:w="900"/>
        <w:gridCol w:w="4940"/>
        <w:gridCol w:w="3520"/>
      </w:tblGrid>
      <w:tr>
        <w:trPr>
          <w:tblHeader w:val="true"/>
        </w:trPr>
        <w:tc>
          <w:tcPr>
            <w:tcW w:type="dxa" w:w="900"/>
            <w:vAlign w:val="center"/>
            <w:tcMar>
              <w:top w:w="80" w:type="dxa"/>
              <w:start w:w="120" w:type="dxa"/>
              <w:bottom w:w="80" w:type="dxa"/>
              <w:end w:w="120" w:type="dxa"/>
            </w:tcMar>
            <w:shd w:fill="F2F4F7"/>
          </w:tcPr>
          <w:p>
            <w:pPr>
              <w:spacing w:before="0" w:after="0"/>
            </w:pPr>
            <w:r>
              <w:rPr>
                <w:rFonts w:ascii="Calibri" w:hAnsi="Calibri"/>
                <w:b/>
                <w:i w:val="0"/>
                <w:color w:val="202730"/>
                <w:sz w:val="18"/>
              </w:rPr>
              <w:t>Stage</w:t>
            </w:r>
          </w:p>
        </w:tc>
        <w:tc>
          <w:tcPr>
            <w:tcW w:type="dxa" w:w="4940"/>
            <w:vAlign w:val="center"/>
            <w:tcMar>
              <w:top w:w="80" w:type="dxa"/>
              <w:start w:w="120" w:type="dxa"/>
              <w:bottom w:w="80" w:type="dxa"/>
              <w:end w:w="120" w:type="dxa"/>
            </w:tcMar>
            <w:shd w:fill="F2F4F7"/>
          </w:tcPr>
          <w:p>
            <w:pPr>
              <w:spacing w:before="0" w:after="0"/>
            </w:pPr>
            <w:r>
              <w:rPr>
                <w:rFonts w:ascii="Calibri" w:hAnsi="Calibri"/>
                <w:b/>
                <w:i w:val="0"/>
                <w:color w:val="202730"/>
                <w:sz w:val="18"/>
              </w:rPr>
              <w:t>Responsibility</w:t>
            </w:r>
          </w:p>
        </w:tc>
        <w:tc>
          <w:tcPr>
            <w:tcW w:type="dxa" w:w="3520"/>
            <w:vAlign w:val="center"/>
            <w:tcMar>
              <w:top w:w="80" w:type="dxa"/>
              <w:start w:w="120" w:type="dxa"/>
              <w:bottom w:w="80" w:type="dxa"/>
              <w:end w:w="120" w:type="dxa"/>
            </w:tcMar>
            <w:shd w:fill="F2F4F7"/>
          </w:tcPr>
          <w:p>
            <w:pPr>
              <w:spacing w:before="0" w:after="0"/>
            </w:pPr>
            <w:r>
              <w:rPr>
                <w:rFonts w:ascii="Calibri" w:hAnsi="Calibri"/>
                <w:b/>
                <w:i w:val="0"/>
                <w:color w:val="202730"/>
                <w:sz w:val="18"/>
              </w:rPr>
              <w:t>Main component</w:t>
            </w:r>
          </w:p>
        </w:tc>
      </w:tr>
      <w:tr>
        <w:tc>
          <w:tcPr>
            <w:tcW w:type="dxa" w:w="900"/>
            <w:vAlign w:val="center"/>
            <w:tcMar>
              <w:top w:w="80" w:type="dxa"/>
              <w:start w:w="120" w:type="dxa"/>
              <w:bottom w:w="80" w:type="dxa"/>
              <w:end w:w="120" w:type="dxa"/>
            </w:tcMar>
          </w:tcPr>
          <w:p>
            <w:pPr>
              <w:spacing w:before="0" w:after="0"/>
            </w:pPr>
            <w:r>
              <w:rPr>
                <w:rFonts w:ascii="Calibri" w:hAnsi="Calibri"/>
                <w:b w:val="0"/>
                <w:i w:val="0"/>
                <w:color w:val="202730"/>
                <w:sz w:val="18"/>
              </w:rPr>
              <w:t>1</w:t>
            </w:r>
          </w:p>
        </w:tc>
        <w:tc>
          <w:tcPr>
            <w:tcW w:type="dxa" w:w="4940"/>
            <w:vAlign w:val="center"/>
            <w:tcMar>
              <w:top w:w="80" w:type="dxa"/>
              <w:start w:w="120" w:type="dxa"/>
              <w:bottom w:w="80" w:type="dxa"/>
              <w:end w:w="120" w:type="dxa"/>
            </w:tcMar>
          </w:tcPr>
          <w:p>
            <w:pPr>
              <w:spacing w:before="0" w:after="0"/>
            </w:pPr>
            <w:r>
              <w:rPr>
                <w:rFonts w:ascii="Calibri" w:hAnsi="Calibri"/>
                <w:b w:val="0"/>
                <w:i w:val="0"/>
                <w:color w:val="202730"/>
                <w:sz w:val="18"/>
              </w:rPr>
              <w:t>Collect location, date and preferences</w:t>
            </w:r>
          </w:p>
        </w:tc>
        <w:tc>
          <w:tcPr>
            <w:tcW w:type="dxa" w:w="3520"/>
            <w:vAlign w:val="center"/>
            <w:tcMar>
              <w:top w:w="80" w:type="dxa"/>
              <w:start w:w="120" w:type="dxa"/>
              <w:bottom w:w="80" w:type="dxa"/>
              <w:end w:w="120" w:type="dxa"/>
            </w:tcMar>
          </w:tcPr>
          <w:p>
            <w:pPr>
              <w:spacing w:before="0" w:after="0"/>
            </w:pPr>
            <w:r>
              <w:rPr>
                <w:rFonts w:ascii="Calibri" w:hAnsi="Calibri"/>
                <w:b w:val="0"/>
                <w:i w:val="0"/>
                <w:color w:val="202730"/>
                <w:sz w:val="18"/>
              </w:rPr>
              <w:t>Streamlit UI</w:t>
            </w:r>
          </w:p>
        </w:tc>
      </w:tr>
      <w:tr>
        <w:tc>
          <w:tcPr>
            <w:tcW w:type="dxa" w:w="900"/>
            <w:vAlign w:val="center"/>
            <w:tcMar>
              <w:top w:w="80" w:type="dxa"/>
              <w:start w:w="120" w:type="dxa"/>
              <w:bottom w:w="80" w:type="dxa"/>
              <w:end w:w="120" w:type="dxa"/>
            </w:tcMar>
          </w:tcPr>
          <w:p>
            <w:pPr>
              <w:spacing w:before="0" w:after="0"/>
            </w:pPr>
            <w:r>
              <w:rPr>
                <w:rFonts w:ascii="Calibri" w:hAnsi="Calibri"/>
                <w:b w:val="0"/>
                <w:i w:val="0"/>
                <w:color w:val="202730"/>
                <w:sz w:val="18"/>
              </w:rPr>
              <w:t>2</w:t>
            </w:r>
          </w:p>
        </w:tc>
        <w:tc>
          <w:tcPr>
            <w:tcW w:type="dxa" w:w="4940"/>
            <w:vAlign w:val="center"/>
            <w:tcMar>
              <w:top w:w="80" w:type="dxa"/>
              <w:start w:w="120" w:type="dxa"/>
              <w:bottom w:w="80" w:type="dxa"/>
              <w:end w:w="120" w:type="dxa"/>
            </w:tcMar>
          </w:tcPr>
          <w:p>
            <w:pPr>
              <w:spacing w:before="0" w:after="0"/>
            </w:pPr>
            <w:r>
              <w:rPr>
                <w:rFonts w:ascii="Calibri" w:hAnsi="Calibri"/>
                <w:b w:val="0"/>
                <w:i w:val="0"/>
                <w:color w:val="202730"/>
                <w:sz w:val="18"/>
              </w:rPr>
              <w:t>Fetch and normalize seven-day forecast</w:t>
            </w:r>
          </w:p>
        </w:tc>
        <w:tc>
          <w:tcPr>
            <w:tcW w:type="dxa" w:w="3520"/>
            <w:vAlign w:val="center"/>
            <w:tcMar>
              <w:top w:w="80" w:type="dxa"/>
              <w:start w:w="120" w:type="dxa"/>
              <w:bottom w:w="80" w:type="dxa"/>
              <w:end w:w="120" w:type="dxa"/>
            </w:tcMar>
          </w:tcPr>
          <w:p>
            <w:pPr>
              <w:spacing w:before="0" w:after="0"/>
            </w:pPr>
            <w:r>
              <w:rPr>
                <w:rFonts w:ascii="Calibri" w:hAnsi="Calibri"/>
                <w:b w:val="0"/>
                <w:i w:val="0"/>
                <w:color w:val="202730"/>
                <w:sz w:val="18"/>
              </w:rPr>
              <w:t>Open-Meteo service</w:t>
            </w:r>
          </w:p>
        </w:tc>
      </w:tr>
      <w:tr>
        <w:tc>
          <w:tcPr>
            <w:tcW w:type="dxa" w:w="900"/>
            <w:vAlign w:val="center"/>
            <w:tcMar>
              <w:top w:w="80" w:type="dxa"/>
              <w:start w:w="120" w:type="dxa"/>
              <w:bottom w:w="80" w:type="dxa"/>
              <w:end w:w="120" w:type="dxa"/>
            </w:tcMar>
          </w:tcPr>
          <w:p>
            <w:pPr>
              <w:spacing w:before="0" w:after="0"/>
            </w:pPr>
            <w:r>
              <w:rPr>
                <w:rFonts w:ascii="Calibri" w:hAnsi="Calibri"/>
                <w:b w:val="0"/>
                <w:i w:val="0"/>
                <w:color w:val="202730"/>
                <w:sz w:val="18"/>
              </w:rPr>
              <w:t>3</w:t>
            </w:r>
          </w:p>
        </w:tc>
        <w:tc>
          <w:tcPr>
            <w:tcW w:type="dxa" w:w="4940"/>
            <w:vAlign w:val="center"/>
            <w:tcMar>
              <w:top w:w="80" w:type="dxa"/>
              <w:start w:w="120" w:type="dxa"/>
              <w:bottom w:w="80" w:type="dxa"/>
              <w:end w:w="120" w:type="dxa"/>
            </w:tcMar>
          </w:tcPr>
          <w:p>
            <w:pPr>
              <w:spacing w:before="0" w:after="0"/>
            </w:pPr>
            <w:r>
              <w:rPr>
                <w:rFonts w:ascii="Calibri" w:hAnsi="Calibri"/>
                <w:b w:val="0"/>
                <w:i w:val="0"/>
                <w:color w:val="202730"/>
                <w:sz w:val="18"/>
              </w:rPr>
              <w:t>Calculate risk and reject unsafe options</w:t>
            </w:r>
          </w:p>
        </w:tc>
        <w:tc>
          <w:tcPr>
            <w:tcW w:type="dxa" w:w="3520"/>
            <w:vAlign w:val="center"/>
            <w:tcMar>
              <w:top w:w="80" w:type="dxa"/>
              <w:start w:w="120" w:type="dxa"/>
              <w:bottom w:w="80" w:type="dxa"/>
              <w:end w:w="120" w:type="dxa"/>
            </w:tcMar>
          </w:tcPr>
          <w:p>
            <w:pPr>
              <w:spacing w:before="0" w:after="0"/>
            </w:pPr>
            <w:r>
              <w:rPr>
                <w:rFonts w:ascii="Calibri" w:hAnsi="Calibri"/>
                <w:b w:val="0"/>
                <w:i w:val="0"/>
                <w:color w:val="202730"/>
                <w:sz w:val="18"/>
              </w:rPr>
              <w:t>Rules and scoring</w:t>
            </w:r>
          </w:p>
        </w:tc>
      </w:tr>
      <w:tr>
        <w:tc>
          <w:tcPr>
            <w:tcW w:type="dxa" w:w="900"/>
            <w:vAlign w:val="center"/>
            <w:tcMar>
              <w:top w:w="80" w:type="dxa"/>
              <w:start w:w="120" w:type="dxa"/>
              <w:bottom w:w="80" w:type="dxa"/>
              <w:end w:w="120" w:type="dxa"/>
            </w:tcMar>
          </w:tcPr>
          <w:p>
            <w:pPr>
              <w:spacing w:before="0" w:after="0"/>
            </w:pPr>
            <w:r>
              <w:rPr>
                <w:rFonts w:ascii="Calibri" w:hAnsi="Calibri"/>
                <w:b w:val="0"/>
                <w:i w:val="0"/>
                <w:color w:val="202730"/>
                <w:sz w:val="18"/>
              </w:rPr>
              <w:t>4</w:t>
            </w:r>
          </w:p>
        </w:tc>
        <w:tc>
          <w:tcPr>
            <w:tcW w:type="dxa" w:w="4940"/>
            <w:vAlign w:val="center"/>
            <w:tcMar>
              <w:top w:w="80" w:type="dxa"/>
              <w:start w:w="120" w:type="dxa"/>
              <w:bottom w:w="80" w:type="dxa"/>
              <w:end w:w="120" w:type="dxa"/>
            </w:tcMar>
          </w:tcPr>
          <w:p>
            <w:pPr>
              <w:spacing w:before="0" w:after="0"/>
            </w:pPr>
            <w:r>
              <w:rPr>
                <w:rFonts w:ascii="Calibri" w:hAnsi="Calibri"/>
                <w:b w:val="0"/>
                <w:i w:val="0"/>
                <w:color w:val="202730"/>
                <w:sz w:val="18"/>
              </w:rPr>
              <w:t>Try exact match, then close fallback</w:t>
            </w:r>
          </w:p>
        </w:tc>
        <w:tc>
          <w:tcPr>
            <w:tcW w:type="dxa" w:w="3520"/>
            <w:vAlign w:val="center"/>
            <w:tcMar>
              <w:top w:w="80" w:type="dxa"/>
              <w:start w:w="120" w:type="dxa"/>
              <w:bottom w:w="80" w:type="dxa"/>
              <w:end w:w="120" w:type="dxa"/>
            </w:tcMar>
          </w:tcPr>
          <w:p>
            <w:pPr>
              <w:spacing w:before="0" w:after="0"/>
            </w:pPr>
            <w:r>
              <w:rPr>
                <w:rFonts w:ascii="Calibri" w:hAnsi="Calibri"/>
                <w:b w:val="0"/>
                <w:i w:val="0"/>
                <w:color w:val="202730"/>
                <w:sz w:val="18"/>
              </w:rPr>
              <w:t>Decision agent</w:t>
            </w:r>
          </w:p>
        </w:tc>
      </w:tr>
      <w:tr>
        <w:tc>
          <w:tcPr>
            <w:tcW w:type="dxa" w:w="900"/>
            <w:vAlign w:val="center"/>
            <w:tcMar>
              <w:top w:w="80" w:type="dxa"/>
              <w:start w:w="120" w:type="dxa"/>
              <w:bottom w:w="80" w:type="dxa"/>
              <w:end w:w="120" w:type="dxa"/>
            </w:tcMar>
          </w:tcPr>
          <w:p>
            <w:pPr>
              <w:spacing w:before="0" w:after="0"/>
            </w:pPr>
            <w:r>
              <w:rPr>
                <w:rFonts w:ascii="Calibri" w:hAnsi="Calibri"/>
                <w:b w:val="0"/>
                <w:i w:val="0"/>
                <w:color w:val="202730"/>
                <w:sz w:val="18"/>
              </w:rPr>
              <w:t>5</w:t>
            </w:r>
          </w:p>
        </w:tc>
        <w:tc>
          <w:tcPr>
            <w:tcW w:type="dxa" w:w="4940"/>
            <w:vAlign w:val="center"/>
            <w:tcMar>
              <w:top w:w="80" w:type="dxa"/>
              <w:start w:w="120" w:type="dxa"/>
              <w:bottom w:w="80" w:type="dxa"/>
              <w:end w:w="120" w:type="dxa"/>
            </w:tcMar>
          </w:tcPr>
          <w:p>
            <w:pPr>
              <w:spacing w:before="0" w:after="0"/>
            </w:pPr>
            <w:r>
              <w:rPr>
                <w:rFonts w:ascii="Calibri" w:hAnsi="Calibri"/>
                <w:b w:val="0"/>
                <w:i w:val="0"/>
                <w:color w:val="202730"/>
                <w:sz w:val="18"/>
              </w:rPr>
              <w:t>Find verified nearby venues</w:t>
            </w:r>
          </w:p>
        </w:tc>
        <w:tc>
          <w:tcPr>
            <w:tcW w:type="dxa" w:w="3520"/>
            <w:vAlign w:val="center"/>
            <w:tcMar>
              <w:top w:w="80" w:type="dxa"/>
              <w:start w:w="120" w:type="dxa"/>
              <w:bottom w:w="80" w:type="dxa"/>
              <w:end w:w="120" w:type="dxa"/>
            </w:tcMar>
          </w:tcPr>
          <w:p>
            <w:pPr>
              <w:spacing w:before="0" w:after="0"/>
            </w:pPr>
            <w:r>
              <w:rPr>
                <w:rFonts w:ascii="Calibri" w:hAnsi="Calibri"/>
                <w:b w:val="0"/>
                <w:i w:val="0"/>
                <w:color w:val="202730"/>
                <w:sz w:val="18"/>
              </w:rPr>
              <w:t>Venue provider / Google Places</w:t>
            </w:r>
          </w:p>
        </w:tc>
      </w:tr>
      <w:tr>
        <w:tc>
          <w:tcPr>
            <w:tcW w:type="dxa" w:w="900"/>
            <w:vAlign w:val="center"/>
            <w:tcMar>
              <w:top w:w="80" w:type="dxa"/>
              <w:start w:w="120" w:type="dxa"/>
              <w:bottom w:w="80" w:type="dxa"/>
              <w:end w:w="120" w:type="dxa"/>
            </w:tcMar>
          </w:tcPr>
          <w:p>
            <w:pPr>
              <w:spacing w:before="0" w:after="0"/>
            </w:pPr>
            <w:r>
              <w:rPr>
                <w:rFonts w:ascii="Calibri" w:hAnsi="Calibri"/>
                <w:b w:val="0"/>
                <w:i w:val="0"/>
                <w:color w:val="202730"/>
                <w:sz w:val="18"/>
              </w:rPr>
              <w:t>6</w:t>
            </w:r>
          </w:p>
        </w:tc>
        <w:tc>
          <w:tcPr>
            <w:tcW w:type="dxa" w:w="4940"/>
            <w:vAlign w:val="center"/>
            <w:tcMar>
              <w:top w:w="80" w:type="dxa"/>
              <w:start w:w="120" w:type="dxa"/>
              <w:bottom w:w="80" w:type="dxa"/>
              <w:end w:w="120" w:type="dxa"/>
            </w:tcMar>
          </w:tcPr>
          <w:p>
            <w:pPr>
              <w:spacing w:before="0" w:after="0"/>
            </w:pPr>
            <w:r>
              <w:rPr>
                <w:rFonts w:ascii="Calibri" w:hAnsi="Calibri"/>
                <w:b w:val="0"/>
                <w:i w:val="0"/>
                <w:color w:val="202730"/>
                <w:sz w:val="18"/>
              </w:rPr>
              <w:t>Explain the approved recommendation</w:t>
            </w:r>
          </w:p>
        </w:tc>
        <w:tc>
          <w:tcPr>
            <w:tcW w:type="dxa" w:w="3520"/>
            <w:vAlign w:val="center"/>
            <w:tcMar>
              <w:top w:w="80" w:type="dxa"/>
              <w:start w:w="120" w:type="dxa"/>
              <w:bottom w:w="80" w:type="dxa"/>
              <w:end w:w="120" w:type="dxa"/>
            </w:tcMar>
          </w:tcPr>
          <w:p>
            <w:pPr>
              <w:spacing w:before="0" w:after="0"/>
            </w:pPr>
            <w:r>
              <w:rPr>
                <w:rFonts w:ascii="Calibri" w:hAnsi="Calibri"/>
                <w:b w:val="0"/>
                <w:i w:val="0"/>
                <w:color w:val="202730"/>
                <w:sz w:val="18"/>
              </w:rPr>
              <w:t>Optional LLM services</w:t>
            </w:r>
          </w:p>
        </w:tc>
      </w:tr>
    </w:tbl>
    <w:p>
      <w:pPr>
        <w:pStyle w:val="Heading1"/>
        <w:keepNext/>
      </w:pPr>
      <w:r>
        <w:t>3. Local Setup</w:t>
      </w:r>
    </w:p>
    <w:p>
      <w:r>
        <w:rPr>
          <w:rFonts w:ascii="Calibri" w:hAnsi="Calibri"/>
          <w:b w:val="0"/>
          <w:i w:val="0"/>
          <w:color w:val="202730"/>
          <w:sz w:val="22"/>
        </w:rPr>
        <w:t>Use Python 3.12 and install the pinned project dependencies.</w:t>
      </w:r>
    </w:p>
    <w:p>
      <w:pPr>
        <w:spacing w:before="0" w:after="0"/>
        <w:ind w:left="259"/>
        <w:shd w:fill="F2F4F7"/>
      </w:pPr>
      <w:r>
        <w:rPr>
          <w:rFonts w:ascii="Courier New" w:hAnsi="Courier New"/>
          <w:b w:val="0"/>
          <w:i w:val="0"/>
          <w:color w:val="202730"/>
          <w:sz w:val="19"/>
        </w:rPr>
        <w:t>python3.12 -m venv .venv</w:t>
      </w:r>
    </w:p>
    <w:p>
      <w:pPr>
        <w:spacing w:before="0" w:after="0"/>
        <w:ind w:left="259"/>
        <w:shd w:fill="F2F4F7"/>
      </w:pPr>
      <w:r>
        <w:rPr>
          <w:rFonts w:ascii="Courier New" w:hAnsi="Courier New"/>
          <w:b w:val="0"/>
          <w:i w:val="0"/>
          <w:color w:val="202730"/>
          <w:sz w:val="19"/>
        </w:rPr>
        <w:t>source .venv/bin/activate</w:t>
      </w:r>
    </w:p>
    <w:p>
      <w:pPr>
        <w:spacing w:before="0" w:after="160"/>
        <w:ind w:left="259"/>
        <w:shd w:fill="F2F4F7"/>
      </w:pPr>
      <w:r>
        <w:rPr>
          <w:rFonts w:ascii="Courier New" w:hAnsi="Courier New"/>
          <w:b w:val="0"/>
          <w:i w:val="0"/>
          <w:color w:val="202730"/>
          <w:sz w:val="19"/>
        </w:rPr>
        <w:t>pip install -r requirements.txt</w:t>
      </w:r>
    </w:p>
    <w:p>
      <w:r>
        <w:rPr>
          <w:rFonts w:ascii="Calibri" w:hAnsi="Calibri"/>
          <w:b w:val="0"/>
          <w:i w:val="0"/>
          <w:color w:val="202730"/>
          <w:sz w:val="22"/>
        </w:rPr>
        <w:t>Copy `.env.example` to `.env` and fill only the services that will be enabled. Never commit `.env` or real API keys.</w:t>
      </w:r>
    </w:p>
    <w:p>
      <w:pPr>
        <w:pStyle w:val="Heading1"/>
        <w:keepNext/>
      </w:pPr>
      <w:r>
        <w:t>4. Environment Configuration</w:t>
      </w:r>
    </w:p>
    <w:tbl>
      <w:tblPr>
        <w:tblStyle w:val="TableGrid"/>
        <w:tblW w:type="dxa" w:w="9360"/>
        <w:jc w:val="left"/>
        <w:tblLayout w:type="fixed"/>
        <w:tblLook w:firstColumn="1" w:firstRow="1" w:lastColumn="0" w:lastRow="0" w:noHBand="0" w:noVBand="1" w:val="04A0"/>
        <w:tblInd w:w="120" w:type="dxa"/>
      </w:tblPr>
      <w:tblGrid>
        <w:gridCol w:w="2650"/>
        <w:gridCol w:w="2250"/>
        <w:gridCol w:w="4460"/>
      </w:tblGrid>
      <w:tr>
        <w:trPr>
          <w:tblHeader w:val="true"/>
        </w:trPr>
        <w:tc>
          <w:tcPr>
            <w:tcW w:type="dxa" w:w="2650"/>
            <w:vAlign w:val="center"/>
            <w:tcMar>
              <w:top w:w="80" w:type="dxa"/>
              <w:start w:w="120" w:type="dxa"/>
              <w:bottom w:w="80" w:type="dxa"/>
              <w:end w:w="120" w:type="dxa"/>
            </w:tcMar>
            <w:shd w:fill="F2F4F7"/>
          </w:tcPr>
          <w:p>
            <w:pPr>
              <w:spacing w:before="0" w:after="0"/>
            </w:pPr>
            <w:r>
              <w:rPr>
                <w:rFonts w:ascii="Calibri" w:hAnsi="Calibri"/>
                <w:b/>
                <w:i w:val="0"/>
                <w:color w:val="202730"/>
                <w:sz w:val="17"/>
              </w:rPr>
              <w:t>Variable</w:t>
            </w:r>
          </w:p>
        </w:tc>
        <w:tc>
          <w:tcPr>
            <w:tcW w:type="dxa" w:w="2250"/>
            <w:vAlign w:val="center"/>
            <w:tcMar>
              <w:top w:w="80" w:type="dxa"/>
              <w:start w:w="120" w:type="dxa"/>
              <w:bottom w:w="80" w:type="dxa"/>
              <w:end w:w="120" w:type="dxa"/>
            </w:tcMar>
            <w:shd w:fill="F2F4F7"/>
          </w:tcPr>
          <w:p>
            <w:pPr>
              <w:spacing w:before="0" w:after="0"/>
            </w:pPr>
            <w:r>
              <w:rPr>
                <w:rFonts w:ascii="Calibri" w:hAnsi="Calibri"/>
                <w:b/>
                <w:i w:val="0"/>
                <w:color w:val="202730"/>
                <w:sz w:val="17"/>
              </w:rPr>
              <w:t>When needed</w:t>
            </w:r>
          </w:p>
        </w:tc>
        <w:tc>
          <w:tcPr>
            <w:tcW w:type="dxa" w:w="4460"/>
            <w:vAlign w:val="center"/>
            <w:tcMar>
              <w:top w:w="80" w:type="dxa"/>
              <w:start w:w="120" w:type="dxa"/>
              <w:bottom w:w="80" w:type="dxa"/>
              <w:end w:w="120" w:type="dxa"/>
            </w:tcMar>
            <w:shd w:fill="F2F4F7"/>
          </w:tcPr>
          <w:p>
            <w:pPr>
              <w:spacing w:before="0" w:after="0"/>
            </w:pPr>
            <w:r>
              <w:rPr>
                <w:rFonts w:ascii="Calibri" w:hAnsi="Calibri"/>
                <w:b/>
                <w:i w:val="0"/>
                <w:color w:val="202730"/>
                <w:sz w:val="17"/>
              </w:rPr>
              <w:t>Purpose</w:t>
            </w:r>
          </w:p>
        </w:tc>
      </w:tr>
      <w:tr>
        <w:tc>
          <w:tcPr>
            <w:tcW w:type="dxa" w:w="2650"/>
            <w:vAlign w:val="center"/>
            <w:tcMar>
              <w:top w:w="80" w:type="dxa"/>
              <w:start w:w="120" w:type="dxa"/>
              <w:bottom w:w="80" w:type="dxa"/>
              <w:end w:w="120" w:type="dxa"/>
            </w:tcMar>
          </w:tcPr>
          <w:p>
            <w:pPr>
              <w:spacing w:before="0" w:after="0"/>
            </w:pPr>
            <w:r>
              <w:rPr>
                <w:rFonts w:ascii="Calibri" w:hAnsi="Calibri"/>
                <w:b w:val="0"/>
                <w:i w:val="0"/>
                <w:color w:val="202730"/>
                <w:sz w:val="17"/>
              </w:rPr>
              <w:t>VENUE_PROVIDER</w:t>
            </w:r>
          </w:p>
        </w:tc>
        <w:tc>
          <w:tcPr>
            <w:tcW w:type="dxa" w:w="2250"/>
            <w:vAlign w:val="center"/>
            <w:tcMar>
              <w:top w:w="80" w:type="dxa"/>
              <w:start w:w="120" w:type="dxa"/>
              <w:bottom w:w="80" w:type="dxa"/>
              <w:end w:w="120" w:type="dxa"/>
            </w:tcMar>
          </w:tcPr>
          <w:p>
            <w:pPr>
              <w:spacing w:before="0" w:after="0"/>
            </w:pPr>
            <w:r>
              <w:rPr>
                <w:rFonts w:ascii="Calibri" w:hAnsi="Calibri"/>
                <w:b w:val="0"/>
                <w:i w:val="0"/>
                <w:color w:val="202730"/>
                <w:sz w:val="17"/>
              </w:rPr>
              <w:t>Always</w:t>
            </w:r>
          </w:p>
        </w:tc>
        <w:tc>
          <w:tcPr>
            <w:tcW w:type="dxa" w:w="4460"/>
            <w:vAlign w:val="center"/>
            <w:tcMar>
              <w:top w:w="80" w:type="dxa"/>
              <w:start w:w="120" w:type="dxa"/>
              <w:bottom w:w="80" w:type="dxa"/>
              <w:end w:w="120" w:type="dxa"/>
            </w:tcMar>
          </w:tcPr>
          <w:p>
            <w:pPr>
              <w:spacing w:before="0" w:after="0"/>
            </w:pPr>
            <w:r>
              <w:rPr>
                <w:rFonts w:ascii="Calibri" w:hAnsi="Calibri"/>
                <w:b w:val="0"/>
                <w:i w:val="0"/>
                <w:color w:val="202730"/>
                <w:sz w:val="17"/>
              </w:rPr>
              <w:t>Select `json` or `google_places`</w:t>
            </w:r>
          </w:p>
        </w:tc>
      </w:tr>
      <w:tr>
        <w:tc>
          <w:tcPr>
            <w:tcW w:type="dxa" w:w="2650"/>
            <w:vAlign w:val="center"/>
            <w:tcMar>
              <w:top w:w="80" w:type="dxa"/>
              <w:start w:w="120" w:type="dxa"/>
              <w:bottom w:w="80" w:type="dxa"/>
              <w:end w:w="120" w:type="dxa"/>
            </w:tcMar>
          </w:tcPr>
          <w:p>
            <w:pPr>
              <w:spacing w:before="0" w:after="0"/>
            </w:pPr>
            <w:r>
              <w:rPr>
                <w:rFonts w:ascii="Calibri" w:hAnsi="Calibri"/>
                <w:b w:val="0"/>
                <w:i w:val="0"/>
                <w:color w:val="202730"/>
                <w:sz w:val="17"/>
              </w:rPr>
              <w:t>GOOGLE_PLACES_API_KEY</w:t>
            </w:r>
          </w:p>
        </w:tc>
        <w:tc>
          <w:tcPr>
            <w:tcW w:type="dxa" w:w="2250"/>
            <w:vAlign w:val="center"/>
            <w:tcMar>
              <w:top w:w="80" w:type="dxa"/>
              <w:start w:w="120" w:type="dxa"/>
              <w:bottom w:w="80" w:type="dxa"/>
              <w:end w:w="120" w:type="dxa"/>
            </w:tcMar>
          </w:tcPr>
          <w:p>
            <w:pPr>
              <w:spacing w:before="0" w:after="0"/>
            </w:pPr>
            <w:r>
              <w:rPr>
                <w:rFonts w:ascii="Calibri" w:hAnsi="Calibri"/>
                <w:b w:val="0"/>
                <w:i w:val="0"/>
                <w:color w:val="202730"/>
                <w:sz w:val="17"/>
              </w:rPr>
              <w:t>Google Places mode</w:t>
            </w:r>
          </w:p>
        </w:tc>
        <w:tc>
          <w:tcPr>
            <w:tcW w:type="dxa" w:w="4460"/>
            <w:vAlign w:val="center"/>
            <w:tcMar>
              <w:top w:w="80" w:type="dxa"/>
              <w:start w:w="120" w:type="dxa"/>
              <w:bottom w:w="80" w:type="dxa"/>
              <w:end w:w="120" w:type="dxa"/>
            </w:tcMar>
          </w:tcPr>
          <w:p>
            <w:pPr>
              <w:spacing w:before="0" w:after="0"/>
            </w:pPr>
            <w:r>
              <w:rPr>
                <w:rFonts w:ascii="Calibri" w:hAnsi="Calibri"/>
                <w:b w:val="0"/>
                <w:i w:val="0"/>
                <w:color w:val="202730"/>
                <w:sz w:val="17"/>
              </w:rPr>
              <w:t>Server-side venue search secret</w:t>
            </w:r>
          </w:p>
        </w:tc>
      </w:tr>
      <w:tr>
        <w:tc>
          <w:tcPr>
            <w:tcW w:type="dxa" w:w="2650"/>
            <w:vAlign w:val="center"/>
            <w:tcMar>
              <w:top w:w="80" w:type="dxa"/>
              <w:start w:w="120" w:type="dxa"/>
              <w:bottom w:w="80" w:type="dxa"/>
              <w:end w:w="120" w:type="dxa"/>
            </w:tcMar>
          </w:tcPr>
          <w:p>
            <w:pPr>
              <w:spacing w:before="0" w:after="0"/>
            </w:pPr>
            <w:r>
              <w:rPr>
                <w:rFonts w:ascii="Calibri" w:hAnsi="Calibri"/>
                <w:b w:val="0"/>
                <w:i w:val="0"/>
                <w:color w:val="202730"/>
                <w:sz w:val="17"/>
              </w:rPr>
              <w:t>GOOGLE_MAPS_BROWSER_API_KEY</w:t>
            </w:r>
          </w:p>
        </w:tc>
        <w:tc>
          <w:tcPr>
            <w:tcW w:type="dxa" w:w="2250"/>
            <w:vAlign w:val="center"/>
            <w:tcMar>
              <w:top w:w="80" w:type="dxa"/>
              <w:start w:w="120" w:type="dxa"/>
              <w:bottom w:w="80" w:type="dxa"/>
              <w:end w:w="120" w:type="dxa"/>
            </w:tcMar>
          </w:tcPr>
          <w:p>
            <w:pPr>
              <w:spacing w:before="0" w:after="0"/>
            </w:pPr>
            <w:r>
              <w:rPr>
                <w:rFonts w:ascii="Calibri" w:hAnsi="Calibri"/>
                <w:b w:val="0"/>
                <w:i w:val="0"/>
                <w:color w:val="202730"/>
                <w:sz w:val="17"/>
              </w:rPr>
              <w:t>Google Maps picker</w:t>
            </w:r>
          </w:p>
        </w:tc>
        <w:tc>
          <w:tcPr>
            <w:tcW w:type="dxa" w:w="4460"/>
            <w:vAlign w:val="center"/>
            <w:tcMar>
              <w:top w:w="80" w:type="dxa"/>
              <w:start w:w="120" w:type="dxa"/>
              <w:bottom w:w="80" w:type="dxa"/>
              <w:end w:w="120" w:type="dxa"/>
            </w:tcMar>
          </w:tcPr>
          <w:p>
            <w:pPr>
              <w:spacing w:before="0" w:after="0"/>
            </w:pPr>
            <w:r>
              <w:rPr>
                <w:rFonts w:ascii="Calibri" w:hAnsi="Calibri"/>
                <w:b w:val="0"/>
                <w:i w:val="0"/>
                <w:color w:val="202730"/>
                <w:sz w:val="17"/>
              </w:rPr>
              <w:t>Referrer-restricted browser key</w:t>
            </w:r>
          </w:p>
        </w:tc>
      </w:tr>
      <w:tr>
        <w:tc>
          <w:tcPr>
            <w:tcW w:type="dxa" w:w="2650"/>
            <w:vAlign w:val="center"/>
            <w:tcMar>
              <w:top w:w="80" w:type="dxa"/>
              <w:start w:w="120" w:type="dxa"/>
              <w:bottom w:w="80" w:type="dxa"/>
              <w:end w:w="120" w:type="dxa"/>
            </w:tcMar>
          </w:tcPr>
          <w:p>
            <w:pPr>
              <w:spacing w:before="0" w:after="0"/>
            </w:pPr>
            <w:r>
              <w:rPr>
                <w:rFonts w:ascii="Calibri" w:hAnsi="Calibri"/>
                <w:b w:val="0"/>
                <w:i w:val="0"/>
                <w:color w:val="202730"/>
                <w:sz w:val="17"/>
              </w:rPr>
              <w:t>LLM_ENABLED</w:t>
            </w:r>
          </w:p>
        </w:tc>
        <w:tc>
          <w:tcPr>
            <w:tcW w:type="dxa" w:w="2250"/>
            <w:vAlign w:val="center"/>
            <w:tcMar>
              <w:top w:w="80" w:type="dxa"/>
              <w:start w:w="120" w:type="dxa"/>
              <w:bottom w:w="80" w:type="dxa"/>
              <w:end w:w="120" w:type="dxa"/>
            </w:tcMar>
          </w:tcPr>
          <w:p>
            <w:pPr>
              <w:spacing w:before="0" w:after="0"/>
            </w:pPr>
            <w:r>
              <w:rPr>
                <w:rFonts w:ascii="Calibri" w:hAnsi="Calibri"/>
                <w:b w:val="0"/>
                <w:i w:val="0"/>
                <w:color w:val="202730"/>
                <w:sz w:val="17"/>
              </w:rPr>
              <w:t>Always</w:t>
            </w:r>
          </w:p>
        </w:tc>
        <w:tc>
          <w:tcPr>
            <w:tcW w:type="dxa" w:w="4460"/>
            <w:vAlign w:val="center"/>
            <w:tcMar>
              <w:top w:w="80" w:type="dxa"/>
              <w:start w:w="120" w:type="dxa"/>
              <w:bottom w:w="80" w:type="dxa"/>
              <w:end w:w="120" w:type="dxa"/>
            </w:tcMar>
          </w:tcPr>
          <w:p>
            <w:pPr>
              <w:spacing w:before="0" w:after="0"/>
            </w:pPr>
            <w:r>
              <w:rPr>
                <w:rFonts w:ascii="Calibri" w:hAnsi="Calibri"/>
                <w:b w:val="0"/>
                <w:i w:val="0"/>
                <w:color w:val="202730"/>
                <w:sz w:val="17"/>
              </w:rPr>
              <w:t>Enable or disable LLM assistance</w:t>
            </w:r>
          </w:p>
        </w:tc>
      </w:tr>
      <w:tr>
        <w:tc>
          <w:tcPr>
            <w:tcW w:type="dxa" w:w="2650"/>
            <w:vAlign w:val="center"/>
            <w:tcMar>
              <w:top w:w="80" w:type="dxa"/>
              <w:start w:w="120" w:type="dxa"/>
              <w:bottom w:w="80" w:type="dxa"/>
              <w:end w:w="120" w:type="dxa"/>
            </w:tcMar>
          </w:tcPr>
          <w:p>
            <w:pPr>
              <w:spacing w:before="0" w:after="0"/>
            </w:pPr>
            <w:r>
              <w:rPr>
                <w:rFonts w:ascii="Calibri" w:hAnsi="Calibri"/>
                <w:b w:val="0"/>
                <w:i w:val="0"/>
                <w:color w:val="202730"/>
                <w:sz w:val="17"/>
              </w:rPr>
              <w:t>LLM_PROVIDER</w:t>
            </w:r>
          </w:p>
        </w:tc>
        <w:tc>
          <w:tcPr>
            <w:tcW w:type="dxa" w:w="2250"/>
            <w:vAlign w:val="center"/>
            <w:tcMar>
              <w:top w:w="80" w:type="dxa"/>
              <w:start w:w="120" w:type="dxa"/>
              <w:bottom w:w="80" w:type="dxa"/>
              <w:end w:w="120" w:type="dxa"/>
            </w:tcMar>
          </w:tcPr>
          <w:p>
            <w:pPr>
              <w:spacing w:before="0" w:after="0"/>
            </w:pPr>
            <w:r>
              <w:rPr>
                <w:rFonts w:ascii="Calibri" w:hAnsi="Calibri"/>
                <w:b w:val="0"/>
                <w:i w:val="0"/>
                <w:color w:val="202730"/>
                <w:sz w:val="17"/>
              </w:rPr>
              <w:t>LLM enabled</w:t>
            </w:r>
          </w:p>
        </w:tc>
        <w:tc>
          <w:tcPr>
            <w:tcW w:type="dxa" w:w="4460"/>
            <w:vAlign w:val="center"/>
            <w:tcMar>
              <w:top w:w="80" w:type="dxa"/>
              <w:start w:w="120" w:type="dxa"/>
              <w:bottom w:w="80" w:type="dxa"/>
              <w:end w:w="120" w:type="dxa"/>
            </w:tcMar>
          </w:tcPr>
          <w:p>
            <w:pPr>
              <w:spacing w:before="0" w:after="0"/>
            </w:pPr>
            <w:r>
              <w:rPr>
                <w:rFonts w:ascii="Calibri" w:hAnsi="Calibri"/>
                <w:b w:val="0"/>
                <w:i w:val="0"/>
                <w:color w:val="202730"/>
                <w:sz w:val="17"/>
              </w:rPr>
              <w:t>Select the configured LLM provider</w:t>
            </w:r>
          </w:p>
        </w:tc>
      </w:tr>
      <w:tr>
        <w:tc>
          <w:tcPr>
            <w:tcW w:type="dxa" w:w="2650"/>
            <w:vAlign w:val="center"/>
            <w:tcMar>
              <w:top w:w="80" w:type="dxa"/>
              <w:start w:w="120" w:type="dxa"/>
              <w:bottom w:w="80" w:type="dxa"/>
              <w:end w:w="120" w:type="dxa"/>
            </w:tcMar>
          </w:tcPr>
          <w:p>
            <w:pPr>
              <w:spacing w:before="0" w:after="0"/>
            </w:pPr>
            <w:r>
              <w:rPr>
                <w:rFonts w:ascii="Calibri" w:hAnsi="Calibri"/>
                <w:b w:val="0"/>
                <w:i w:val="0"/>
                <w:color w:val="202730"/>
                <w:sz w:val="17"/>
              </w:rPr>
              <w:t>LLM_MODEL</w:t>
            </w:r>
          </w:p>
        </w:tc>
        <w:tc>
          <w:tcPr>
            <w:tcW w:type="dxa" w:w="2250"/>
            <w:vAlign w:val="center"/>
            <w:tcMar>
              <w:top w:w="80" w:type="dxa"/>
              <w:start w:w="120" w:type="dxa"/>
              <w:bottom w:w="80" w:type="dxa"/>
              <w:end w:w="120" w:type="dxa"/>
            </w:tcMar>
          </w:tcPr>
          <w:p>
            <w:pPr>
              <w:spacing w:before="0" w:after="0"/>
            </w:pPr>
            <w:r>
              <w:rPr>
                <w:rFonts w:ascii="Calibri" w:hAnsi="Calibri"/>
                <w:b w:val="0"/>
                <w:i w:val="0"/>
                <w:color w:val="202730"/>
                <w:sz w:val="17"/>
              </w:rPr>
              <w:t>LLM enabled</w:t>
            </w:r>
          </w:p>
        </w:tc>
        <w:tc>
          <w:tcPr>
            <w:tcW w:type="dxa" w:w="4460"/>
            <w:vAlign w:val="center"/>
            <w:tcMar>
              <w:top w:w="80" w:type="dxa"/>
              <w:start w:w="120" w:type="dxa"/>
              <w:bottom w:w="80" w:type="dxa"/>
              <w:end w:w="120" w:type="dxa"/>
            </w:tcMar>
          </w:tcPr>
          <w:p>
            <w:pPr>
              <w:spacing w:before="0" w:after="0"/>
            </w:pPr>
            <w:r>
              <w:rPr>
                <w:rFonts w:ascii="Calibri" w:hAnsi="Calibri"/>
                <w:b w:val="0"/>
                <w:i w:val="0"/>
                <w:color w:val="202730"/>
                <w:sz w:val="17"/>
              </w:rPr>
              <w:t>Choose the configured model</w:t>
            </w:r>
          </w:p>
        </w:tc>
      </w:tr>
      <w:tr>
        <w:tc>
          <w:tcPr>
            <w:tcW w:type="dxa" w:w="2650"/>
            <w:vAlign w:val="center"/>
            <w:tcMar>
              <w:top w:w="80" w:type="dxa"/>
              <w:start w:w="120" w:type="dxa"/>
              <w:bottom w:w="80" w:type="dxa"/>
              <w:end w:w="120" w:type="dxa"/>
            </w:tcMar>
          </w:tcPr>
          <w:p>
            <w:pPr>
              <w:spacing w:before="0" w:after="0"/>
            </w:pPr>
            <w:r>
              <w:rPr>
                <w:rFonts w:ascii="Calibri" w:hAnsi="Calibri"/>
                <w:b w:val="0"/>
                <w:i w:val="0"/>
                <w:color w:val="202730"/>
                <w:sz w:val="17"/>
              </w:rPr>
              <w:t>LLM_API_KEY</w:t>
            </w:r>
          </w:p>
        </w:tc>
        <w:tc>
          <w:tcPr>
            <w:tcW w:type="dxa" w:w="2250"/>
            <w:vAlign w:val="center"/>
            <w:tcMar>
              <w:top w:w="80" w:type="dxa"/>
              <w:start w:w="120" w:type="dxa"/>
              <w:bottom w:w="80" w:type="dxa"/>
              <w:end w:w="120" w:type="dxa"/>
            </w:tcMar>
          </w:tcPr>
          <w:p>
            <w:pPr>
              <w:spacing w:before="0" w:after="0"/>
            </w:pPr>
            <w:r>
              <w:rPr>
                <w:rFonts w:ascii="Calibri" w:hAnsi="Calibri"/>
                <w:b w:val="0"/>
                <w:i w:val="0"/>
                <w:color w:val="202730"/>
                <w:sz w:val="17"/>
              </w:rPr>
              <w:t>LLM enabled</w:t>
            </w:r>
          </w:p>
        </w:tc>
        <w:tc>
          <w:tcPr>
            <w:tcW w:type="dxa" w:w="4460"/>
            <w:vAlign w:val="center"/>
            <w:tcMar>
              <w:top w:w="80" w:type="dxa"/>
              <w:start w:w="120" w:type="dxa"/>
              <w:bottom w:w="80" w:type="dxa"/>
              <w:end w:w="120" w:type="dxa"/>
            </w:tcMar>
          </w:tcPr>
          <w:p>
            <w:pPr>
              <w:spacing w:before="0" w:after="0"/>
            </w:pPr>
            <w:r>
              <w:rPr>
                <w:rFonts w:ascii="Calibri" w:hAnsi="Calibri"/>
                <w:b w:val="0"/>
                <w:i w:val="0"/>
                <w:color w:val="202730"/>
                <w:sz w:val="17"/>
              </w:rPr>
              <w:t>Private provider credential</w:t>
            </w:r>
          </w:p>
        </w:tc>
      </w:tr>
    </w:tbl>
    <w:p>
      <w:pPr>
        <w:pStyle w:val="Heading1"/>
        <w:keepNext/>
      </w:pPr>
      <w:r>
        <w:t>5. Running the Application</w:t>
      </w:r>
    </w:p>
    <w:p>
      <w:pPr>
        <w:spacing w:before="0" w:after="160"/>
        <w:ind w:left="259"/>
        <w:shd w:fill="F2F4F7"/>
      </w:pPr>
      <w:r>
        <w:rPr>
          <w:rFonts w:ascii="Courier New" w:hAnsi="Courier New"/>
          <w:b w:val="0"/>
          <w:i w:val="0"/>
          <w:color w:val="202730"/>
          <w:sz w:val="19"/>
        </w:rPr>
        <w:t>streamlit run streamlit_app.py</w:t>
      </w:r>
    </w:p>
    <w:p>
      <w:r>
        <w:rPr>
          <w:rFonts w:ascii="Calibri" w:hAnsi="Calibri"/>
          <w:b w:val="0"/>
          <w:i w:val="0"/>
          <w:color w:val="202730"/>
          <w:sz w:val="22"/>
        </w:rPr>
        <w:t>Start in User Mode for the normal recommendation flow. Use Developer Mode only when inspecting rule traces, score components, evaluator results, raw weather data or provider behavior.</w:t>
      </w:r>
    </w:p>
    <w:p>
      <w:pPr>
        <w:pStyle w:val="Heading1"/>
        <w:keepNext/>
      </w:pPr>
      <w:r>
        <w:t>6. Decision Behavior</w:t>
      </w:r>
    </w:p>
    <w:p>
      <w:pPr>
        <w:pStyle w:val="Heading2"/>
        <w:keepNext/>
      </w:pPr>
      <w:r>
        <w:t>6.1 Risk</w:t>
      </w:r>
    </w:p>
    <w:p>
      <w:r>
        <w:rPr>
          <w:rFonts w:ascii="Calibri" w:hAnsi="Calibri"/>
          <w:b w:val="0"/>
          <w:i w:val="0"/>
          <w:color w:val="202730"/>
          <w:sz w:val="22"/>
        </w:rPr>
        <w:t>Rain, wind, temperature and weather condition are converted into LOW, MODERATE, HIGH or SEVERE risk. User Mode translates these into comfortable, cautious, risky and very risky labels.</w:t>
      </w:r>
    </w:p>
    <w:p>
      <w:pPr>
        <w:pStyle w:val="Heading2"/>
        <w:keepNext/>
      </w:pPr>
      <w:r>
        <w:t>6.2 Matching and Fallback</w:t>
      </w:r>
    </w:p>
    <w:p>
      <w:r>
        <w:rPr>
          <w:rFonts w:ascii="Calibri" w:hAnsi="Calibri"/>
          <w:b w:val="0"/>
          <w:i w:val="0"/>
          <w:color w:val="202730"/>
          <w:sz w:val="22"/>
        </w:rPr>
        <w:t>The agent tries an exact activity match first. If that option is unsafe or unavailable, it searches for a close alternative. Outdoor walking should therefore fall back to an indoor walking option before an unrelated activity.</w:t>
      </w:r>
    </w:p>
    <w:p>
      <w:pPr>
        <w:pStyle w:val="Heading2"/>
        <w:keepNext/>
      </w:pPr>
      <w:r>
        <w:t>6.3 Scoring</w:t>
      </w:r>
    </w:p>
    <w:p>
      <w:r>
        <w:rPr>
          <w:rFonts w:ascii="Calibri" w:hAnsi="Calibri"/>
          <w:b w:val="0"/>
          <w:i w:val="0"/>
          <w:color w:val="202730"/>
          <w:sz w:val="22"/>
        </w:rPr>
        <w:t>The total score is built from weather safety, preference match, comfort and practicality. A recommendation must pass deterministic safety checks before its score or explanation is shown.</w:t>
      </w:r>
    </w:p>
    <w:p>
      <w:pPr>
        <w:pStyle w:val="Heading1"/>
        <w:keepNext/>
      </w:pPr>
      <w:r>
        <w:t>7. Maps and Venue Providers</w:t>
      </w:r>
    </w:p>
    <w:p>
      <w:r>
        <w:rPr>
          <w:rFonts w:ascii="Calibri" w:hAnsi="Calibri"/>
          <w:b w:val="0"/>
          <w:i w:val="0"/>
          <w:color w:val="202730"/>
          <w:sz w:val="22"/>
        </w:rPr>
        <w:t>The venue layer uses a provider interface. JSON data supports deterministic demos and tests; Google Places supports live venues. Keep the Google Places key on the server. Restrict the browser key to Maps JavaScript API and approved HTTP referrers such as localhost and the Hugging Face Space domain.</w:t>
      </w:r>
    </w:p>
    <w:p>
      <w:pPr>
        <w:keepNext/>
        <w:jc w:val="center"/>
      </w:pPr>
      <w:r>
        <w:drawing>
          <wp:inline xmlns:a="http://schemas.openxmlformats.org/drawingml/2006/main" xmlns:pic="http://schemas.openxmlformats.org/drawingml/2006/picture">
            <wp:extent cx="5577840" cy="4207844"/>
            <wp:docPr id="1" name="Picture 1" descr="Google Maps picker used to provide coordinates to both weather and venue services." title="Google Maps picker used to provide coordinates to both weather and venue services"/>
            <wp:cNvGraphicFramePr>
              <a:graphicFrameLocks noChangeAspect="1"/>
            </wp:cNvGraphicFramePr>
            <a:graphic>
              <a:graphicData uri="http://schemas.openxmlformats.org/drawingml/2006/picture">
                <pic:pic>
                  <pic:nvPicPr>
                    <pic:cNvPr id="0" name="final_map.png"/>
                    <pic:cNvPicPr/>
                  </pic:nvPicPr>
                  <pic:blipFill>
                    <a:blip r:embed="rId11"/>
                    <a:stretch>
                      <a:fillRect/>
                    </a:stretch>
                  </pic:blipFill>
                  <pic:spPr>
                    <a:xfrm>
                      <a:off x="0" y="0"/>
                      <a:ext cx="5577840" cy="4207844"/>
                    </a:xfrm>
                    <a:prstGeom prst="rect"/>
                  </pic:spPr>
                </pic:pic>
              </a:graphicData>
            </a:graphic>
          </wp:inline>
        </w:drawing>
      </w:r>
    </w:p>
    <w:p>
      <w:pPr>
        <w:spacing w:before="80" w:after="200"/>
        <w:jc w:val="center"/>
      </w:pPr>
      <w:r>
        <w:rPr>
          <w:rFonts w:ascii="Calibri" w:hAnsi="Calibri"/>
          <w:b w:val="0"/>
          <w:i/>
          <w:color w:val="626B75"/>
          <w:sz w:val="18"/>
        </w:rPr>
        <w:t>Google Maps picker used to provide coordinates to both weather and venue services.</w:t>
      </w:r>
    </w:p>
    <w:p>
      <w:pPr>
        <w:pStyle w:val="Heading1"/>
        <w:keepNext/>
      </w:pPr>
      <w:r>
        <w:t>8. LLM Boundary</w:t>
      </w:r>
    </w:p>
    <w:p>
      <w:r>
        <w:rPr>
          <w:rFonts w:ascii="Calibri" w:hAnsi="Calibri"/>
          <w:b w:val="0"/>
          <w:i w:val="0"/>
          <w:color w:val="202730"/>
          <w:sz w:val="22"/>
        </w:rPr>
        <w:t>The LLM may summarize weather, explain a recommendation, generate controlled catalog candidates and act as a second reviewer. Every candidate is revalidated. The LLM must not change risk levels, safety rules, score components or verified venue identity.</w:t>
      </w:r>
    </w:p>
    <w:p>
      <w:pPr>
        <w:pStyle w:val="Heading1"/>
        <w:keepNext/>
      </w:pPr>
      <w:r>
        <w:t>9. Testing and Evaluation</w:t>
      </w:r>
    </w:p>
    <w:p>
      <w:pPr>
        <w:spacing w:before="0" w:after="160"/>
        <w:ind w:left="259"/>
        <w:shd w:fill="F2F4F7"/>
      </w:pPr>
      <w:r>
        <w:rPr>
          <w:rFonts w:ascii="Courier New" w:hAnsi="Courier New"/>
          <w:b w:val="0"/>
          <w:i w:val="0"/>
          <w:color w:val="202730"/>
          <w:sz w:val="19"/>
        </w:rPr>
        <w:t>pytest</w:t>
      </w:r>
    </w:p>
    <w:p>
      <w:r>
        <w:rPr>
          <w:rFonts w:ascii="Calibri" w:hAnsi="Calibri"/>
          <w:b w:val="0"/>
          <w:i w:val="0"/>
          <w:color w:val="202730"/>
          <w:sz w:val="22"/>
        </w:rPr>
        <w:t>The current suite contains 159 passing tests. Evaluation scenarios cover thunderstorms, high wind, extreme heat, light rain, exact preference matches, safe stopping, coordinate-based venue sorting and rejection of unsafe or invented LLM output.</w:t>
      </w:r>
    </w:p>
    <w:p>
      <w:pPr>
        <w:pStyle w:val="Heading1"/>
        <w:keepNext/>
      </w:pPr>
      <w:r>
        <w:t>10. Deployment Workflow</w:t>
      </w:r>
    </w:p>
    <w:p>
      <w:r>
        <w:rPr>
          <w:rFonts w:ascii="Calibri" w:hAnsi="Calibri"/>
          <w:b w:val="0"/>
          <w:i w:val="0"/>
          <w:color w:val="202730"/>
          <w:sz w:val="22"/>
        </w:rPr>
        <w:t>The repository contains a Docker configuration for port 7860. The public application runs on Hugging Face Spaces. GitHub Actions synchronizes pushes from `main` to the Space repository.</w:t>
      </w:r>
    </w:p>
    <w:p>
      <w:r>
        <w:rPr>
          <w:rFonts w:ascii="Calibri" w:hAnsi="Calibri"/>
          <w:b w:val="0"/>
          <w:i w:val="0"/>
          <w:color w:val="202730"/>
          <w:sz w:val="22"/>
        </w:rPr>
        <w:t>Store Google and LLM credentials as Hugging Face Secrets. Store non-sensitive switches such as `VENUE_PROVIDER`, `LLM_ENABLED`, `LLM_PROVIDER` and `LLM_MODEL` as Variables. A secret or variable change restarts the Space.</w:t>
      </w:r>
    </w:p>
    <w:p>
      <w:pPr>
        <w:pStyle w:val="Heading1"/>
        <w:keepNext/>
      </w:pPr>
      <w:r>
        <w:t>11. Operational Notes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vAlign w:val="center"/>
            <w:tcMar>
              <w:top w:w="80" w:type="dxa"/>
              <w:start w:w="120" w:type="dxa"/>
              <w:bottom w:w="80" w:type="dxa"/>
              <w:end w:w="120" w:type="dxa"/>
            </w:tcMar>
            <w:shd w:fill="F2F4F7"/>
          </w:tcPr>
          <w:p>
            <w:pPr>
              <w:spacing w:before="0" w:after="0"/>
            </w:pPr>
            <w:r>
              <w:rPr>
                <w:rFonts w:ascii="Calibri" w:hAnsi="Calibri"/>
                <w:b/>
                <w:i w:val="0"/>
                <w:color w:val="202730"/>
                <w:sz w:val="19"/>
              </w:rPr>
              <w:t>Situation</w:t>
            </w:r>
          </w:p>
        </w:tc>
        <w:tc>
          <w:tcPr>
            <w:tcW w:type="dxa" w:w="6360"/>
            <w:vAlign w:val="center"/>
            <w:tcMar>
              <w:top w:w="80" w:type="dxa"/>
              <w:start w:w="120" w:type="dxa"/>
              <w:bottom w:w="80" w:type="dxa"/>
              <w:end w:w="120" w:type="dxa"/>
            </w:tcMar>
            <w:shd w:fill="F2F4F7"/>
          </w:tcPr>
          <w:p>
            <w:pPr>
              <w:spacing w:before="0" w:after="0"/>
            </w:pPr>
            <w:r>
              <w:rPr>
                <w:rFonts w:ascii="Calibri" w:hAnsi="Calibri"/>
                <w:b/>
                <w:i w:val="0"/>
                <w:color w:val="202730"/>
                <w:sz w:val="19"/>
              </w:rPr>
              <w:t>Expected handling</w:t>
            </w:r>
          </w:p>
        </w:tc>
      </w:tr>
      <w:tr>
        <w:tc>
          <w:tcPr>
            <w:tcW w:type="dxa" w:w="3000"/>
            <w:vAlign w:val="center"/>
            <w:tcMar>
              <w:top w:w="80" w:type="dxa"/>
              <w:start w:w="120" w:type="dxa"/>
              <w:bottom w:w="80" w:type="dxa"/>
              <w:end w:w="120" w:type="dxa"/>
            </w:tcMar>
          </w:tcPr>
          <w:p>
            <w:pPr>
              <w:spacing w:before="0" w:after="0"/>
            </w:pPr>
            <w:r>
              <w:rPr>
                <w:rFonts w:ascii="Calibri" w:hAnsi="Calibri"/>
                <w:b w:val="0"/>
                <w:i w:val="0"/>
                <w:color w:val="202730"/>
                <w:sz w:val="19"/>
              </w:rPr>
              <w:t>Weather API unavailable</w:t>
            </w:r>
          </w:p>
        </w:tc>
        <w:tc>
          <w:tcPr>
            <w:tcW w:type="dxa" w:w="6360"/>
            <w:vAlign w:val="center"/>
            <w:tcMar>
              <w:top w:w="80" w:type="dxa"/>
              <w:start w:w="120" w:type="dxa"/>
              <w:bottom w:w="80" w:type="dxa"/>
              <w:end w:w="120" w:type="dxa"/>
            </w:tcMar>
          </w:tcPr>
          <w:p>
            <w:pPr>
              <w:spacing w:before="0" w:after="0"/>
            </w:pPr>
            <w:r>
              <w:rPr>
                <w:rFonts w:ascii="Calibri" w:hAnsi="Calibri"/>
                <w:b w:val="0"/>
                <w:i w:val="0"/>
                <w:color w:val="202730"/>
                <w:sz w:val="19"/>
              </w:rPr>
              <w:t>Show a controlled error; do not fabricate weather</w:t>
            </w:r>
          </w:p>
        </w:tc>
      </w:tr>
      <w:tr>
        <w:tc>
          <w:tcPr>
            <w:tcW w:type="dxa" w:w="3000"/>
            <w:vAlign w:val="center"/>
            <w:tcMar>
              <w:top w:w="80" w:type="dxa"/>
              <w:start w:w="120" w:type="dxa"/>
              <w:bottom w:w="80" w:type="dxa"/>
              <w:end w:w="120" w:type="dxa"/>
            </w:tcMar>
          </w:tcPr>
          <w:p>
            <w:pPr>
              <w:spacing w:before="0" w:after="0"/>
            </w:pPr>
            <w:r>
              <w:rPr>
                <w:rFonts w:ascii="Calibri" w:hAnsi="Calibri"/>
                <w:b w:val="0"/>
                <w:i w:val="0"/>
                <w:color w:val="202730"/>
                <w:sz w:val="19"/>
              </w:rPr>
              <w:t>No safe activity</w:t>
            </w:r>
          </w:p>
        </w:tc>
        <w:tc>
          <w:tcPr>
            <w:tcW w:type="dxa" w:w="6360"/>
            <w:vAlign w:val="center"/>
            <w:tcMar>
              <w:top w:w="80" w:type="dxa"/>
              <w:start w:w="120" w:type="dxa"/>
              <w:bottom w:w="80" w:type="dxa"/>
              <w:end w:w="120" w:type="dxa"/>
            </w:tcMar>
          </w:tcPr>
          <w:p>
            <w:pPr>
              <w:spacing w:before="0" w:after="0"/>
            </w:pPr>
            <w:r>
              <w:rPr>
                <w:rFonts w:ascii="Calibri" w:hAnsi="Calibri"/>
                <w:b w:val="0"/>
                <w:i w:val="0"/>
                <w:color w:val="202730"/>
                <w:sz w:val="19"/>
              </w:rPr>
              <w:t>Stop safely and explain that no option passed</w:t>
            </w:r>
          </w:p>
        </w:tc>
      </w:tr>
      <w:tr>
        <w:tc>
          <w:tcPr>
            <w:tcW w:type="dxa" w:w="3000"/>
            <w:vAlign w:val="center"/>
            <w:tcMar>
              <w:top w:w="80" w:type="dxa"/>
              <w:start w:w="120" w:type="dxa"/>
              <w:bottom w:w="80" w:type="dxa"/>
              <w:end w:w="120" w:type="dxa"/>
            </w:tcMar>
          </w:tcPr>
          <w:p>
            <w:pPr>
              <w:spacing w:before="0" w:after="0"/>
            </w:pPr>
            <w:r>
              <w:rPr>
                <w:rFonts w:ascii="Calibri" w:hAnsi="Calibri"/>
                <w:b w:val="0"/>
                <w:i w:val="0"/>
                <w:color w:val="202730"/>
                <w:sz w:val="19"/>
              </w:rPr>
              <w:t>Google Places unavailable</w:t>
            </w:r>
          </w:p>
        </w:tc>
        <w:tc>
          <w:tcPr>
            <w:tcW w:type="dxa" w:w="6360"/>
            <w:vAlign w:val="center"/>
            <w:tcMar>
              <w:top w:w="80" w:type="dxa"/>
              <w:start w:w="120" w:type="dxa"/>
              <w:bottom w:w="80" w:type="dxa"/>
              <w:end w:w="120" w:type="dxa"/>
            </w:tcMar>
          </w:tcPr>
          <w:p>
            <w:pPr>
              <w:spacing w:before="0" w:after="0"/>
            </w:pPr>
            <w:r>
              <w:rPr>
                <w:rFonts w:ascii="Calibri" w:hAnsi="Calibri"/>
                <w:b w:val="0"/>
                <w:i w:val="0"/>
                <w:color w:val="202730"/>
                <w:sz w:val="19"/>
              </w:rPr>
              <w:t>Keep activity result; omit live venue suggestions</w:t>
            </w:r>
          </w:p>
        </w:tc>
      </w:tr>
      <w:tr>
        <w:tc>
          <w:tcPr>
            <w:tcW w:type="dxa" w:w="3000"/>
            <w:vAlign w:val="center"/>
            <w:tcMar>
              <w:top w:w="80" w:type="dxa"/>
              <w:start w:w="120" w:type="dxa"/>
              <w:bottom w:w="80" w:type="dxa"/>
              <w:end w:w="120" w:type="dxa"/>
            </w:tcMar>
          </w:tcPr>
          <w:p>
            <w:pPr>
              <w:spacing w:before="0" w:after="0"/>
            </w:pPr>
            <w:r>
              <w:rPr>
                <w:rFonts w:ascii="Calibri" w:hAnsi="Calibri"/>
                <w:b w:val="0"/>
                <w:i w:val="0"/>
                <w:color w:val="202730"/>
                <w:sz w:val="19"/>
              </w:rPr>
              <w:t>LLM unavailable or invalid</w:t>
            </w:r>
          </w:p>
        </w:tc>
        <w:tc>
          <w:tcPr>
            <w:tcW w:type="dxa" w:w="6360"/>
            <w:vAlign w:val="center"/>
            <w:tcMar>
              <w:top w:w="80" w:type="dxa"/>
              <w:start w:w="120" w:type="dxa"/>
              <w:bottom w:w="80" w:type="dxa"/>
              <w:end w:w="120" w:type="dxa"/>
            </w:tcMar>
          </w:tcPr>
          <w:p>
            <w:pPr>
              <w:spacing w:before="0" w:after="0"/>
            </w:pPr>
            <w:r>
              <w:rPr>
                <w:rFonts w:ascii="Calibri" w:hAnsi="Calibri"/>
                <w:b w:val="0"/>
                <w:i w:val="0"/>
                <w:color w:val="202730"/>
                <w:sz w:val="19"/>
              </w:rPr>
              <w:t>Use deterministic explanation and result</w:t>
            </w:r>
          </w:p>
        </w:tc>
      </w:tr>
      <w:tr>
        <w:tc>
          <w:tcPr>
            <w:tcW w:type="dxa" w:w="3000"/>
            <w:vAlign w:val="center"/>
            <w:tcMar>
              <w:top w:w="80" w:type="dxa"/>
              <w:start w:w="120" w:type="dxa"/>
              <w:bottom w:w="80" w:type="dxa"/>
              <w:end w:w="120" w:type="dxa"/>
            </w:tcMar>
          </w:tcPr>
          <w:p>
            <w:pPr>
              <w:spacing w:before="0" w:after="0"/>
            </w:pPr>
            <w:r>
              <w:rPr>
                <w:rFonts w:ascii="Calibri" w:hAnsi="Calibri"/>
                <w:b w:val="0"/>
                <w:i w:val="0"/>
                <w:color w:val="202730"/>
                <w:sz w:val="19"/>
              </w:rPr>
              <w:t>Free Space is sleeping</w:t>
            </w:r>
          </w:p>
        </w:tc>
        <w:tc>
          <w:tcPr>
            <w:tcW w:type="dxa" w:w="6360"/>
            <w:vAlign w:val="center"/>
            <w:tcMar>
              <w:top w:w="80" w:type="dxa"/>
              <w:start w:w="120" w:type="dxa"/>
              <w:bottom w:w="80" w:type="dxa"/>
              <w:end w:w="120" w:type="dxa"/>
            </w:tcMar>
          </w:tcPr>
          <w:p>
            <w:pPr>
              <w:spacing w:before="0" w:after="0"/>
            </w:pPr>
            <w:r>
              <w:rPr>
                <w:rFonts w:ascii="Calibri" w:hAnsi="Calibri"/>
                <w:b w:val="0"/>
                <w:i w:val="0"/>
                <w:color w:val="202730"/>
                <w:sz w:val="19"/>
              </w:rPr>
              <w:t>Allow a short cold-start delay</w:t>
            </w:r>
          </w:p>
        </w:tc>
      </w:tr>
    </w:tbl>
    <w:p>
      <w:pPr>
        <w:pStyle w:val="Heading1"/>
        <w:keepNext/>
      </w:pPr>
      <w:r>
        <w:t>12. Known Limits</w:t>
      </w:r>
    </w:p>
    <w:p>
      <w:r>
        <w:rPr>
          <w:rFonts w:ascii="Calibri" w:hAnsi="Calibri"/>
          <w:b w:val="0"/>
          <w:i w:val="0"/>
          <w:color w:val="202730"/>
          <w:sz w:val="22"/>
        </w:rPr>
        <w:t>Venue categories depend on Google Places coverage and may occasionally produce a weak match. Forecast selection is limited to the available seven-day window. Public demo history is session-based and temporary. Personalization is intentionally small and feedback-based rather than an advanced machine-learning model.</w:t>
      </w:r>
    </w:p>
    <w:p>
      <w:pPr>
        <w:pStyle w:val="Heading1"/>
        <w:keepNext/>
      </w:pPr>
      <w:r>
        <w:t>13. Maintenance Priorities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start w:w="120" w:type="dxa"/>
              <w:bottom w:w="80" w:type="dxa"/>
              <w:end w:w="120" w:type="dxa"/>
            </w:tcMar>
            <w:shd w:fill="F2F4F7"/>
          </w:tcPr>
          <w:p>
            <w:pPr>
              <w:spacing w:before="0" w:after="0"/>
            </w:pPr>
            <w:r>
              <w:rPr>
                <w:rFonts w:ascii="Calibri" w:hAnsi="Calibri"/>
                <w:b/>
                <w:i w:val="0"/>
                <w:color w:val="202730"/>
                <w:sz w:val="19"/>
              </w:rPr>
              <w:t>Priority</w:t>
            </w:r>
          </w:p>
        </w:tc>
        <w:tc>
          <w:tcPr>
            <w:tcW w:type="dxa" w:w="6760"/>
            <w:vAlign w:val="center"/>
            <w:tcMar>
              <w:top w:w="80" w:type="dxa"/>
              <w:start w:w="120" w:type="dxa"/>
              <w:bottom w:w="80" w:type="dxa"/>
              <w:end w:w="120" w:type="dxa"/>
            </w:tcMar>
            <w:shd w:fill="F2F4F7"/>
          </w:tcPr>
          <w:p>
            <w:pPr>
              <w:spacing w:before="0" w:after="0"/>
            </w:pPr>
            <w:r>
              <w:rPr>
                <w:rFonts w:ascii="Calibri" w:hAnsi="Calibri"/>
                <w:b/>
                <w:i w:val="0"/>
                <w:color w:val="202730"/>
                <w:sz w:val="19"/>
              </w:rPr>
              <w:t>Practical action</w:t>
            </w:r>
          </w:p>
        </w:tc>
      </w:tr>
      <w:tr>
        <w:tc>
          <w:tcPr>
            <w:tcW w:type="dxa" w:w="2600"/>
            <w:vAlign w:val="center"/>
            <w:tcMar>
              <w:top w:w="80" w:type="dxa"/>
              <w:start w:w="120" w:type="dxa"/>
              <w:bottom w:w="80" w:type="dxa"/>
              <w:end w:w="120" w:type="dxa"/>
            </w:tcMar>
          </w:tcPr>
          <w:p>
            <w:pPr>
              <w:spacing w:before="0" w:after="0"/>
            </w:pPr>
            <w:r>
              <w:rPr>
                <w:rFonts w:ascii="Calibri" w:hAnsi="Calibri"/>
                <w:b w:val="0"/>
                <w:i w:val="0"/>
                <w:color w:val="202730"/>
                <w:sz w:val="19"/>
              </w:rPr>
              <w:t>Activity quality</w:t>
            </w:r>
          </w:p>
        </w:tc>
        <w:tc>
          <w:tcPr>
            <w:tcW w:type="dxa" w:w="6760"/>
            <w:vAlign w:val="center"/>
            <w:tcMar>
              <w:top w:w="80" w:type="dxa"/>
              <w:start w:w="120" w:type="dxa"/>
              <w:bottom w:w="80" w:type="dxa"/>
              <w:end w:w="120" w:type="dxa"/>
            </w:tcMar>
          </w:tcPr>
          <w:p>
            <w:pPr>
              <w:spacing w:before="0" w:after="0"/>
            </w:pPr>
            <w:r>
              <w:rPr>
                <w:rFonts w:ascii="Calibri" w:hAnsi="Calibri"/>
                <w:b w:val="0"/>
                <w:i w:val="0"/>
                <w:color w:val="202730"/>
                <w:sz w:val="19"/>
              </w:rPr>
              <w:t>Review weak activity-to-venue mappings from real examples</w:t>
            </w:r>
          </w:p>
        </w:tc>
      </w:tr>
      <w:tr>
        <w:tc>
          <w:tcPr>
            <w:tcW w:type="dxa" w:w="2600"/>
            <w:vAlign w:val="center"/>
            <w:tcMar>
              <w:top w:w="80" w:type="dxa"/>
              <w:start w:w="120" w:type="dxa"/>
              <w:bottom w:w="80" w:type="dxa"/>
              <w:end w:w="120" w:type="dxa"/>
            </w:tcMar>
          </w:tcPr>
          <w:p>
            <w:pPr>
              <w:spacing w:before="0" w:after="0"/>
            </w:pPr>
            <w:r>
              <w:rPr>
                <w:rFonts w:ascii="Calibri" w:hAnsi="Calibri"/>
                <w:b w:val="0"/>
                <w:i w:val="0"/>
                <w:color w:val="202730"/>
                <w:sz w:val="19"/>
              </w:rPr>
              <w:t>Safety</w:t>
            </w:r>
          </w:p>
        </w:tc>
        <w:tc>
          <w:tcPr>
            <w:tcW w:type="dxa" w:w="6760"/>
            <w:vAlign w:val="center"/>
            <w:tcMar>
              <w:top w:w="80" w:type="dxa"/>
              <w:start w:w="120" w:type="dxa"/>
              <w:bottom w:w="80" w:type="dxa"/>
              <w:end w:w="120" w:type="dxa"/>
            </w:tcMar>
          </w:tcPr>
          <w:p>
            <w:pPr>
              <w:spacing w:before="0" w:after="0"/>
            </w:pPr>
            <w:r>
              <w:rPr>
                <w:rFonts w:ascii="Calibri" w:hAnsi="Calibri"/>
                <w:b w:val="0"/>
                <w:i w:val="0"/>
                <w:color w:val="202730"/>
                <w:sz w:val="19"/>
              </w:rPr>
              <w:t>Add an evaluation case before changing a threshold</w:t>
            </w:r>
          </w:p>
        </w:tc>
      </w:tr>
      <w:tr>
        <w:tc>
          <w:tcPr>
            <w:tcW w:type="dxa" w:w="2600"/>
            <w:vAlign w:val="center"/>
            <w:tcMar>
              <w:top w:w="80" w:type="dxa"/>
              <w:start w:w="120" w:type="dxa"/>
              <w:bottom w:w="80" w:type="dxa"/>
              <w:end w:w="120" w:type="dxa"/>
            </w:tcMar>
          </w:tcPr>
          <w:p>
            <w:pPr>
              <w:spacing w:before="0" w:after="0"/>
            </w:pPr>
            <w:r>
              <w:rPr>
                <w:rFonts w:ascii="Calibri" w:hAnsi="Calibri"/>
                <w:b w:val="0"/>
                <w:i w:val="0"/>
                <w:color w:val="202730"/>
                <w:sz w:val="19"/>
              </w:rPr>
              <w:t>LLM behavior</w:t>
            </w:r>
          </w:p>
        </w:tc>
        <w:tc>
          <w:tcPr>
            <w:tcW w:type="dxa" w:w="6760"/>
            <w:vAlign w:val="center"/>
            <w:tcMar>
              <w:top w:w="80" w:type="dxa"/>
              <w:start w:w="120" w:type="dxa"/>
              <w:bottom w:w="80" w:type="dxa"/>
              <w:end w:w="120" w:type="dxa"/>
            </w:tcMar>
          </w:tcPr>
          <w:p>
            <w:pPr>
              <w:spacing w:before="0" w:after="0"/>
            </w:pPr>
            <w:r>
              <w:rPr>
                <w:rFonts w:ascii="Calibri" w:hAnsi="Calibri"/>
                <w:b w:val="0"/>
                <w:i w:val="0"/>
                <w:color w:val="202730"/>
                <w:sz w:val="19"/>
              </w:rPr>
              <w:t>Keep prompts short and revalidate every generated candidate</w:t>
            </w:r>
          </w:p>
        </w:tc>
      </w:tr>
      <w:tr>
        <w:tc>
          <w:tcPr>
            <w:tcW w:type="dxa" w:w="2600"/>
            <w:vAlign w:val="center"/>
            <w:tcMar>
              <w:top w:w="80" w:type="dxa"/>
              <w:start w:w="120" w:type="dxa"/>
              <w:bottom w:w="80" w:type="dxa"/>
              <w:end w:w="120" w:type="dxa"/>
            </w:tcMar>
          </w:tcPr>
          <w:p>
            <w:pPr>
              <w:spacing w:before="0" w:after="0"/>
            </w:pPr>
            <w:r>
              <w:rPr>
                <w:rFonts w:ascii="Calibri" w:hAnsi="Calibri"/>
                <w:b w:val="0"/>
                <w:i w:val="0"/>
                <w:color w:val="202730"/>
                <w:sz w:val="19"/>
              </w:rPr>
              <w:t>Credentials</w:t>
            </w:r>
          </w:p>
        </w:tc>
        <w:tc>
          <w:tcPr>
            <w:tcW w:type="dxa" w:w="6760"/>
            <w:vAlign w:val="center"/>
            <w:tcMar>
              <w:top w:w="80" w:type="dxa"/>
              <w:start w:w="120" w:type="dxa"/>
              <w:bottom w:w="80" w:type="dxa"/>
              <w:end w:w="120" w:type="dxa"/>
            </w:tcMar>
          </w:tcPr>
          <w:p>
            <w:pPr>
              <w:spacing w:before="0" w:after="0"/>
            </w:pPr>
            <w:r>
              <w:rPr>
                <w:rFonts w:ascii="Calibri" w:hAnsi="Calibri"/>
                <w:b w:val="0"/>
                <w:i w:val="0"/>
                <w:color w:val="202730"/>
                <w:sz w:val="19"/>
              </w:rPr>
              <w:t>Rotate keys when exposed and keep API restrictions narrow</w:t>
            </w:r>
          </w:p>
        </w:tc>
      </w:tr>
      <w:tr>
        <w:tc>
          <w:tcPr>
            <w:tcW w:type="dxa" w:w="2600"/>
            <w:vAlign w:val="center"/>
            <w:tcMar>
              <w:top w:w="80" w:type="dxa"/>
              <w:start w:w="120" w:type="dxa"/>
              <w:bottom w:w="80" w:type="dxa"/>
              <w:end w:w="120" w:type="dxa"/>
            </w:tcMar>
          </w:tcPr>
          <w:p>
            <w:pPr>
              <w:spacing w:before="0" w:after="0"/>
            </w:pPr>
            <w:r>
              <w:rPr>
                <w:rFonts w:ascii="Calibri" w:hAnsi="Calibri"/>
                <w:b w:val="0"/>
                <w:i w:val="0"/>
                <w:color w:val="202730"/>
                <w:sz w:val="19"/>
              </w:rPr>
              <w:t>Deployment</w:t>
            </w:r>
          </w:p>
        </w:tc>
        <w:tc>
          <w:tcPr>
            <w:tcW w:type="dxa" w:w="6760"/>
            <w:vAlign w:val="center"/>
            <w:tcMar>
              <w:top w:w="80" w:type="dxa"/>
              <w:start w:w="120" w:type="dxa"/>
              <w:bottom w:w="80" w:type="dxa"/>
              <w:end w:w="120" w:type="dxa"/>
            </w:tcMar>
          </w:tcPr>
          <w:p>
            <w:pPr>
              <w:spacing w:before="0" w:after="0"/>
            </w:pPr>
            <w:r>
              <w:rPr>
                <w:rFonts w:ascii="Calibri" w:hAnsi="Calibri"/>
                <w:b w:val="0"/>
                <w:i w:val="0"/>
                <w:color w:val="202730"/>
                <w:sz w:val="19"/>
              </w:rPr>
              <w:t>Check GitHub Actions and Space logs after a release</w:t>
            </w:r>
          </w:p>
        </w:tc>
      </w:tr>
    </w:tbl>
    <w:p>
      <w:pPr>
        <w:pStyle w:val="Heading1"/>
        <w:keepNext/>
      </w:pPr>
      <w:r>
        <w:t>14. Quick Reference</w:t>
      </w:r>
    </w:p>
    <w:p>
      <w:pPr>
        <w:spacing w:before="0" w:after="0"/>
        <w:ind w:left="259"/>
        <w:shd w:fill="F2F4F7"/>
      </w:pPr>
      <w:r>
        <w:rPr>
          <w:rFonts w:ascii="Courier New" w:hAnsi="Courier New"/>
          <w:b w:val="0"/>
          <w:i w:val="0"/>
          <w:color w:val="202730"/>
          <w:sz w:val="19"/>
        </w:rPr>
        <w:t>streamlit run streamlit_app.py   # Run locally</w:t>
      </w:r>
    </w:p>
    <w:p>
      <w:pPr>
        <w:spacing w:before="0" w:after="0"/>
        <w:ind w:left="259"/>
        <w:shd w:fill="F2F4F7"/>
      </w:pPr>
      <w:r>
        <w:rPr>
          <w:rFonts w:ascii="Courier New" w:hAnsi="Courier New"/>
          <w:b w:val="0"/>
          <w:i w:val="0"/>
          <w:color w:val="202730"/>
          <w:sz w:val="19"/>
        </w:rPr>
        <w:t>pytest                           # Run tests</w:t>
      </w:r>
    </w:p>
    <w:p>
      <w:pPr>
        <w:spacing w:before="0" w:after="160"/>
        <w:ind w:left="259"/>
        <w:shd w:fill="F2F4F7"/>
      </w:pPr>
      <w:r>
        <w:rPr>
          <w:rFonts w:ascii="Courier New" w:hAnsi="Courier New"/>
          <w:b w:val="0"/>
          <w:i w:val="0"/>
          <w:color w:val="202730"/>
          <w:sz w:val="19"/>
        </w:rPr>
        <w:t>git push origin main             # Trigger GitHub/HF sync</w:t>
      </w:r>
    </w:p>
    <w:p>
      <w:r>
        <w:rPr>
          <w:rFonts w:ascii="Calibri" w:hAnsi="Calibri"/>
          <w:b/>
          <w:i w:val="0"/>
          <w:color w:val="202730"/>
          <w:sz w:val="22"/>
        </w:rPr>
        <w:t xml:space="preserve">Live demo: </w:t>
      </w:r>
      <w:hyperlink r:id="rId12">
        <w:r>
          <w:rPr>
            <w:color w:val="2E74B5"/>
            <w:u w:val="single"/>
          </w:rPr>
          <w:t>Open live demo</w:t>
        </w:r>
      </w:hyperlink>
    </w:p>
    <w:sectPr w:rsidR="00FC693F" w:rsidRPr="0006063C" w:rsidSect="00034616">
      <w:footerReference w:type="default" r:id="rId9"/>
      <w:head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26B75"/>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26B75"/>
        <w:sz w:val="17"/>
      </w:rPr>
      <w:t>Practitioner Notes</w:t>
    </w:r>
    <w:r>
      <w:rPr>
        <w:rFonts w:ascii="Calibri" w:hAnsi="Calibri"/>
        <w:b w:val="0"/>
        <w:i w:val="0"/>
        <w:color w:val="626B75"/>
        <w:sz w:val="17"/>
      </w:rPr>
      <w:t xml:space="preserve">  |  Weather Decision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7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hyperlink" Target="https://dozmen23-weather-decision-agent.hf.sp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Decision Agent - Practitioner Notes</dc:title>
  <dc:subject/>
  <dc:creator>Deniz Özmen and Ömer Şahin</dc:creator>
  <cp:keywords/>
  <dc:description>generated by python-docx</dc:description>
  <cp:lastModifiedBy/>
  <cp:revision>1</cp:revision>
  <dcterms:created xsi:type="dcterms:W3CDTF">2013-12-23T23:15:00Z</dcterms:created>
  <dcterms:modified xsi:type="dcterms:W3CDTF">2013-12-23T23:15:00Z</dcterms:modified>
  <cp:category/>
</cp:coreProperties>
</file>