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1</w:t>
        <w:br/>
        <w:t>Git-окружение, pre-commit и EDA</w:t>
        <w:br/>
        <w:t>Вариант 09 — make_moons: нелинейность</w:t>
      </w:r>
    </w:p>
    <w:p>
      <w:pPr>
        <w:pStyle w:val="Heading1"/>
      </w:pPr>
      <w:r>
        <w:t>1. Паспорт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Автор</w:t>
            </w:r>
          </w:p>
        </w:tc>
        <w:tc>
          <w:tcPr>
            <w:tcW w:type="dxa" w:w="4320"/>
          </w:tcPr>
          <w:p>
            <w:r>
              <w:t>Vladimir</w:t>
            </w:r>
          </w:p>
        </w:tc>
      </w:tr>
      <w:tr>
        <w:tc>
          <w:tcPr>
            <w:tcW w:type="dxa" w:w="4320"/>
          </w:tcPr>
          <w:p>
            <w:r>
              <w:t>Вариант</w:t>
            </w:r>
          </w:p>
        </w:tc>
        <w:tc>
          <w:tcPr>
            <w:tcW w:type="dxa" w:w="4320"/>
          </w:tcPr>
          <w:p>
            <w:r>
              <w:t>09</w:t>
            </w:r>
          </w:p>
        </w:tc>
      </w:tr>
      <w:tr>
        <w:tc>
          <w:tcPr>
            <w:tcW w:type="dxa" w:w="4320"/>
          </w:tcPr>
          <w:p>
            <w:r>
              <w:t>Источник</w:t>
            </w:r>
          </w:p>
        </w:tc>
        <w:tc>
          <w:tcPr>
            <w:tcW w:type="dxa" w:w="4320"/>
          </w:tcPr>
          <w:p>
            <w:r>
              <w:t>sklearn.datasets.make_moons</w:t>
            </w:r>
          </w:p>
        </w:tc>
      </w:tr>
      <w:tr>
        <w:tc>
          <w:tcPr>
            <w:tcW w:type="dxa" w:w="4320"/>
          </w:tcPr>
          <w:p>
            <w:r>
              <w:t>Происхождение</w:t>
            </w:r>
          </w:p>
        </w:tc>
        <w:tc>
          <w:tcPr>
            <w:tcW w:type="dxa" w:w="4320"/>
          </w:tcPr>
          <w:p>
            <w:r>
              <w:t>локальная генерация scikit-learn</w:t>
            </w:r>
          </w:p>
        </w:tc>
      </w:tr>
      <w:tr>
        <w:tc>
          <w:tcPr>
            <w:tcW w:type="dxa" w:w="4320"/>
          </w:tcPr>
          <w:p>
            <w:r>
              <w:t>Лицензия библиотеки</w:t>
            </w:r>
          </w:p>
        </w:tc>
        <w:tc>
          <w:tcPr>
            <w:tcW w:type="dxa" w:w="4320"/>
          </w:tcPr>
          <w:p>
            <w:r>
              <w:t>BSD-3-Clause</w:t>
            </w:r>
          </w:p>
        </w:tc>
      </w:tr>
      <w:tr>
        <w:tc>
          <w:tcPr>
            <w:tcW w:type="dxa" w:w="4320"/>
          </w:tcPr>
          <w:p>
            <w:r>
              <w:t>Объём</w:t>
            </w:r>
          </w:p>
        </w:tc>
        <w:tc>
          <w:tcPr>
            <w:tcW w:type="dxa" w:w="4320"/>
          </w:tcPr>
          <w:p>
            <w:r>
              <w:t>24000</w:t>
            </w:r>
          </w:p>
        </w:tc>
      </w:tr>
      <w:tr>
        <w:tc>
          <w:tcPr>
            <w:tcW w:type="dxa" w:w="4320"/>
          </w:tcPr>
          <w:p>
            <w:r>
              <w:t>SHA-256</w:t>
            </w:r>
          </w:p>
        </w:tc>
        <w:tc>
          <w:tcPr>
            <w:tcW w:type="dxa" w:w="4320"/>
          </w:tcPr>
          <w:p>
            <w:r>
              <w:t>dd38bd033f2300777fb0420e4c7bf895946435fa3b76c4d495a69e120b54be91</w:t>
            </w:r>
          </w:p>
        </w:tc>
      </w:tr>
      <w:tr>
        <w:tc>
          <w:tcPr>
            <w:tcW w:type="dxa" w:w="4320"/>
          </w:tcPr>
          <w:p>
            <w:r>
              <w:t>Хеш коммита</w:t>
            </w:r>
          </w:p>
        </w:tc>
        <w:tc>
          <w:tcPr>
            <w:tcW w:type="dxa" w:w="4320"/>
          </w:tcPr>
          <w:p>
            <w:r>
              <w:t>db922cbf8c178d2629f8fe82c0856ebe15414e86</w:t>
            </w:r>
          </w:p>
        </w:tc>
      </w:tr>
    </w:tbl>
    <w:p>
      <w:pPr>
        <w:pStyle w:val="Heading1"/>
      </w:pPr>
      <w:r>
        <w:t>2. Структура и качество данных</w:t>
      </w:r>
    </w:p>
    <w:p>
      <w:r>
        <w:t>Поля: x1 (float64), x2 (float64), y (int64). Пропущенных значений: 0. Дубликатов: 0. Нечисловых или бесконечных значений признаков: 0. Недопустимых значений целевого класса: 0.</w:t>
      </w:r>
    </w:p>
    <w:p>
      <w:pPr>
        <w:pStyle w:val="Heading1"/>
      </w:pPr>
      <w:r>
        <w:t>3. Разбиение</w:t>
      </w:r>
    </w:p>
    <w:p>
      <w:r>
        <w:t>Train: 16800; validation: 3600; test: 3600; chunks: 24; chunk size: 700.</w:t>
      </w:r>
    </w:p>
    <w:p>
      <w:pPr>
        <w:pStyle w:val="Heading1"/>
      </w:pPr>
      <w:r>
        <w:t>4. EDA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Объекты</w:t>
            </w:r>
          </w:p>
        </w:tc>
        <w:tc>
          <w:tcPr>
            <w:tcW w:type="dxa" w:w="4320"/>
          </w:tcPr>
          <w:p>
            <w:r>
              <w:t>24000</w:t>
            </w:r>
          </w:p>
        </w:tc>
      </w:tr>
      <w:tr>
        <w:tc>
          <w:tcPr>
            <w:tcW w:type="dxa" w:w="4320"/>
          </w:tcPr>
          <w:p>
            <w:r>
              <w:t>Класс 0</w:t>
            </w:r>
          </w:p>
        </w:tc>
        <w:tc>
          <w:tcPr>
            <w:tcW w:type="dxa" w:w="4320"/>
          </w:tcPr>
          <w:p>
            <w:r>
              <w:t>12000 (50.0 %)</w:t>
            </w:r>
          </w:p>
        </w:tc>
      </w:tr>
      <w:tr>
        <w:tc>
          <w:tcPr>
            <w:tcW w:type="dxa" w:w="4320"/>
          </w:tcPr>
          <w:p>
            <w:r>
              <w:t>Класс 1</w:t>
            </w:r>
          </w:p>
        </w:tc>
        <w:tc>
          <w:tcPr>
            <w:tcW w:type="dxa" w:w="4320"/>
          </w:tcPr>
          <w:p>
            <w:r>
              <w:t>12000 (50.0 %)</w:t>
            </w:r>
          </w:p>
        </w:tc>
      </w:tr>
      <w:tr>
        <w:tc>
          <w:tcPr>
            <w:tcW w:type="dxa" w:w="4320"/>
          </w:tcPr>
          <w:p>
            <w:r>
              <w:t>corr(x1, x2)</w:t>
            </w:r>
          </w:p>
        </w:tc>
        <w:tc>
          <w:tcPr>
            <w:tcW w:type="dxa" w:w="4320"/>
          </w:tcPr>
          <w:p>
            <w:r>
              <w:t>-0.3989</w:t>
            </w:r>
          </w:p>
        </w:tc>
      </w:tr>
      <w:tr>
        <w:tc>
          <w:tcPr>
            <w:tcW w:type="dxa" w:w="4320"/>
          </w:tcPr>
          <w:p>
            <w:r>
              <w:t>Linear accuracy</w:t>
            </w:r>
          </w:p>
        </w:tc>
        <w:tc>
          <w:tcPr>
            <w:tcW w:type="dxa" w:w="4320"/>
          </w:tcPr>
          <w:p>
            <w:r>
              <w:t>0.8679</w:t>
            </w:r>
          </w:p>
        </w:tc>
      </w:tr>
    </w:tbl>
    <w:p>
      <w:pPr>
        <w:pStyle w:val="Heading1"/>
      </w:pPr>
      <w:r>
        <w:t>5. Визуализации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linearity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1 — нелинейность классов и линейная граница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2 — баланс классов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50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3 — распределения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4 — корреляционная матрица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5 — матрица ошибок линейного ориентира</w:t>
      </w:r>
    </w:p>
    <w:p>
      <w:pPr>
        <w:pStyle w:val="Heading1"/>
      </w:pPr>
      <w:r>
        <w:t>6. Интерпретация</w:t>
      </w:r>
    </w:p>
    <w:p>
      <w:r>
        <w:t>Классы образуют два полумесяца. Одна линейная граница не соответствует этой геометрии. Диагностическая LogisticRegression имеет accuracy 0.8679. Эта величина используется только как EDA-ориентир.</w:t>
      </w:r>
    </w:p>
    <w:p>
      <w:pPr>
        <w:pStyle w:val="Heading1"/>
      </w:pPr>
      <w:r>
        <w:t>7. Негативные контроли</w:t>
      </w:r>
    </w:p>
    <w:p>
      <w:r>
        <w:t>Реальные попытки git commit с синтаксически неверным Python-файлом, тестовым секретом и бинарным файлом больше 5 MiB блокируются pre-commit. Подмена raw-файла обнаруживается по изменению SHA-256.</w:t>
      </w:r>
    </w:p>
    <w:p>
      <w:pPr>
        <w:pStyle w:val="Heading1"/>
      </w:pPr>
      <w:r>
        <w:t>8. Воспроизводимость</w:t>
      </w:r>
    </w:p>
    <w:p>
      <w:r>
        <w:t>Повторная генерация с теми же параметрами и seed даёт тот же SHA-256.</w:t>
      </w:r>
    </w:p>
    <w:p>
      <w:pPr>
        <w:pStyle w:val="Heading1"/>
      </w:pPr>
      <w:r>
        <w:t>9. Выводы</w:t>
      </w:r>
    </w:p>
    <w:p>
      <w:pPr>
        <w:pStyle w:val="ListNumber"/>
      </w:pPr>
      <w:r>
        <w:t>Объём выборки — 24000 объектов.</w:t>
      </w:r>
    </w:p>
    <w:p>
      <w:pPr>
        <w:pStyle w:val="ListNumber"/>
      </w:pPr>
      <w:r>
        <w:t>Число входных признаков — 2.</w:t>
      </w:r>
    </w:p>
    <w:p>
      <w:pPr>
        <w:pStyle w:val="ListNumber"/>
      </w:pPr>
      <w:r>
        <w:t>Число пропущенных значений — 0.</w:t>
      </w:r>
    </w:p>
    <w:p>
      <w:pPr>
        <w:pStyle w:val="ListNumber"/>
      </w:pPr>
      <w:r>
        <w:t>Число дубликатов — 0.</w:t>
      </w:r>
    </w:p>
    <w:p>
      <w:pPr>
        <w:pStyle w:val="ListNumber"/>
      </w:pPr>
      <w:r>
        <w:t>Доля класса 0 — 50.0 %.</w:t>
      </w:r>
    </w:p>
    <w:p>
      <w:pPr>
        <w:pStyle w:val="ListNumber"/>
      </w:pPr>
      <w:r>
        <w:t>Доля класса 1 — 50.0 %.</w:t>
      </w:r>
    </w:p>
    <w:p>
      <w:pPr>
        <w:pStyle w:val="ListNumber"/>
      </w:pPr>
      <w:r>
        <w:t>Корреляция x1 и x2 — -0.3989.</w:t>
      </w:r>
    </w:p>
    <w:p>
      <w:pPr>
        <w:pStyle w:val="ListNumber"/>
      </w:pPr>
      <w:r>
        <w:t>Accuracy линейного ориентира — 0.8679.</w:t>
      </w:r>
    </w:p>
    <w:p>
      <w:pPr>
        <w:pStyle w:val="ListNumber"/>
      </w:pPr>
      <w:r>
        <w:t>Количество train-чанков — 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