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34693D" w14:textId="77777777" w:rsidR="00FB7AEA" w:rsidRPr="008F1B71" w:rsidRDefault="00FB7AEA" w:rsidP="001E408D">
      <w:pPr>
        <w:pStyle w:val="1"/>
      </w:pPr>
      <w:bookmarkStart w:id="0" w:name="_Toc132220458"/>
      <w:bookmarkStart w:id="1" w:name="_Toc165886519"/>
      <w:r w:rsidRPr="008F1B71">
        <w:rPr>
          <w:rFonts w:hint="eastAsia"/>
        </w:rPr>
        <w:t>第一章 绪论</w:t>
      </w:r>
      <w:bookmarkEnd w:id="0"/>
      <w:bookmarkEnd w:id="1"/>
    </w:p>
    <w:p w14:paraId="52B5EEC6" w14:textId="77777777" w:rsidR="00FB7AEA" w:rsidRPr="008F1B71" w:rsidRDefault="00FB7AEA" w:rsidP="001E408D">
      <w:pPr>
        <w:pStyle w:val="2"/>
      </w:pPr>
      <w:bookmarkStart w:id="2" w:name="_Toc132220459"/>
      <w:bookmarkStart w:id="3" w:name="_Toc165886520"/>
      <w:r w:rsidRPr="008F1B71">
        <w:rPr>
          <w:rFonts w:hint="eastAsia"/>
        </w:rPr>
        <w:t xml:space="preserve">1.1 </w:t>
      </w:r>
      <w:bookmarkEnd w:id="2"/>
      <w:r w:rsidRPr="008F1B71">
        <w:rPr>
          <w:rFonts w:hint="eastAsia"/>
        </w:rPr>
        <w:t>研究背景</w:t>
      </w:r>
      <w:bookmarkEnd w:id="3"/>
    </w:p>
    <w:p w14:paraId="62C15391" w14:textId="77777777" w:rsidR="008F1B71" w:rsidRDefault="00FB7AEA" w:rsidP="008818FD">
      <w:pPr>
        <w:spacing w:line="400" w:lineRule="exact"/>
        <w:rPr>
          <w:sz w:val="24"/>
          <w:szCs w:val="22"/>
        </w:rPr>
      </w:pPr>
      <w:bookmarkStart w:id="4" w:name="_Hlk166005612"/>
      <w:r w:rsidRPr="008F1B71">
        <w:rPr>
          <w:sz w:val="24"/>
          <w:szCs w:val="22"/>
        </w:rPr>
        <w:tab/>
      </w:r>
      <w:r w:rsidRPr="008F1B71">
        <w:rPr>
          <w:rFonts w:hint="eastAsia"/>
          <w:sz w:val="24"/>
          <w:szCs w:val="22"/>
        </w:rPr>
        <w:t>在人类掌握可控核聚变技术之前，能源短缺将始终是人类亟待解决的问题之一。电能作为二十一世纪人类现代社会发展的核心能源形式，驱动着工业机械、照明系统、通讯设备以及所有的家用电器，革新的发电技术与电能的高效利用将是能源短缺背景下的永恒命题。随着可再生能源技术、微型发电技术、储能技术以及智能电网技术等的发展，位于用户端的小型发电单元，例如屋顶光伏、风电、储能电池等逐渐受到关注，这些资源被称为分布式资源（</w:t>
      </w:r>
      <w:r w:rsidRPr="008F1B71">
        <w:rPr>
          <w:rFonts w:hint="eastAsia"/>
          <w:sz w:val="24"/>
          <w:szCs w:val="22"/>
        </w:rPr>
        <w:t>D</w:t>
      </w:r>
      <w:r w:rsidRPr="008F1B71">
        <w:rPr>
          <w:sz w:val="24"/>
          <w:szCs w:val="22"/>
        </w:rPr>
        <w:t xml:space="preserve">istributed </w:t>
      </w:r>
      <w:r w:rsidRPr="008F1B71">
        <w:rPr>
          <w:rFonts w:hint="eastAsia"/>
          <w:sz w:val="24"/>
          <w:szCs w:val="22"/>
        </w:rPr>
        <w:t>E</w:t>
      </w:r>
      <w:r w:rsidRPr="008F1B71">
        <w:rPr>
          <w:sz w:val="24"/>
          <w:szCs w:val="22"/>
        </w:rPr>
        <w:t xml:space="preserve">nergy </w:t>
      </w:r>
      <w:r w:rsidRPr="008F1B71">
        <w:rPr>
          <w:rFonts w:hint="eastAsia"/>
          <w:sz w:val="24"/>
          <w:szCs w:val="22"/>
        </w:rPr>
        <w:t>R</w:t>
      </w:r>
      <w:r w:rsidRPr="008F1B71">
        <w:rPr>
          <w:sz w:val="24"/>
          <w:szCs w:val="22"/>
        </w:rPr>
        <w:t>esources</w:t>
      </w:r>
      <w:r w:rsidRPr="008F1B71">
        <w:rPr>
          <w:rFonts w:hint="eastAsia"/>
          <w:sz w:val="24"/>
          <w:szCs w:val="22"/>
        </w:rPr>
        <w:t>，</w:t>
      </w:r>
      <w:r w:rsidRPr="008F1B71">
        <w:rPr>
          <w:rFonts w:hint="eastAsia"/>
          <w:sz w:val="24"/>
          <w:szCs w:val="22"/>
        </w:rPr>
        <w:t>DER</w:t>
      </w:r>
      <w:r w:rsidRPr="008F1B71">
        <w:rPr>
          <w:rFonts w:hint="eastAsia"/>
          <w:sz w:val="24"/>
          <w:szCs w:val="22"/>
        </w:rPr>
        <w:t>）。分布式能源具有灵活、环保、经济的优势，但其数量多、规模小、信息不透明导致管理困难，并且稳定性不足导致难以直接接入电网或电网</w:t>
      </w:r>
      <w:proofErr w:type="gramStart"/>
      <w:r w:rsidRPr="008F1B71">
        <w:rPr>
          <w:rFonts w:hint="eastAsia"/>
          <w:sz w:val="24"/>
          <w:szCs w:val="22"/>
        </w:rPr>
        <w:t>维稳成本</w:t>
      </w:r>
      <w:proofErr w:type="gramEnd"/>
      <w:r w:rsidRPr="008F1B71">
        <w:rPr>
          <w:rFonts w:hint="eastAsia"/>
          <w:sz w:val="24"/>
          <w:szCs w:val="22"/>
        </w:rPr>
        <w:t>增加，建立分布式能源的聚合管理形式成为有效利用分布式能源的关键。</w:t>
      </w:r>
    </w:p>
    <w:p w14:paraId="74D4B776" w14:textId="77777777" w:rsidR="008F1B71" w:rsidRDefault="008F1B71" w:rsidP="008818FD">
      <w:pPr>
        <w:spacing w:line="400" w:lineRule="exact"/>
        <w:rPr>
          <w:sz w:val="24"/>
          <w:szCs w:val="22"/>
        </w:rPr>
      </w:pPr>
      <w:r>
        <w:rPr>
          <w:rFonts w:hint="eastAsia"/>
          <w:sz w:val="24"/>
          <w:szCs w:val="22"/>
        </w:rPr>
        <w:tab/>
      </w:r>
      <w:r w:rsidR="00FB7AEA" w:rsidRPr="008F1B71">
        <w:rPr>
          <w:rFonts w:hint="eastAsia"/>
          <w:sz w:val="24"/>
          <w:szCs w:val="22"/>
        </w:rPr>
        <w:t>脱胎于</w:t>
      </w:r>
      <w:r w:rsidR="00FB7AEA" w:rsidRPr="008F1B71">
        <w:rPr>
          <w:rFonts w:hint="eastAsia"/>
          <w:sz w:val="24"/>
          <w:szCs w:val="22"/>
        </w:rPr>
        <w:t>1997</w:t>
      </w:r>
      <w:r w:rsidR="00FB7AEA" w:rsidRPr="008F1B71">
        <w:rPr>
          <w:rFonts w:hint="eastAsia"/>
          <w:sz w:val="24"/>
          <w:szCs w:val="22"/>
        </w:rPr>
        <w:t>年</w:t>
      </w:r>
      <w:r w:rsidR="00FB7AEA" w:rsidRPr="008F1B71">
        <w:rPr>
          <w:rFonts w:hint="eastAsia"/>
          <w:sz w:val="24"/>
          <w:szCs w:val="22"/>
        </w:rPr>
        <w:t xml:space="preserve">Shimon </w:t>
      </w:r>
      <w:proofErr w:type="spellStart"/>
      <w:r w:rsidR="00FB7AEA" w:rsidRPr="008F1B71">
        <w:rPr>
          <w:rFonts w:hint="eastAsia"/>
          <w:sz w:val="24"/>
          <w:szCs w:val="22"/>
        </w:rPr>
        <w:t>Awerbuch</w:t>
      </w:r>
      <w:proofErr w:type="spellEnd"/>
      <w:r w:rsidR="00FB7AEA" w:rsidRPr="008F1B71">
        <w:rPr>
          <w:rFonts w:hint="eastAsia"/>
          <w:sz w:val="24"/>
          <w:szCs w:val="22"/>
        </w:rPr>
        <w:t>博士的著作《虚拟公共设施：新兴产业的描述、技术及竞争力》中对虚拟公共设施的定义，虚拟电厂（</w:t>
      </w:r>
      <w:r w:rsidR="00FB7AEA" w:rsidRPr="008F1B71">
        <w:rPr>
          <w:rFonts w:hint="eastAsia"/>
          <w:sz w:val="24"/>
          <w:szCs w:val="22"/>
        </w:rPr>
        <w:t>Virtual Power Plant</w:t>
      </w:r>
      <w:r w:rsidR="00FB7AEA" w:rsidRPr="008F1B71">
        <w:rPr>
          <w:rFonts w:hint="eastAsia"/>
          <w:sz w:val="24"/>
          <w:szCs w:val="22"/>
        </w:rPr>
        <w:t>，</w:t>
      </w:r>
      <w:r w:rsidR="00FB7AEA" w:rsidRPr="008F1B71">
        <w:rPr>
          <w:rFonts w:hint="eastAsia"/>
          <w:sz w:val="24"/>
          <w:szCs w:val="22"/>
        </w:rPr>
        <w:t>VPP</w:t>
      </w:r>
      <w:r w:rsidR="00FB7AEA" w:rsidRPr="008F1B71">
        <w:rPr>
          <w:rFonts w:hint="eastAsia"/>
          <w:sz w:val="24"/>
          <w:szCs w:val="22"/>
        </w:rPr>
        <w:t>）的概念逐渐进入大众视野，不同于传统电厂作为物理存在自身管理并运行实体的发电终端，虚拟电厂以软件平台的形式聚合各类分布式资源，通过先进的通信、调控手段使</w:t>
      </w:r>
      <w:r w:rsidR="00177448" w:rsidRPr="008F1B71">
        <w:rPr>
          <w:rFonts w:hint="eastAsia"/>
          <w:sz w:val="24"/>
          <w:szCs w:val="22"/>
        </w:rPr>
        <w:t>经过</w:t>
      </w:r>
      <w:r w:rsidR="00FB7AEA" w:rsidRPr="008F1B71">
        <w:rPr>
          <w:rFonts w:hint="eastAsia"/>
          <w:sz w:val="24"/>
          <w:szCs w:val="22"/>
        </w:rPr>
        <w:t>聚合后的整体具有与传统电厂相似的外特性。虚拟电厂概念的出现使得分布式资源在电网中的规模化接入成为可能。</w:t>
      </w:r>
    </w:p>
    <w:p w14:paraId="25541473" w14:textId="4C51A168" w:rsidR="007A186D" w:rsidRPr="008F1B71" w:rsidRDefault="00F05548" w:rsidP="008818FD">
      <w:pPr>
        <w:spacing w:line="400" w:lineRule="exact"/>
        <w:ind w:firstLine="477"/>
        <w:rPr>
          <w:sz w:val="24"/>
          <w:szCs w:val="22"/>
        </w:rPr>
      </w:pPr>
      <w:r w:rsidRPr="008F1B71">
        <w:rPr>
          <w:rFonts w:hint="eastAsia"/>
          <w:sz w:val="24"/>
          <w:szCs w:val="22"/>
        </w:rPr>
        <w:t>随着越来越多的虚拟电厂作为新型主体加入</w:t>
      </w:r>
      <w:r w:rsidR="00133DBA" w:rsidRPr="008F1B71">
        <w:rPr>
          <w:rFonts w:hint="eastAsia"/>
          <w:sz w:val="24"/>
          <w:szCs w:val="22"/>
        </w:rPr>
        <w:t>电网</w:t>
      </w:r>
      <w:r w:rsidRPr="008F1B71">
        <w:rPr>
          <w:rFonts w:hint="eastAsia"/>
          <w:sz w:val="24"/>
          <w:szCs w:val="22"/>
        </w:rPr>
        <w:t>，其与传统电厂相异的外特性将使得传统的电网调度机制越来越难以适用，虚拟电厂的规模化接入</w:t>
      </w:r>
      <w:r w:rsidR="0027690D" w:rsidRPr="008F1B71">
        <w:rPr>
          <w:rFonts w:hint="eastAsia"/>
          <w:sz w:val="24"/>
          <w:szCs w:val="22"/>
        </w:rPr>
        <w:t>带来的能源结构、电网结构改变不可忽视。</w:t>
      </w:r>
      <w:r w:rsidR="005130B5">
        <w:rPr>
          <w:rFonts w:hint="eastAsia"/>
          <w:sz w:val="24"/>
          <w:szCs w:val="22"/>
        </w:rPr>
        <w:t>未来</w:t>
      </w:r>
      <w:r w:rsidR="0027690D" w:rsidRPr="008F1B71">
        <w:rPr>
          <w:rFonts w:hint="eastAsia"/>
          <w:sz w:val="24"/>
          <w:szCs w:val="22"/>
        </w:rPr>
        <w:t>分布式资源类型</w:t>
      </w:r>
      <w:r w:rsidR="005130B5">
        <w:rPr>
          <w:rFonts w:hint="eastAsia"/>
          <w:sz w:val="24"/>
          <w:szCs w:val="22"/>
        </w:rPr>
        <w:t>或将不断丰富，对特性类似资源的聚合</w:t>
      </w:r>
      <w:r w:rsidR="0027690D" w:rsidRPr="008F1B71">
        <w:rPr>
          <w:rFonts w:hint="eastAsia"/>
          <w:sz w:val="24"/>
          <w:szCs w:val="22"/>
        </w:rPr>
        <w:t>使得虚拟电厂的外特性具有</w:t>
      </w:r>
      <w:r w:rsidR="00CB094C" w:rsidRPr="008F1B71">
        <w:rPr>
          <w:rFonts w:hint="eastAsia"/>
          <w:sz w:val="24"/>
          <w:szCs w:val="22"/>
        </w:rPr>
        <w:t>不同程度的</w:t>
      </w:r>
      <w:r w:rsidR="0027690D" w:rsidRPr="008F1B71">
        <w:rPr>
          <w:rFonts w:hint="eastAsia"/>
          <w:sz w:val="24"/>
          <w:szCs w:val="22"/>
        </w:rPr>
        <w:t>多样化特征，</w:t>
      </w:r>
      <w:r w:rsidR="00CB094C" w:rsidRPr="008F1B71">
        <w:rPr>
          <w:rFonts w:hint="eastAsia"/>
          <w:sz w:val="24"/>
          <w:szCs w:val="22"/>
        </w:rPr>
        <w:t>在丰富了电网的调度生态的同时</w:t>
      </w:r>
      <w:r w:rsidR="005130B5">
        <w:rPr>
          <w:rFonts w:hint="eastAsia"/>
          <w:sz w:val="24"/>
          <w:szCs w:val="22"/>
        </w:rPr>
        <w:t>也体现</w:t>
      </w:r>
      <w:r w:rsidR="00CB094C" w:rsidRPr="008F1B71">
        <w:rPr>
          <w:rFonts w:hint="eastAsia"/>
          <w:sz w:val="24"/>
          <w:szCs w:val="22"/>
        </w:rPr>
        <w:t>出一定的产业集群效应</w:t>
      </w:r>
      <w:r w:rsidR="005130B5">
        <w:rPr>
          <w:rFonts w:hint="eastAsia"/>
          <w:sz w:val="24"/>
          <w:szCs w:val="22"/>
        </w:rPr>
        <w:t>，各具特长的虚拟电厂</w:t>
      </w:r>
      <w:r w:rsidR="00CB094C" w:rsidRPr="008F1B71">
        <w:rPr>
          <w:rFonts w:hint="eastAsia"/>
          <w:sz w:val="24"/>
          <w:szCs w:val="22"/>
        </w:rPr>
        <w:t>间协同交互机制的渐趋成熟催生出虚拟电厂集群（</w:t>
      </w:r>
      <w:r w:rsidR="00CB094C" w:rsidRPr="008F1B71">
        <w:rPr>
          <w:rFonts w:hint="eastAsia"/>
          <w:sz w:val="24"/>
          <w:szCs w:val="22"/>
        </w:rPr>
        <w:t>Virtual Power Plant Cluster</w:t>
      </w:r>
      <w:r w:rsidR="00CB094C" w:rsidRPr="008F1B71">
        <w:rPr>
          <w:rFonts w:hint="eastAsia"/>
          <w:sz w:val="24"/>
          <w:szCs w:val="22"/>
        </w:rPr>
        <w:t>，</w:t>
      </w:r>
      <w:r w:rsidR="00CB094C" w:rsidRPr="008F1B71">
        <w:rPr>
          <w:rFonts w:hint="eastAsia"/>
          <w:sz w:val="24"/>
          <w:szCs w:val="22"/>
        </w:rPr>
        <w:t>VPPC</w:t>
      </w:r>
      <w:r w:rsidR="00CB094C" w:rsidRPr="008F1B71">
        <w:rPr>
          <w:rFonts w:hint="eastAsia"/>
          <w:sz w:val="24"/>
          <w:szCs w:val="22"/>
        </w:rPr>
        <w:t>）的概念，其</w:t>
      </w:r>
      <w:r w:rsidR="00133DBA" w:rsidRPr="008F1B71">
        <w:rPr>
          <w:rFonts w:hint="eastAsia"/>
          <w:sz w:val="24"/>
          <w:szCs w:val="22"/>
        </w:rPr>
        <w:t>作为虚拟电厂发展过程中的特殊阶段将逐渐成为未来电网调度机制研究的中心。</w:t>
      </w:r>
    </w:p>
    <w:p w14:paraId="55DE213D" w14:textId="77777777" w:rsidR="00FB7AEA" w:rsidRPr="008F1B71" w:rsidRDefault="00FB7AEA" w:rsidP="001E408D">
      <w:pPr>
        <w:pStyle w:val="2"/>
      </w:pPr>
      <w:bookmarkStart w:id="5" w:name="_Toc132220460"/>
      <w:bookmarkStart w:id="6" w:name="_Toc165886521"/>
      <w:bookmarkEnd w:id="4"/>
      <w:r w:rsidRPr="008F1B71">
        <w:rPr>
          <w:rFonts w:hint="eastAsia"/>
        </w:rPr>
        <w:t xml:space="preserve">1.2 </w:t>
      </w:r>
      <w:bookmarkEnd w:id="5"/>
      <w:r w:rsidRPr="008F1B71">
        <w:rPr>
          <w:rFonts w:hint="eastAsia"/>
        </w:rPr>
        <w:t>国内外研究现状</w:t>
      </w:r>
      <w:bookmarkEnd w:id="6"/>
    </w:p>
    <w:p w14:paraId="45ADFF0C" w14:textId="48A94701" w:rsidR="00FB7AEA" w:rsidRPr="008F1B71" w:rsidRDefault="007A186D" w:rsidP="008818FD">
      <w:pPr>
        <w:spacing w:line="400" w:lineRule="exact"/>
        <w:rPr>
          <w:sz w:val="24"/>
          <w:szCs w:val="22"/>
        </w:rPr>
      </w:pPr>
      <w:bookmarkStart w:id="7" w:name="_Toc132220461"/>
      <w:bookmarkStart w:id="8" w:name="_Hlk166006099"/>
      <w:r w:rsidRPr="008F1B71">
        <w:rPr>
          <w:sz w:val="24"/>
          <w:szCs w:val="22"/>
        </w:rPr>
        <w:tab/>
      </w:r>
      <w:r w:rsidRPr="008F1B71">
        <w:rPr>
          <w:rFonts w:hint="eastAsia"/>
          <w:sz w:val="24"/>
          <w:szCs w:val="22"/>
        </w:rPr>
        <w:t>对于虚拟电厂的研究</w:t>
      </w:r>
      <w:r w:rsidR="00367C6D" w:rsidRPr="008F1B71">
        <w:rPr>
          <w:rFonts w:hint="eastAsia"/>
          <w:sz w:val="24"/>
          <w:szCs w:val="22"/>
        </w:rPr>
        <w:t>大体</w:t>
      </w:r>
      <w:r w:rsidRPr="008F1B71">
        <w:rPr>
          <w:rFonts w:hint="eastAsia"/>
          <w:sz w:val="24"/>
          <w:szCs w:val="22"/>
        </w:rPr>
        <w:t>可以分为对内、对外两个方向。对内，即虚拟电厂自身对于分布式资源的聚合、调度</w:t>
      </w:r>
      <w:r w:rsidR="00367C6D" w:rsidRPr="008F1B71">
        <w:rPr>
          <w:rFonts w:hint="eastAsia"/>
          <w:sz w:val="24"/>
          <w:szCs w:val="22"/>
        </w:rPr>
        <w:t>两</w:t>
      </w:r>
      <w:r w:rsidRPr="008F1B71">
        <w:rPr>
          <w:rFonts w:hint="eastAsia"/>
          <w:sz w:val="24"/>
          <w:szCs w:val="22"/>
        </w:rPr>
        <w:t>个方面。关于虚拟电厂的资源聚合，文</w:t>
      </w:r>
      <w:r w:rsidRPr="008F1B71">
        <w:rPr>
          <w:rFonts w:hint="eastAsia"/>
          <w:sz w:val="24"/>
          <w:szCs w:val="22"/>
        </w:rPr>
        <w:lastRenderedPageBreak/>
        <w:t>献</w:t>
      </w:r>
      <w:r w:rsidR="004D4480" w:rsidRPr="008F1B71">
        <w:rPr>
          <w:rFonts w:hint="eastAsia"/>
          <w:sz w:val="24"/>
          <w:szCs w:val="22"/>
        </w:rPr>
        <w:t>……。关于虚拟电厂的</w:t>
      </w:r>
      <w:r w:rsidR="00367C6D" w:rsidRPr="008F1B71">
        <w:rPr>
          <w:rFonts w:hint="eastAsia"/>
          <w:sz w:val="24"/>
          <w:szCs w:val="22"/>
        </w:rPr>
        <w:t>内部优化调度，文献……。</w:t>
      </w:r>
      <w:r w:rsidR="004D4480" w:rsidRPr="008F1B71">
        <w:rPr>
          <w:rFonts w:hint="eastAsia"/>
          <w:sz w:val="24"/>
          <w:szCs w:val="22"/>
        </w:rPr>
        <w:t>对外，即虚拟电厂参与电网调度与电力市场</w:t>
      </w:r>
      <w:r w:rsidR="00367C6D" w:rsidRPr="008F1B71">
        <w:rPr>
          <w:rFonts w:hint="eastAsia"/>
          <w:sz w:val="24"/>
          <w:szCs w:val="22"/>
        </w:rPr>
        <w:t>的机制，文献……。</w:t>
      </w:r>
    </w:p>
    <w:p w14:paraId="5BB4FC42" w14:textId="7E1532C1" w:rsidR="00F05548" w:rsidRPr="008F1B71" w:rsidRDefault="00F05548" w:rsidP="008818FD">
      <w:pPr>
        <w:spacing w:line="400" w:lineRule="exact"/>
        <w:rPr>
          <w:sz w:val="24"/>
          <w:szCs w:val="22"/>
        </w:rPr>
      </w:pPr>
      <w:r w:rsidRPr="008F1B71">
        <w:rPr>
          <w:sz w:val="24"/>
          <w:szCs w:val="22"/>
        </w:rPr>
        <w:tab/>
      </w:r>
      <w:r w:rsidRPr="008F1B71">
        <w:rPr>
          <w:rFonts w:hint="eastAsia"/>
          <w:sz w:val="24"/>
          <w:szCs w:val="22"/>
        </w:rPr>
        <w:t>对于虚拟电厂集群的研究同样</w:t>
      </w:r>
      <w:r w:rsidR="005130B5">
        <w:rPr>
          <w:rFonts w:hint="eastAsia"/>
          <w:sz w:val="24"/>
          <w:szCs w:val="22"/>
        </w:rPr>
        <w:t>大体</w:t>
      </w:r>
      <w:r w:rsidRPr="008F1B71">
        <w:rPr>
          <w:rFonts w:hint="eastAsia"/>
          <w:sz w:val="24"/>
          <w:szCs w:val="22"/>
        </w:rPr>
        <w:t>可以分为对内、对外两个方向。对内，即虚拟电厂集群内部虚拟电厂间的能量交互，文献……。对外，即虚拟电厂集群参与电网调度与电力市场的机制，文献……。</w:t>
      </w:r>
    </w:p>
    <w:p w14:paraId="3F1E39B0" w14:textId="77777777" w:rsidR="00FB7AEA" w:rsidRPr="008F1B71" w:rsidRDefault="00FB7AEA" w:rsidP="001E408D">
      <w:pPr>
        <w:pStyle w:val="2"/>
      </w:pPr>
      <w:bookmarkStart w:id="9" w:name="_Toc165886522"/>
      <w:bookmarkEnd w:id="8"/>
      <w:r w:rsidRPr="008F1B71">
        <w:rPr>
          <w:rFonts w:hint="eastAsia"/>
        </w:rPr>
        <w:t xml:space="preserve">1.3 </w:t>
      </w:r>
      <w:bookmarkEnd w:id="7"/>
      <w:r w:rsidRPr="008F1B71">
        <w:rPr>
          <w:rFonts w:hint="eastAsia"/>
        </w:rPr>
        <w:t>本文主要贡献与创新</w:t>
      </w:r>
      <w:bookmarkStart w:id="10" w:name="_Toc132220462"/>
      <w:bookmarkEnd w:id="9"/>
    </w:p>
    <w:p w14:paraId="7DC2D5F4" w14:textId="2960CDB7" w:rsidR="005B5C19" w:rsidRDefault="00FB7AEA" w:rsidP="005B5C19">
      <w:pPr>
        <w:spacing w:line="400" w:lineRule="exact"/>
        <w:rPr>
          <w:sz w:val="24"/>
          <w:szCs w:val="22"/>
        </w:rPr>
      </w:pPr>
      <w:bookmarkStart w:id="11" w:name="_Hlk166006210"/>
      <w:bookmarkEnd w:id="10"/>
      <w:r w:rsidRPr="008F1B71">
        <w:rPr>
          <w:sz w:val="24"/>
          <w:szCs w:val="22"/>
        </w:rPr>
        <w:tab/>
      </w:r>
      <w:r w:rsidR="00707EC1">
        <w:rPr>
          <w:rFonts w:hint="eastAsia"/>
          <w:sz w:val="24"/>
          <w:szCs w:val="22"/>
        </w:rPr>
        <w:t>以往对于虚拟电厂</w:t>
      </w:r>
      <w:r w:rsidR="00DF10ED">
        <w:rPr>
          <w:rFonts w:hint="eastAsia"/>
          <w:sz w:val="24"/>
          <w:szCs w:val="22"/>
        </w:rPr>
        <w:t>特征辨识以及虚拟电厂</w:t>
      </w:r>
      <w:r w:rsidR="00707EC1">
        <w:rPr>
          <w:rFonts w:hint="eastAsia"/>
          <w:sz w:val="24"/>
          <w:szCs w:val="22"/>
        </w:rPr>
        <w:t>对内资源聚合的</w:t>
      </w:r>
      <w:r w:rsidR="009922FD">
        <w:rPr>
          <w:rFonts w:hint="eastAsia"/>
          <w:sz w:val="24"/>
          <w:szCs w:val="22"/>
        </w:rPr>
        <w:t>研究中，虚拟电厂相较于传统电厂</w:t>
      </w:r>
      <w:r w:rsidR="00852C95">
        <w:rPr>
          <w:rFonts w:hint="eastAsia"/>
          <w:sz w:val="24"/>
          <w:szCs w:val="22"/>
        </w:rPr>
        <w:t>外特性</w:t>
      </w:r>
      <w:r w:rsidR="009922FD">
        <w:rPr>
          <w:rFonts w:hint="eastAsia"/>
          <w:sz w:val="24"/>
          <w:szCs w:val="22"/>
        </w:rPr>
        <w:t>的差异通常只有定性的描述，这种定性判断</w:t>
      </w:r>
      <w:r w:rsidR="003278F4">
        <w:rPr>
          <w:rFonts w:hint="eastAsia"/>
          <w:sz w:val="24"/>
          <w:szCs w:val="22"/>
        </w:rPr>
        <w:t>对于</w:t>
      </w:r>
      <w:r w:rsidR="009922FD">
        <w:rPr>
          <w:rFonts w:hint="eastAsia"/>
          <w:sz w:val="24"/>
          <w:szCs w:val="22"/>
        </w:rPr>
        <w:t>资源类型差异较大的主体</w:t>
      </w:r>
      <w:r w:rsidR="003278F4">
        <w:rPr>
          <w:rFonts w:hint="eastAsia"/>
          <w:sz w:val="24"/>
          <w:szCs w:val="22"/>
        </w:rPr>
        <w:t>或许</w:t>
      </w:r>
      <w:r w:rsidR="008818FD">
        <w:rPr>
          <w:rFonts w:hint="eastAsia"/>
          <w:sz w:val="24"/>
          <w:szCs w:val="22"/>
        </w:rPr>
        <w:t>具有一定适用性</w:t>
      </w:r>
      <w:r w:rsidR="009922FD">
        <w:rPr>
          <w:rFonts w:hint="eastAsia"/>
          <w:sz w:val="24"/>
          <w:szCs w:val="22"/>
        </w:rPr>
        <w:t>，</w:t>
      </w:r>
      <w:r w:rsidR="003278F4">
        <w:rPr>
          <w:rFonts w:hint="eastAsia"/>
          <w:sz w:val="24"/>
          <w:szCs w:val="22"/>
        </w:rPr>
        <w:t>对于</w:t>
      </w:r>
      <w:r w:rsidR="009922FD">
        <w:rPr>
          <w:rFonts w:hint="eastAsia"/>
          <w:sz w:val="24"/>
          <w:szCs w:val="22"/>
        </w:rPr>
        <w:t>资源类型相近的主体则难以</w:t>
      </w:r>
      <w:r w:rsidR="001606EC">
        <w:rPr>
          <w:rFonts w:hint="eastAsia"/>
          <w:sz w:val="24"/>
          <w:szCs w:val="22"/>
        </w:rPr>
        <w:t>适用</w:t>
      </w:r>
      <w:r w:rsidR="009922FD">
        <w:rPr>
          <w:rFonts w:hint="eastAsia"/>
          <w:sz w:val="24"/>
          <w:szCs w:val="22"/>
        </w:rPr>
        <w:t>，</w:t>
      </w:r>
      <w:r w:rsidR="003278F4">
        <w:rPr>
          <w:rFonts w:hint="eastAsia"/>
          <w:sz w:val="24"/>
          <w:szCs w:val="22"/>
        </w:rPr>
        <w:t>而各类主体的外特性差异化将是未来电网调度策略精细化</w:t>
      </w:r>
      <w:r w:rsidR="008818FD">
        <w:rPr>
          <w:rFonts w:hint="eastAsia"/>
          <w:sz w:val="24"/>
          <w:szCs w:val="22"/>
        </w:rPr>
        <w:t>过程中</w:t>
      </w:r>
      <w:r w:rsidR="003278F4">
        <w:rPr>
          <w:rFonts w:hint="eastAsia"/>
          <w:sz w:val="24"/>
          <w:szCs w:val="22"/>
        </w:rPr>
        <w:t>不可缺少的一环。</w:t>
      </w:r>
      <w:r w:rsidR="008818FD">
        <w:rPr>
          <w:rFonts w:hint="eastAsia"/>
          <w:sz w:val="24"/>
          <w:szCs w:val="22"/>
        </w:rPr>
        <w:t>基于主体差异化的需求，</w:t>
      </w:r>
      <w:r w:rsidR="00707EC1">
        <w:rPr>
          <w:rFonts w:hint="eastAsia"/>
          <w:sz w:val="24"/>
          <w:szCs w:val="22"/>
        </w:rPr>
        <w:t>聚焦于主体调节质量的差异，</w:t>
      </w:r>
      <w:r w:rsidR="003278F4">
        <w:rPr>
          <w:rFonts w:hint="eastAsia"/>
          <w:sz w:val="24"/>
          <w:szCs w:val="22"/>
        </w:rPr>
        <w:t>本文</w:t>
      </w:r>
      <w:r w:rsidR="002A0DA5">
        <w:rPr>
          <w:rFonts w:hint="eastAsia"/>
          <w:sz w:val="24"/>
          <w:szCs w:val="22"/>
        </w:rPr>
        <w:t>做了如下工作：</w:t>
      </w:r>
    </w:p>
    <w:p w14:paraId="29B82AAC" w14:textId="549617D4" w:rsidR="005B5C19" w:rsidRDefault="005B5C19" w:rsidP="005B5C19">
      <w:pPr>
        <w:spacing w:line="400" w:lineRule="exact"/>
        <w:rPr>
          <w:sz w:val="24"/>
          <w:szCs w:val="22"/>
        </w:rPr>
      </w:pPr>
      <w:r>
        <w:rPr>
          <w:sz w:val="24"/>
          <w:szCs w:val="22"/>
        </w:rPr>
        <w:tab/>
      </w:r>
      <w:r>
        <w:rPr>
          <w:rFonts w:hint="eastAsia"/>
          <w:sz w:val="24"/>
          <w:szCs w:val="22"/>
        </w:rPr>
        <w:t>（</w:t>
      </w:r>
      <w:r>
        <w:rPr>
          <w:rFonts w:hint="eastAsia"/>
          <w:sz w:val="24"/>
          <w:szCs w:val="22"/>
        </w:rPr>
        <w:t>1</w:t>
      </w:r>
      <w:r>
        <w:rPr>
          <w:rFonts w:hint="eastAsia"/>
          <w:sz w:val="24"/>
          <w:szCs w:val="22"/>
        </w:rPr>
        <w:t>）</w:t>
      </w:r>
      <w:r w:rsidR="008818FD" w:rsidRPr="005B5C19">
        <w:rPr>
          <w:rFonts w:hint="eastAsia"/>
          <w:sz w:val="24"/>
          <w:szCs w:val="22"/>
        </w:rPr>
        <w:t>解构调节质量并建立调节特性的概念</w:t>
      </w:r>
      <w:r>
        <w:rPr>
          <w:rFonts w:hint="eastAsia"/>
          <w:sz w:val="24"/>
          <w:szCs w:val="22"/>
        </w:rPr>
        <w:t>；</w:t>
      </w:r>
    </w:p>
    <w:p w14:paraId="0EFC13F9" w14:textId="1D1D0911" w:rsidR="005B5C19" w:rsidRDefault="005B5C19" w:rsidP="005B5C19">
      <w:pPr>
        <w:spacing w:line="400" w:lineRule="exact"/>
        <w:rPr>
          <w:sz w:val="24"/>
          <w:szCs w:val="22"/>
        </w:rPr>
      </w:pPr>
      <w:r>
        <w:rPr>
          <w:sz w:val="24"/>
          <w:szCs w:val="22"/>
        </w:rPr>
        <w:tab/>
      </w:r>
      <w:r>
        <w:rPr>
          <w:rFonts w:hint="eastAsia"/>
          <w:sz w:val="24"/>
          <w:szCs w:val="22"/>
        </w:rPr>
        <w:t>（</w:t>
      </w:r>
      <w:r>
        <w:rPr>
          <w:rFonts w:hint="eastAsia"/>
          <w:sz w:val="24"/>
          <w:szCs w:val="22"/>
        </w:rPr>
        <w:t>2</w:t>
      </w:r>
      <w:r>
        <w:rPr>
          <w:rFonts w:hint="eastAsia"/>
          <w:sz w:val="24"/>
          <w:szCs w:val="22"/>
        </w:rPr>
        <w:t>）</w:t>
      </w:r>
      <w:r w:rsidR="003278F4" w:rsidRPr="005B5C19">
        <w:rPr>
          <w:rFonts w:hint="eastAsia"/>
          <w:sz w:val="24"/>
          <w:szCs w:val="22"/>
        </w:rPr>
        <w:t>构建虚拟电厂与传统电厂的调节质量</w:t>
      </w:r>
      <w:r w:rsidR="008818FD" w:rsidRPr="005B5C19">
        <w:rPr>
          <w:rFonts w:hint="eastAsia"/>
          <w:sz w:val="24"/>
          <w:szCs w:val="22"/>
        </w:rPr>
        <w:t>多维度多指标</w:t>
      </w:r>
      <w:r w:rsidR="003278F4" w:rsidRPr="005B5C19">
        <w:rPr>
          <w:rFonts w:hint="eastAsia"/>
          <w:sz w:val="24"/>
          <w:szCs w:val="22"/>
        </w:rPr>
        <w:t>综合评价体系</w:t>
      </w:r>
      <w:r>
        <w:rPr>
          <w:rFonts w:hint="eastAsia"/>
          <w:sz w:val="24"/>
          <w:szCs w:val="22"/>
        </w:rPr>
        <w:t>；</w:t>
      </w:r>
    </w:p>
    <w:p w14:paraId="3107E49B" w14:textId="0D12DA19" w:rsidR="005B5C19" w:rsidRDefault="005B5C19" w:rsidP="005B5C19">
      <w:pPr>
        <w:spacing w:line="400" w:lineRule="exact"/>
        <w:rPr>
          <w:rFonts w:hint="eastAsia"/>
          <w:sz w:val="24"/>
          <w:szCs w:val="22"/>
        </w:rPr>
      </w:pPr>
      <w:r>
        <w:rPr>
          <w:sz w:val="24"/>
          <w:szCs w:val="22"/>
        </w:rPr>
        <w:tab/>
      </w:r>
      <w:r>
        <w:rPr>
          <w:rFonts w:hint="eastAsia"/>
          <w:sz w:val="24"/>
          <w:szCs w:val="22"/>
        </w:rPr>
        <w:t>（</w:t>
      </w:r>
      <w:r>
        <w:rPr>
          <w:rFonts w:hint="eastAsia"/>
          <w:sz w:val="24"/>
          <w:szCs w:val="22"/>
        </w:rPr>
        <w:t>3</w:t>
      </w:r>
      <w:r>
        <w:rPr>
          <w:rFonts w:hint="eastAsia"/>
          <w:sz w:val="24"/>
          <w:szCs w:val="22"/>
        </w:rPr>
        <w:t>）</w:t>
      </w:r>
      <w:r w:rsidR="001606EC">
        <w:rPr>
          <w:rFonts w:hint="eastAsia"/>
          <w:sz w:val="24"/>
          <w:szCs w:val="22"/>
        </w:rPr>
        <w:t>采用主客观联合赋权</w:t>
      </w:r>
      <w:r>
        <w:rPr>
          <w:rFonts w:hint="eastAsia"/>
          <w:sz w:val="24"/>
          <w:szCs w:val="22"/>
        </w:rPr>
        <w:t>法对指标进行赋权；</w:t>
      </w:r>
    </w:p>
    <w:p w14:paraId="5143CAC7" w14:textId="6641C576" w:rsidR="005B5C19" w:rsidRDefault="005B5C19" w:rsidP="005B5C19">
      <w:pPr>
        <w:spacing w:line="400" w:lineRule="exact"/>
        <w:rPr>
          <w:sz w:val="24"/>
          <w:szCs w:val="22"/>
        </w:rPr>
      </w:pPr>
      <w:r>
        <w:rPr>
          <w:sz w:val="24"/>
          <w:szCs w:val="22"/>
        </w:rPr>
        <w:tab/>
      </w:r>
      <w:r>
        <w:rPr>
          <w:rFonts w:hint="eastAsia"/>
          <w:sz w:val="24"/>
          <w:szCs w:val="22"/>
        </w:rPr>
        <w:t>（</w:t>
      </w:r>
      <w:r>
        <w:rPr>
          <w:rFonts w:hint="eastAsia"/>
          <w:sz w:val="24"/>
          <w:szCs w:val="22"/>
        </w:rPr>
        <w:t>4</w:t>
      </w:r>
      <w:r>
        <w:rPr>
          <w:rFonts w:hint="eastAsia"/>
          <w:sz w:val="24"/>
          <w:szCs w:val="22"/>
        </w:rPr>
        <w:t>）</w:t>
      </w:r>
      <w:r w:rsidR="008818FD" w:rsidRPr="002A0DA5">
        <w:rPr>
          <w:rFonts w:hint="eastAsia"/>
          <w:sz w:val="24"/>
          <w:szCs w:val="22"/>
        </w:rPr>
        <w:t>通过五维雷达图具象</w:t>
      </w:r>
      <w:proofErr w:type="gramStart"/>
      <w:r w:rsidR="008818FD" w:rsidRPr="002A0DA5">
        <w:rPr>
          <w:rFonts w:hint="eastAsia"/>
          <w:sz w:val="24"/>
          <w:szCs w:val="22"/>
        </w:rPr>
        <w:t>化体现</w:t>
      </w:r>
      <w:proofErr w:type="gramEnd"/>
      <w:r w:rsidR="008818FD" w:rsidRPr="002A0DA5">
        <w:rPr>
          <w:rFonts w:hint="eastAsia"/>
          <w:sz w:val="24"/>
          <w:szCs w:val="22"/>
        </w:rPr>
        <w:t>虚拟电厂与传统电厂的调节特性差异</w:t>
      </w:r>
      <w:r>
        <w:rPr>
          <w:rFonts w:hint="eastAsia"/>
          <w:sz w:val="24"/>
          <w:szCs w:val="22"/>
        </w:rPr>
        <w:t>；</w:t>
      </w:r>
    </w:p>
    <w:p w14:paraId="0597F5F9" w14:textId="31442B64" w:rsidR="00FB7AEA" w:rsidRPr="002A0DA5" w:rsidRDefault="005B5C19" w:rsidP="005B5C19">
      <w:pPr>
        <w:spacing w:line="400" w:lineRule="exact"/>
        <w:rPr>
          <w:sz w:val="24"/>
          <w:szCs w:val="22"/>
        </w:rPr>
      </w:pPr>
      <w:r>
        <w:rPr>
          <w:sz w:val="24"/>
          <w:szCs w:val="22"/>
        </w:rPr>
        <w:tab/>
      </w:r>
      <w:r>
        <w:rPr>
          <w:rFonts w:hint="eastAsia"/>
          <w:sz w:val="24"/>
          <w:szCs w:val="22"/>
        </w:rPr>
        <w:t>（</w:t>
      </w:r>
      <w:r>
        <w:rPr>
          <w:rFonts w:hint="eastAsia"/>
          <w:sz w:val="24"/>
          <w:szCs w:val="22"/>
        </w:rPr>
        <w:t>5</w:t>
      </w:r>
      <w:r>
        <w:rPr>
          <w:rFonts w:hint="eastAsia"/>
          <w:sz w:val="24"/>
          <w:szCs w:val="22"/>
        </w:rPr>
        <w:t>）</w:t>
      </w:r>
      <w:r w:rsidR="002A0DA5" w:rsidRPr="002A0DA5">
        <w:rPr>
          <w:rFonts w:hint="eastAsia"/>
          <w:sz w:val="24"/>
          <w:szCs w:val="22"/>
        </w:rPr>
        <w:t>提出以最大化调节质量为目标的虚拟电厂分布式资源聚合优化模型</w:t>
      </w:r>
      <w:r w:rsidR="008818FD" w:rsidRPr="002A0DA5">
        <w:rPr>
          <w:rFonts w:hint="eastAsia"/>
          <w:sz w:val="24"/>
          <w:szCs w:val="22"/>
        </w:rPr>
        <w:t>。</w:t>
      </w:r>
    </w:p>
    <w:p w14:paraId="3280FB76" w14:textId="5A954B8D" w:rsidR="00852C95" w:rsidRDefault="005B5C19" w:rsidP="008818FD">
      <w:pPr>
        <w:spacing w:line="400" w:lineRule="exact"/>
        <w:rPr>
          <w:sz w:val="24"/>
          <w:szCs w:val="22"/>
        </w:rPr>
      </w:pPr>
      <w:r>
        <w:rPr>
          <w:sz w:val="24"/>
          <w:szCs w:val="22"/>
        </w:rPr>
        <w:tab/>
      </w:r>
      <w:r w:rsidR="00852C95">
        <w:rPr>
          <w:rFonts w:hint="eastAsia"/>
          <w:sz w:val="24"/>
          <w:szCs w:val="22"/>
        </w:rPr>
        <w:t>以往</w:t>
      </w:r>
      <w:r w:rsidR="00707EC1">
        <w:rPr>
          <w:rFonts w:hint="eastAsia"/>
          <w:sz w:val="24"/>
          <w:szCs w:val="22"/>
        </w:rPr>
        <w:t>对于虚拟电厂对外参与电网调度</w:t>
      </w:r>
      <w:r w:rsidR="00852C95">
        <w:rPr>
          <w:rFonts w:hint="eastAsia"/>
          <w:sz w:val="24"/>
          <w:szCs w:val="22"/>
        </w:rPr>
        <w:t>的研究中，鼓励虚拟电厂参与电力市场的激励机制设计</w:t>
      </w:r>
      <w:r w:rsidR="00387200">
        <w:rPr>
          <w:rFonts w:hint="eastAsia"/>
          <w:sz w:val="24"/>
          <w:szCs w:val="22"/>
        </w:rPr>
        <w:t>往往从外部激励入手</w:t>
      </w:r>
      <w:r w:rsidR="00852C95">
        <w:rPr>
          <w:rFonts w:hint="eastAsia"/>
          <w:sz w:val="24"/>
          <w:szCs w:val="22"/>
        </w:rPr>
        <w:t>，</w:t>
      </w:r>
      <w:r w:rsidR="00387200">
        <w:rPr>
          <w:rFonts w:hint="eastAsia"/>
          <w:sz w:val="24"/>
          <w:szCs w:val="22"/>
        </w:rPr>
        <w:t>上一部分的工作引入市场主体调节质量参数后，具有较高调节质量的虚拟电厂</w:t>
      </w:r>
      <w:r w:rsidR="00707EC1">
        <w:rPr>
          <w:rFonts w:hint="eastAsia"/>
          <w:sz w:val="24"/>
          <w:szCs w:val="22"/>
        </w:rPr>
        <w:t>类</w:t>
      </w:r>
      <w:r w:rsidR="00387200">
        <w:rPr>
          <w:rFonts w:hint="eastAsia"/>
          <w:sz w:val="24"/>
          <w:szCs w:val="22"/>
        </w:rPr>
        <w:t>主体参与市场时，若将市场主体的调节质量参数纳入出清模型，虚拟电厂</w:t>
      </w:r>
      <w:r w:rsidR="00707EC1">
        <w:rPr>
          <w:rFonts w:hint="eastAsia"/>
          <w:sz w:val="24"/>
          <w:szCs w:val="22"/>
        </w:rPr>
        <w:t>类</w:t>
      </w:r>
      <w:r w:rsidR="00387200">
        <w:rPr>
          <w:rFonts w:hint="eastAsia"/>
          <w:sz w:val="24"/>
          <w:szCs w:val="22"/>
        </w:rPr>
        <w:t>主体的出清交易量与收益水平将得到提高，符合其利益诉求，能够从内部激励其积极参与市场申报。基于内部激励的构想，</w:t>
      </w:r>
      <w:r w:rsidR="00707EC1">
        <w:rPr>
          <w:rFonts w:hint="eastAsia"/>
          <w:sz w:val="24"/>
          <w:szCs w:val="22"/>
        </w:rPr>
        <w:t>以电力系统调峰市场为例，</w:t>
      </w:r>
      <w:r w:rsidR="00387200">
        <w:rPr>
          <w:rFonts w:hint="eastAsia"/>
          <w:sz w:val="24"/>
          <w:szCs w:val="22"/>
        </w:rPr>
        <w:t>本文做了如下工作：</w:t>
      </w:r>
    </w:p>
    <w:p w14:paraId="1CBCCD5D" w14:textId="399370AD" w:rsidR="00FF23BB" w:rsidRDefault="00387200" w:rsidP="008818FD">
      <w:pPr>
        <w:spacing w:line="400" w:lineRule="exact"/>
        <w:rPr>
          <w:sz w:val="24"/>
          <w:szCs w:val="22"/>
        </w:rPr>
      </w:pPr>
      <w:r>
        <w:rPr>
          <w:sz w:val="24"/>
          <w:szCs w:val="22"/>
        </w:rPr>
        <w:tab/>
      </w:r>
      <w:r>
        <w:rPr>
          <w:rFonts w:hint="eastAsia"/>
          <w:sz w:val="24"/>
          <w:szCs w:val="22"/>
        </w:rPr>
        <w:t>（</w:t>
      </w:r>
      <w:r>
        <w:rPr>
          <w:rFonts w:hint="eastAsia"/>
          <w:sz w:val="24"/>
          <w:szCs w:val="22"/>
        </w:rPr>
        <w:t>1</w:t>
      </w:r>
      <w:r>
        <w:rPr>
          <w:rFonts w:hint="eastAsia"/>
          <w:sz w:val="24"/>
          <w:szCs w:val="22"/>
        </w:rPr>
        <w:t>）</w:t>
      </w:r>
      <w:r w:rsidR="00FF23BB">
        <w:rPr>
          <w:rFonts w:hint="eastAsia"/>
          <w:sz w:val="24"/>
          <w:szCs w:val="22"/>
        </w:rPr>
        <w:t>改进传统调峰市场出清模型，纳入市场主体调节质量参数；</w:t>
      </w:r>
    </w:p>
    <w:p w14:paraId="12AB4490" w14:textId="00DE766C" w:rsidR="00FF23BB" w:rsidRDefault="00FF23BB" w:rsidP="008818FD">
      <w:pPr>
        <w:spacing w:line="400" w:lineRule="exact"/>
        <w:rPr>
          <w:sz w:val="24"/>
          <w:szCs w:val="22"/>
        </w:rPr>
      </w:pPr>
      <w:r>
        <w:rPr>
          <w:sz w:val="24"/>
          <w:szCs w:val="22"/>
        </w:rPr>
        <w:tab/>
      </w:r>
      <w:r>
        <w:rPr>
          <w:rFonts w:hint="eastAsia"/>
          <w:sz w:val="24"/>
          <w:szCs w:val="22"/>
        </w:rPr>
        <w:t>（</w:t>
      </w:r>
      <w:r>
        <w:rPr>
          <w:rFonts w:hint="eastAsia"/>
          <w:sz w:val="24"/>
          <w:szCs w:val="22"/>
        </w:rPr>
        <w:t>2</w:t>
      </w:r>
      <w:r>
        <w:rPr>
          <w:rFonts w:hint="eastAsia"/>
          <w:sz w:val="24"/>
          <w:szCs w:val="22"/>
        </w:rPr>
        <w:t>）</w:t>
      </w:r>
      <w:r w:rsidR="00B43810">
        <w:rPr>
          <w:rFonts w:hint="eastAsia"/>
          <w:sz w:val="24"/>
          <w:szCs w:val="22"/>
        </w:rPr>
        <w:t>提出</w:t>
      </w:r>
      <w:r w:rsidR="00C53606">
        <w:rPr>
          <w:rFonts w:hint="eastAsia"/>
          <w:sz w:val="24"/>
          <w:szCs w:val="22"/>
        </w:rPr>
        <w:t>不同质量约束下出清结果的经济性</w:t>
      </w:r>
      <w:r w:rsidR="00B43810">
        <w:rPr>
          <w:rFonts w:hint="eastAsia"/>
          <w:sz w:val="24"/>
          <w:szCs w:val="22"/>
        </w:rPr>
        <w:t>、</w:t>
      </w:r>
      <w:r w:rsidR="00C53606">
        <w:rPr>
          <w:rFonts w:hint="eastAsia"/>
          <w:sz w:val="24"/>
          <w:szCs w:val="22"/>
        </w:rPr>
        <w:t>质量性</w:t>
      </w:r>
      <w:r w:rsidR="00B43810">
        <w:rPr>
          <w:rFonts w:hint="eastAsia"/>
          <w:sz w:val="24"/>
          <w:szCs w:val="22"/>
        </w:rPr>
        <w:t>量化</w:t>
      </w:r>
      <w:r>
        <w:rPr>
          <w:rFonts w:hint="eastAsia"/>
          <w:sz w:val="24"/>
          <w:szCs w:val="22"/>
        </w:rPr>
        <w:t>指标</w:t>
      </w:r>
      <w:r w:rsidR="00C53606">
        <w:rPr>
          <w:rFonts w:hint="eastAsia"/>
          <w:sz w:val="24"/>
          <w:szCs w:val="22"/>
        </w:rPr>
        <w:t>；</w:t>
      </w:r>
    </w:p>
    <w:p w14:paraId="0772580F" w14:textId="409956CC" w:rsidR="00C53606" w:rsidRDefault="00C53606" w:rsidP="008818FD">
      <w:pPr>
        <w:spacing w:line="400" w:lineRule="exact"/>
        <w:rPr>
          <w:sz w:val="24"/>
          <w:szCs w:val="22"/>
        </w:rPr>
      </w:pPr>
      <w:r>
        <w:rPr>
          <w:sz w:val="24"/>
          <w:szCs w:val="22"/>
        </w:rPr>
        <w:tab/>
      </w:r>
      <w:r>
        <w:rPr>
          <w:rFonts w:hint="eastAsia"/>
          <w:sz w:val="24"/>
          <w:szCs w:val="22"/>
        </w:rPr>
        <w:t>（</w:t>
      </w:r>
      <w:r>
        <w:rPr>
          <w:rFonts w:hint="eastAsia"/>
          <w:sz w:val="24"/>
          <w:szCs w:val="22"/>
        </w:rPr>
        <w:t>3</w:t>
      </w:r>
      <w:r>
        <w:rPr>
          <w:rFonts w:hint="eastAsia"/>
          <w:sz w:val="24"/>
          <w:szCs w:val="22"/>
        </w:rPr>
        <w:t>）依据</w:t>
      </w:r>
      <w:r w:rsidR="00DF10ED">
        <w:rPr>
          <w:rFonts w:hint="eastAsia"/>
          <w:sz w:val="24"/>
          <w:szCs w:val="22"/>
        </w:rPr>
        <w:t>出清结果</w:t>
      </w:r>
      <w:r w:rsidR="00B43810">
        <w:rPr>
          <w:rFonts w:hint="eastAsia"/>
          <w:sz w:val="24"/>
          <w:szCs w:val="22"/>
        </w:rPr>
        <w:t>量化</w:t>
      </w:r>
      <w:r>
        <w:rPr>
          <w:rFonts w:hint="eastAsia"/>
          <w:sz w:val="24"/>
          <w:szCs w:val="22"/>
        </w:rPr>
        <w:t>指标提出决策点</w:t>
      </w:r>
      <w:r w:rsidR="00DF10ED">
        <w:rPr>
          <w:rFonts w:hint="eastAsia"/>
          <w:sz w:val="24"/>
          <w:szCs w:val="22"/>
        </w:rPr>
        <w:t>的</w:t>
      </w:r>
      <w:r>
        <w:rPr>
          <w:rFonts w:hint="eastAsia"/>
          <w:sz w:val="24"/>
          <w:szCs w:val="22"/>
        </w:rPr>
        <w:t>选取依据；</w:t>
      </w:r>
    </w:p>
    <w:p w14:paraId="42036400" w14:textId="6F24F301" w:rsidR="00C53606" w:rsidRDefault="00C53606" w:rsidP="008818FD">
      <w:pPr>
        <w:spacing w:line="400" w:lineRule="exact"/>
        <w:rPr>
          <w:sz w:val="24"/>
          <w:szCs w:val="22"/>
        </w:rPr>
      </w:pPr>
      <w:r>
        <w:rPr>
          <w:sz w:val="24"/>
          <w:szCs w:val="22"/>
        </w:rPr>
        <w:tab/>
      </w:r>
      <w:r>
        <w:rPr>
          <w:rFonts w:hint="eastAsia"/>
          <w:sz w:val="24"/>
          <w:szCs w:val="22"/>
        </w:rPr>
        <w:t>（</w:t>
      </w:r>
      <w:r>
        <w:rPr>
          <w:rFonts w:hint="eastAsia"/>
          <w:sz w:val="24"/>
          <w:szCs w:val="22"/>
        </w:rPr>
        <w:t>4</w:t>
      </w:r>
      <w:r>
        <w:rPr>
          <w:rFonts w:hint="eastAsia"/>
          <w:sz w:val="24"/>
          <w:szCs w:val="22"/>
        </w:rPr>
        <w:t>）从</w:t>
      </w:r>
      <w:r w:rsidR="006E2ED6">
        <w:rPr>
          <w:rFonts w:hint="eastAsia"/>
          <w:sz w:val="24"/>
          <w:szCs w:val="22"/>
        </w:rPr>
        <w:t>VCG</w:t>
      </w:r>
      <w:r w:rsidR="006E2ED6">
        <w:rPr>
          <w:rFonts w:hint="eastAsia"/>
          <w:sz w:val="24"/>
          <w:szCs w:val="22"/>
        </w:rPr>
        <w:t>机制</w:t>
      </w:r>
      <w:r>
        <w:rPr>
          <w:rFonts w:hint="eastAsia"/>
          <w:sz w:val="24"/>
          <w:szCs w:val="22"/>
        </w:rPr>
        <w:t>入手量化参与质量申报后的机组竞争力变化；</w:t>
      </w:r>
    </w:p>
    <w:p w14:paraId="224B74B4" w14:textId="214F964A" w:rsidR="00852C95" w:rsidRDefault="00C53606" w:rsidP="008818FD">
      <w:pPr>
        <w:spacing w:line="400" w:lineRule="exact"/>
        <w:rPr>
          <w:rFonts w:hint="eastAsia"/>
          <w:sz w:val="24"/>
          <w:szCs w:val="22"/>
        </w:rPr>
      </w:pPr>
      <w:r>
        <w:rPr>
          <w:sz w:val="24"/>
          <w:szCs w:val="22"/>
        </w:rPr>
        <w:tab/>
      </w:r>
      <w:r>
        <w:rPr>
          <w:rFonts w:hint="eastAsia"/>
          <w:sz w:val="24"/>
          <w:szCs w:val="22"/>
        </w:rPr>
        <w:t>（</w:t>
      </w:r>
      <w:r>
        <w:rPr>
          <w:rFonts w:hint="eastAsia"/>
          <w:sz w:val="24"/>
          <w:szCs w:val="22"/>
        </w:rPr>
        <w:t>5</w:t>
      </w:r>
      <w:r>
        <w:rPr>
          <w:rFonts w:hint="eastAsia"/>
          <w:sz w:val="24"/>
          <w:szCs w:val="22"/>
        </w:rPr>
        <w:t>）设计能够</w:t>
      </w:r>
      <w:r w:rsidR="000D088B">
        <w:rPr>
          <w:rFonts w:hint="eastAsia"/>
          <w:sz w:val="24"/>
          <w:szCs w:val="22"/>
        </w:rPr>
        <w:t>适当平衡收益并激励</w:t>
      </w:r>
      <w:r>
        <w:rPr>
          <w:rFonts w:hint="eastAsia"/>
          <w:sz w:val="24"/>
          <w:szCs w:val="22"/>
        </w:rPr>
        <w:t>各主体参与质量申报的补偿机制。</w:t>
      </w:r>
    </w:p>
    <w:p w14:paraId="6F02D985" w14:textId="208E37CE" w:rsidR="002A0DA5" w:rsidRPr="008F1B71" w:rsidRDefault="000D088B" w:rsidP="008818FD">
      <w:pPr>
        <w:spacing w:line="400" w:lineRule="exact"/>
        <w:rPr>
          <w:rFonts w:hint="eastAsia"/>
          <w:sz w:val="24"/>
          <w:szCs w:val="22"/>
        </w:rPr>
      </w:pPr>
      <w:r>
        <w:rPr>
          <w:sz w:val="24"/>
          <w:szCs w:val="22"/>
        </w:rPr>
        <w:tab/>
      </w:r>
      <w:r w:rsidR="00707EC1">
        <w:rPr>
          <w:rFonts w:hint="eastAsia"/>
          <w:sz w:val="24"/>
          <w:szCs w:val="22"/>
        </w:rPr>
        <w:t>以往对于多虚拟电厂或虚拟电厂集群对外参与电网调度的研究中，关于……</w:t>
      </w:r>
    </w:p>
    <w:p w14:paraId="31C40D8D" w14:textId="77777777" w:rsidR="00FB7AEA" w:rsidRPr="008F1B71" w:rsidRDefault="00FB7AEA" w:rsidP="001E408D">
      <w:pPr>
        <w:pStyle w:val="2"/>
      </w:pPr>
      <w:bookmarkStart w:id="12" w:name="_Toc165886523"/>
      <w:bookmarkEnd w:id="11"/>
      <w:r w:rsidRPr="008F1B71">
        <w:rPr>
          <w:rFonts w:hint="eastAsia"/>
        </w:rPr>
        <w:lastRenderedPageBreak/>
        <w:t>1.4 本文组织结构</w:t>
      </w:r>
      <w:bookmarkEnd w:id="12"/>
    </w:p>
    <w:p w14:paraId="0E2D1F5B" w14:textId="77777777" w:rsidR="00F72290" w:rsidRPr="008F1B71" w:rsidRDefault="00F72290" w:rsidP="008818FD">
      <w:pPr>
        <w:spacing w:line="400" w:lineRule="exact"/>
        <w:rPr>
          <w:sz w:val="24"/>
          <w:szCs w:val="22"/>
        </w:rPr>
      </w:pPr>
      <w:r w:rsidRPr="008F1B71">
        <w:rPr>
          <w:sz w:val="24"/>
          <w:szCs w:val="22"/>
        </w:rPr>
        <w:tab/>
      </w:r>
    </w:p>
    <w:p w14:paraId="4992AE1D" w14:textId="3CA704CB" w:rsidR="009560D3" w:rsidRPr="008F1B71" w:rsidRDefault="009560D3" w:rsidP="008818FD">
      <w:pPr>
        <w:spacing w:line="400" w:lineRule="exact"/>
        <w:rPr>
          <w:sz w:val="24"/>
          <w:szCs w:val="22"/>
        </w:rPr>
      </w:pPr>
    </w:p>
    <w:p w14:paraId="0E0F54FD" w14:textId="4D5A44C0" w:rsidR="00F72290" w:rsidRPr="008F1B71" w:rsidRDefault="00F26B7B" w:rsidP="008818FD">
      <w:pPr>
        <w:spacing w:line="400" w:lineRule="exact"/>
        <w:rPr>
          <w:sz w:val="24"/>
          <w:szCs w:val="22"/>
        </w:rPr>
      </w:pPr>
      <w:r w:rsidRPr="008F1B71">
        <w:rPr>
          <w:sz w:val="24"/>
          <w:szCs w:val="22"/>
        </w:rPr>
        <w:fldChar w:fldCharType="begin"/>
      </w:r>
      <w:r w:rsidRPr="008F1B71">
        <w:rPr>
          <w:sz w:val="24"/>
          <w:szCs w:val="22"/>
        </w:rPr>
        <w:instrText xml:space="preserve"> ADDIN EN.REFLIST </w:instrText>
      </w:r>
      <w:r w:rsidR="00000000">
        <w:rPr>
          <w:sz w:val="24"/>
          <w:szCs w:val="22"/>
        </w:rPr>
        <w:fldChar w:fldCharType="separate"/>
      </w:r>
      <w:r w:rsidRPr="008F1B71">
        <w:rPr>
          <w:sz w:val="24"/>
          <w:szCs w:val="22"/>
        </w:rPr>
        <w:fldChar w:fldCharType="end"/>
      </w:r>
    </w:p>
    <w:sectPr w:rsidR="00F72290" w:rsidRPr="008F1B71" w:rsidSect="009E2684">
      <w:endnotePr>
        <w:numFmt w:val="decimal"/>
      </w:endnotePr>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6EEF64" w14:textId="77777777" w:rsidR="009E2684" w:rsidRDefault="009E2684" w:rsidP="00FB7AEA">
      <w:r>
        <w:separator/>
      </w:r>
    </w:p>
  </w:endnote>
  <w:endnote w:type="continuationSeparator" w:id="0">
    <w:p w14:paraId="7871C668" w14:textId="77777777" w:rsidR="009E2684" w:rsidRDefault="009E2684" w:rsidP="00FB7A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662843" w14:textId="77777777" w:rsidR="009E2684" w:rsidRDefault="009E2684" w:rsidP="00FB7AEA">
      <w:r>
        <w:separator/>
      </w:r>
    </w:p>
  </w:footnote>
  <w:footnote w:type="continuationSeparator" w:id="0">
    <w:p w14:paraId="4E5BADFC" w14:textId="77777777" w:rsidR="009E2684" w:rsidRDefault="009E2684" w:rsidP="00FB7A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5073EC3"/>
    <w:multiLevelType w:val="hybridMultilevel"/>
    <w:tmpl w:val="289EBA46"/>
    <w:lvl w:ilvl="0" w:tplc="FFFFFFFF">
      <w:start w:val="1"/>
      <w:numFmt w:val="decimal"/>
      <w:lvlText w:val="（%1）"/>
      <w:lvlJc w:val="left"/>
      <w:pPr>
        <w:ind w:left="1197" w:hanging="720"/>
      </w:pPr>
      <w:rPr>
        <w:rFonts w:hint="default"/>
      </w:rPr>
    </w:lvl>
    <w:lvl w:ilvl="1" w:tplc="FFFFFFFF" w:tentative="1">
      <w:start w:val="1"/>
      <w:numFmt w:val="lowerLetter"/>
      <w:lvlText w:val="%2)"/>
      <w:lvlJc w:val="left"/>
      <w:pPr>
        <w:ind w:left="1357" w:hanging="440"/>
      </w:pPr>
    </w:lvl>
    <w:lvl w:ilvl="2" w:tplc="FFFFFFFF" w:tentative="1">
      <w:start w:val="1"/>
      <w:numFmt w:val="lowerRoman"/>
      <w:lvlText w:val="%3."/>
      <w:lvlJc w:val="right"/>
      <w:pPr>
        <w:ind w:left="1797" w:hanging="440"/>
      </w:pPr>
    </w:lvl>
    <w:lvl w:ilvl="3" w:tplc="FFFFFFFF" w:tentative="1">
      <w:start w:val="1"/>
      <w:numFmt w:val="decimal"/>
      <w:lvlText w:val="%4."/>
      <w:lvlJc w:val="left"/>
      <w:pPr>
        <w:ind w:left="2237" w:hanging="440"/>
      </w:pPr>
    </w:lvl>
    <w:lvl w:ilvl="4" w:tplc="FFFFFFFF" w:tentative="1">
      <w:start w:val="1"/>
      <w:numFmt w:val="lowerLetter"/>
      <w:lvlText w:val="%5)"/>
      <w:lvlJc w:val="left"/>
      <w:pPr>
        <w:ind w:left="2677" w:hanging="440"/>
      </w:pPr>
    </w:lvl>
    <w:lvl w:ilvl="5" w:tplc="FFFFFFFF" w:tentative="1">
      <w:start w:val="1"/>
      <w:numFmt w:val="lowerRoman"/>
      <w:lvlText w:val="%6."/>
      <w:lvlJc w:val="right"/>
      <w:pPr>
        <w:ind w:left="3117" w:hanging="440"/>
      </w:pPr>
    </w:lvl>
    <w:lvl w:ilvl="6" w:tplc="FFFFFFFF" w:tentative="1">
      <w:start w:val="1"/>
      <w:numFmt w:val="decimal"/>
      <w:lvlText w:val="%7."/>
      <w:lvlJc w:val="left"/>
      <w:pPr>
        <w:ind w:left="3557" w:hanging="440"/>
      </w:pPr>
    </w:lvl>
    <w:lvl w:ilvl="7" w:tplc="FFFFFFFF" w:tentative="1">
      <w:start w:val="1"/>
      <w:numFmt w:val="lowerLetter"/>
      <w:lvlText w:val="%8)"/>
      <w:lvlJc w:val="left"/>
      <w:pPr>
        <w:ind w:left="3997" w:hanging="440"/>
      </w:pPr>
    </w:lvl>
    <w:lvl w:ilvl="8" w:tplc="FFFFFFFF" w:tentative="1">
      <w:start w:val="1"/>
      <w:numFmt w:val="lowerRoman"/>
      <w:lvlText w:val="%9."/>
      <w:lvlJc w:val="right"/>
      <w:pPr>
        <w:ind w:left="4437" w:hanging="440"/>
      </w:pPr>
    </w:lvl>
  </w:abstractNum>
  <w:abstractNum w:abstractNumId="1" w15:restartNumberingAfterBreak="0">
    <w:nsid w:val="60A86A54"/>
    <w:multiLevelType w:val="multilevel"/>
    <w:tmpl w:val="A9E4FCAC"/>
    <w:lvl w:ilvl="0">
      <w:start w:val="1"/>
      <w:numFmt w:val="decimal"/>
      <w:lvlText w:val="%1."/>
      <w:lvlJc w:val="left"/>
      <w:pPr>
        <w:tabs>
          <w:tab w:val="num" w:pos="420"/>
        </w:tabs>
        <w:ind w:left="420" w:hanging="420"/>
      </w:pPr>
    </w:lvl>
    <w:lvl w:ilvl="1">
      <w:start w:val="2"/>
      <w:numFmt w:val="decimal"/>
      <w:isLgl/>
      <w:lvlText w:val="%1.%2"/>
      <w:lvlJc w:val="left"/>
      <w:pPr>
        <w:tabs>
          <w:tab w:val="num" w:pos="525"/>
        </w:tabs>
        <w:ind w:left="525" w:hanging="525"/>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080"/>
        </w:tabs>
        <w:ind w:left="1080" w:hanging="108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ind w:left="1440" w:hanging="1440"/>
      </w:pPr>
      <w:rPr>
        <w:rFonts w:hint="default"/>
      </w:rPr>
    </w:lvl>
  </w:abstractNum>
  <w:abstractNum w:abstractNumId="2" w15:restartNumberingAfterBreak="0">
    <w:nsid w:val="7F967477"/>
    <w:multiLevelType w:val="hybridMultilevel"/>
    <w:tmpl w:val="CC767990"/>
    <w:lvl w:ilvl="0" w:tplc="302C4D6C">
      <w:start w:val="1"/>
      <w:numFmt w:val="decimal"/>
      <w:lvlText w:val="（%1）"/>
      <w:lvlJc w:val="left"/>
      <w:pPr>
        <w:ind w:left="1197" w:hanging="720"/>
      </w:pPr>
      <w:rPr>
        <w:rFonts w:hint="default"/>
      </w:rPr>
    </w:lvl>
    <w:lvl w:ilvl="1" w:tplc="04090019" w:tentative="1">
      <w:start w:val="1"/>
      <w:numFmt w:val="lowerLetter"/>
      <w:lvlText w:val="%2)"/>
      <w:lvlJc w:val="left"/>
      <w:pPr>
        <w:ind w:left="1357" w:hanging="440"/>
      </w:pPr>
    </w:lvl>
    <w:lvl w:ilvl="2" w:tplc="0409001B" w:tentative="1">
      <w:start w:val="1"/>
      <w:numFmt w:val="lowerRoman"/>
      <w:lvlText w:val="%3."/>
      <w:lvlJc w:val="right"/>
      <w:pPr>
        <w:ind w:left="1797" w:hanging="440"/>
      </w:pPr>
    </w:lvl>
    <w:lvl w:ilvl="3" w:tplc="0409000F" w:tentative="1">
      <w:start w:val="1"/>
      <w:numFmt w:val="decimal"/>
      <w:lvlText w:val="%4."/>
      <w:lvlJc w:val="left"/>
      <w:pPr>
        <w:ind w:left="2237" w:hanging="440"/>
      </w:pPr>
    </w:lvl>
    <w:lvl w:ilvl="4" w:tplc="04090019" w:tentative="1">
      <w:start w:val="1"/>
      <w:numFmt w:val="lowerLetter"/>
      <w:lvlText w:val="%5)"/>
      <w:lvlJc w:val="left"/>
      <w:pPr>
        <w:ind w:left="2677" w:hanging="440"/>
      </w:pPr>
    </w:lvl>
    <w:lvl w:ilvl="5" w:tplc="0409001B" w:tentative="1">
      <w:start w:val="1"/>
      <w:numFmt w:val="lowerRoman"/>
      <w:lvlText w:val="%6."/>
      <w:lvlJc w:val="right"/>
      <w:pPr>
        <w:ind w:left="3117" w:hanging="440"/>
      </w:pPr>
    </w:lvl>
    <w:lvl w:ilvl="6" w:tplc="0409000F" w:tentative="1">
      <w:start w:val="1"/>
      <w:numFmt w:val="decimal"/>
      <w:lvlText w:val="%7."/>
      <w:lvlJc w:val="left"/>
      <w:pPr>
        <w:ind w:left="3557" w:hanging="440"/>
      </w:pPr>
    </w:lvl>
    <w:lvl w:ilvl="7" w:tplc="04090019" w:tentative="1">
      <w:start w:val="1"/>
      <w:numFmt w:val="lowerLetter"/>
      <w:lvlText w:val="%8)"/>
      <w:lvlJc w:val="left"/>
      <w:pPr>
        <w:ind w:left="3997" w:hanging="440"/>
      </w:pPr>
    </w:lvl>
    <w:lvl w:ilvl="8" w:tplc="0409001B" w:tentative="1">
      <w:start w:val="1"/>
      <w:numFmt w:val="lowerRoman"/>
      <w:lvlText w:val="%9."/>
      <w:lvlJc w:val="right"/>
      <w:pPr>
        <w:ind w:left="4437" w:hanging="440"/>
      </w:pPr>
    </w:lvl>
  </w:abstractNum>
  <w:num w:numId="1" w16cid:durableId="1582715076">
    <w:abstractNumId w:val="1"/>
  </w:num>
  <w:num w:numId="2" w16cid:durableId="40714477">
    <w:abstractNumId w:val="2"/>
  </w:num>
  <w:num w:numId="3" w16cid:durableId="20427829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bordersDoNotSurroundHeader/>
  <w:bordersDoNotSurroundFooter/>
  <w:proofState w:spelling="clean" w:grammar="clean"/>
  <w:defaultTabStop w:val="477"/>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nnotated&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e29e0swc5xa9wep00u52a2w5tvtx0v9zp0x&quot;&gt;My EndNote Library&lt;record-ids&gt;&lt;item&gt;57&lt;/item&gt;&lt;/record-ids&gt;&lt;/item&gt;&lt;/Libraries&gt;"/>
  </w:docVars>
  <w:rsids>
    <w:rsidRoot w:val="00FB7AEA"/>
    <w:rsid w:val="000D088B"/>
    <w:rsid w:val="00133DBA"/>
    <w:rsid w:val="001606EC"/>
    <w:rsid w:val="00177448"/>
    <w:rsid w:val="001D1D2B"/>
    <w:rsid w:val="001E408D"/>
    <w:rsid w:val="00244735"/>
    <w:rsid w:val="0027690D"/>
    <w:rsid w:val="002A0DA5"/>
    <w:rsid w:val="002D0215"/>
    <w:rsid w:val="003278F4"/>
    <w:rsid w:val="00367C6D"/>
    <w:rsid w:val="00387200"/>
    <w:rsid w:val="0045404D"/>
    <w:rsid w:val="00454EB1"/>
    <w:rsid w:val="00482AEF"/>
    <w:rsid w:val="004D4480"/>
    <w:rsid w:val="005130B5"/>
    <w:rsid w:val="005B5C19"/>
    <w:rsid w:val="006302EF"/>
    <w:rsid w:val="006E2ED6"/>
    <w:rsid w:val="0070685D"/>
    <w:rsid w:val="00707EC1"/>
    <w:rsid w:val="0079668F"/>
    <w:rsid w:val="007A186D"/>
    <w:rsid w:val="0080409B"/>
    <w:rsid w:val="00852C95"/>
    <w:rsid w:val="008818FD"/>
    <w:rsid w:val="008F1B71"/>
    <w:rsid w:val="009560D3"/>
    <w:rsid w:val="009922FD"/>
    <w:rsid w:val="009E2684"/>
    <w:rsid w:val="00A71FCE"/>
    <w:rsid w:val="00AE6D90"/>
    <w:rsid w:val="00B26C30"/>
    <w:rsid w:val="00B4350D"/>
    <w:rsid w:val="00B43810"/>
    <w:rsid w:val="00B50169"/>
    <w:rsid w:val="00B540F8"/>
    <w:rsid w:val="00BC5EB9"/>
    <w:rsid w:val="00C53606"/>
    <w:rsid w:val="00CB094C"/>
    <w:rsid w:val="00D20EF9"/>
    <w:rsid w:val="00DB3A8F"/>
    <w:rsid w:val="00DF10ED"/>
    <w:rsid w:val="00F05548"/>
    <w:rsid w:val="00F15FA2"/>
    <w:rsid w:val="00F26B7B"/>
    <w:rsid w:val="00F41882"/>
    <w:rsid w:val="00F72290"/>
    <w:rsid w:val="00FB7AEA"/>
    <w:rsid w:val="00FF23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4EA2EC1"/>
  <w15:chartTrackingRefBased/>
  <w15:docId w15:val="{5938CC9B-1F66-4095-85A4-9EBE0450B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B7AEA"/>
    <w:rPr>
      <w:rFonts w:ascii="Times New Roman" w:eastAsia="宋体" w:hAnsi="Times New Roman" w:cs="Times New Roman"/>
      <w:szCs w:val="20"/>
      <w14:ligatures w14:val="none"/>
    </w:rPr>
  </w:style>
  <w:style w:type="paragraph" w:styleId="1">
    <w:name w:val="heading 1"/>
    <w:basedOn w:val="a"/>
    <w:next w:val="a"/>
    <w:link w:val="10"/>
    <w:qFormat/>
    <w:rsid w:val="00FB7AEA"/>
    <w:pPr>
      <w:keepNext/>
      <w:keepLines/>
      <w:spacing w:before="480" w:after="360"/>
      <w:jc w:val="center"/>
      <w:outlineLvl w:val="0"/>
    </w:pPr>
    <w:rPr>
      <w:rFonts w:ascii="黑体" w:eastAsia="黑体" w:hAnsi="黑体"/>
      <w:b/>
      <w:bCs/>
      <w:kern w:val="44"/>
      <w:sz w:val="32"/>
      <w:szCs w:val="32"/>
    </w:rPr>
  </w:style>
  <w:style w:type="paragraph" w:styleId="2">
    <w:name w:val="heading 2"/>
    <w:basedOn w:val="a"/>
    <w:next w:val="a"/>
    <w:link w:val="20"/>
    <w:qFormat/>
    <w:rsid w:val="00FB7AEA"/>
    <w:pPr>
      <w:keepNext/>
      <w:keepLines/>
      <w:spacing w:before="480" w:after="120"/>
      <w:outlineLvl w:val="1"/>
    </w:pPr>
    <w:rPr>
      <w:rFonts w:ascii="黑体" w:eastAsia="黑体" w:hAnsi="黑体"/>
      <w:b/>
      <w:bCs/>
      <w:sz w:val="28"/>
      <w:szCs w:val="28"/>
    </w:rPr>
  </w:style>
  <w:style w:type="paragraph" w:styleId="3">
    <w:name w:val="heading 3"/>
    <w:basedOn w:val="a"/>
    <w:next w:val="a"/>
    <w:link w:val="30"/>
    <w:qFormat/>
    <w:rsid w:val="00FB7AEA"/>
    <w:pPr>
      <w:keepNext/>
      <w:keepLines/>
      <w:spacing w:before="260" w:after="260" w:line="416" w:lineRule="auto"/>
      <w:outlineLvl w:val="2"/>
    </w:pPr>
    <w:rPr>
      <w:rFonts w:ascii="黑体" w:eastAsia="黑体" w:hAnsi="黑体"/>
      <w:b/>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FB7AEA"/>
    <w:rPr>
      <w:rFonts w:ascii="黑体" w:eastAsia="黑体" w:hAnsi="黑体" w:cs="Times New Roman"/>
      <w:b/>
      <w:bCs/>
      <w:kern w:val="44"/>
      <w:sz w:val="32"/>
      <w:szCs w:val="32"/>
      <w14:ligatures w14:val="none"/>
    </w:rPr>
  </w:style>
  <w:style w:type="character" w:customStyle="1" w:styleId="20">
    <w:name w:val="标题 2 字符"/>
    <w:basedOn w:val="a0"/>
    <w:link w:val="2"/>
    <w:rsid w:val="00FB7AEA"/>
    <w:rPr>
      <w:rFonts w:ascii="黑体" w:eastAsia="黑体" w:hAnsi="黑体" w:cs="Times New Roman"/>
      <w:b/>
      <w:bCs/>
      <w:sz w:val="28"/>
      <w:szCs w:val="28"/>
      <w14:ligatures w14:val="none"/>
    </w:rPr>
  </w:style>
  <w:style w:type="character" w:customStyle="1" w:styleId="30">
    <w:name w:val="标题 3 字符"/>
    <w:basedOn w:val="a0"/>
    <w:link w:val="3"/>
    <w:rsid w:val="00FB7AEA"/>
    <w:rPr>
      <w:rFonts w:ascii="黑体" w:eastAsia="黑体" w:hAnsi="黑体" w:cs="Times New Roman"/>
      <w:b/>
      <w:sz w:val="24"/>
      <w:szCs w:val="24"/>
      <w14:ligatures w14:val="none"/>
    </w:rPr>
  </w:style>
  <w:style w:type="paragraph" w:styleId="a3">
    <w:name w:val="header"/>
    <w:basedOn w:val="a"/>
    <w:link w:val="a4"/>
    <w:unhideWhenUsed/>
    <w:rsid w:val="00FB7AEA"/>
    <w:pPr>
      <w:tabs>
        <w:tab w:val="center" w:pos="4153"/>
        <w:tab w:val="right" w:pos="8306"/>
      </w:tabs>
      <w:snapToGrid w:val="0"/>
      <w:jc w:val="center"/>
    </w:pPr>
    <w:rPr>
      <w:sz w:val="18"/>
      <w:szCs w:val="18"/>
    </w:rPr>
  </w:style>
  <w:style w:type="character" w:customStyle="1" w:styleId="a4">
    <w:name w:val="页眉 字符"/>
    <w:basedOn w:val="a0"/>
    <w:link w:val="a3"/>
    <w:rsid w:val="00FB7AEA"/>
    <w:rPr>
      <w:rFonts w:ascii="Times New Roman" w:eastAsia="宋体" w:hAnsi="Times New Roman" w:cs="Times New Roman"/>
      <w:sz w:val="18"/>
      <w:szCs w:val="18"/>
      <w14:ligatures w14:val="none"/>
    </w:rPr>
  </w:style>
  <w:style w:type="paragraph" w:styleId="a5">
    <w:name w:val="footer"/>
    <w:basedOn w:val="a"/>
    <w:link w:val="a6"/>
    <w:uiPriority w:val="99"/>
    <w:unhideWhenUsed/>
    <w:rsid w:val="00FB7AEA"/>
    <w:pPr>
      <w:tabs>
        <w:tab w:val="center" w:pos="4153"/>
        <w:tab w:val="right" w:pos="8306"/>
      </w:tabs>
      <w:snapToGrid w:val="0"/>
    </w:pPr>
    <w:rPr>
      <w:sz w:val="18"/>
      <w:szCs w:val="18"/>
    </w:rPr>
  </w:style>
  <w:style w:type="character" w:customStyle="1" w:styleId="a6">
    <w:name w:val="页脚 字符"/>
    <w:basedOn w:val="a0"/>
    <w:link w:val="a5"/>
    <w:uiPriority w:val="99"/>
    <w:rsid w:val="00FB7AEA"/>
    <w:rPr>
      <w:rFonts w:ascii="Times New Roman" w:eastAsia="宋体" w:hAnsi="Times New Roman" w:cs="Times New Roman"/>
      <w:sz w:val="18"/>
      <w:szCs w:val="18"/>
      <w14:ligatures w14:val="none"/>
    </w:rPr>
  </w:style>
  <w:style w:type="paragraph" w:styleId="a7">
    <w:name w:val="Body Text"/>
    <w:basedOn w:val="a"/>
    <w:link w:val="a8"/>
    <w:rsid w:val="00FB7AEA"/>
    <w:pPr>
      <w:jc w:val="center"/>
    </w:pPr>
    <w:rPr>
      <w:b/>
      <w:sz w:val="28"/>
    </w:rPr>
  </w:style>
  <w:style w:type="character" w:customStyle="1" w:styleId="a8">
    <w:name w:val="正文文本 字符"/>
    <w:basedOn w:val="a0"/>
    <w:link w:val="a7"/>
    <w:rsid w:val="00FB7AEA"/>
    <w:rPr>
      <w:rFonts w:ascii="Times New Roman" w:eastAsia="宋体" w:hAnsi="Times New Roman" w:cs="Times New Roman"/>
      <w:b/>
      <w:sz w:val="28"/>
      <w:szCs w:val="20"/>
      <w14:ligatures w14:val="none"/>
    </w:rPr>
  </w:style>
  <w:style w:type="paragraph" w:styleId="a9">
    <w:name w:val="Date"/>
    <w:basedOn w:val="a"/>
    <w:next w:val="a"/>
    <w:link w:val="aa"/>
    <w:rsid w:val="00FB7AEA"/>
    <w:rPr>
      <w:b/>
      <w:sz w:val="28"/>
    </w:rPr>
  </w:style>
  <w:style w:type="character" w:customStyle="1" w:styleId="aa">
    <w:name w:val="日期 字符"/>
    <w:basedOn w:val="a0"/>
    <w:link w:val="a9"/>
    <w:rsid w:val="00FB7AEA"/>
    <w:rPr>
      <w:rFonts w:ascii="Times New Roman" w:eastAsia="宋体" w:hAnsi="Times New Roman" w:cs="Times New Roman"/>
      <w:b/>
      <w:sz w:val="28"/>
      <w:szCs w:val="20"/>
      <w14:ligatures w14:val="none"/>
    </w:rPr>
  </w:style>
  <w:style w:type="character" w:styleId="ab">
    <w:name w:val="annotation reference"/>
    <w:basedOn w:val="a0"/>
    <w:semiHidden/>
    <w:rsid w:val="00FB7AEA"/>
    <w:rPr>
      <w:sz w:val="21"/>
      <w:szCs w:val="21"/>
    </w:rPr>
  </w:style>
  <w:style w:type="paragraph" w:styleId="ac">
    <w:name w:val="annotation text"/>
    <w:basedOn w:val="a"/>
    <w:link w:val="ad"/>
    <w:semiHidden/>
    <w:rsid w:val="00FB7AEA"/>
  </w:style>
  <w:style w:type="character" w:customStyle="1" w:styleId="ad">
    <w:name w:val="批注文字 字符"/>
    <w:basedOn w:val="a0"/>
    <w:link w:val="ac"/>
    <w:semiHidden/>
    <w:rsid w:val="00FB7AEA"/>
    <w:rPr>
      <w:rFonts w:ascii="Times New Roman" w:eastAsia="宋体" w:hAnsi="Times New Roman" w:cs="Times New Roman"/>
      <w:szCs w:val="20"/>
      <w14:ligatures w14:val="none"/>
    </w:rPr>
  </w:style>
  <w:style w:type="paragraph" w:styleId="ae">
    <w:name w:val="annotation subject"/>
    <w:basedOn w:val="ac"/>
    <w:next w:val="ac"/>
    <w:link w:val="af"/>
    <w:semiHidden/>
    <w:rsid w:val="00FB7AEA"/>
    <w:rPr>
      <w:b/>
      <w:bCs/>
    </w:rPr>
  </w:style>
  <w:style w:type="character" w:customStyle="1" w:styleId="af">
    <w:name w:val="批注主题 字符"/>
    <w:basedOn w:val="ad"/>
    <w:link w:val="ae"/>
    <w:semiHidden/>
    <w:rsid w:val="00FB7AEA"/>
    <w:rPr>
      <w:rFonts w:ascii="Times New Roman" w:eastAsia="宋体" w:hAnsi="Times New Roman" w:cs="Times New Roman"/>
      <w:b/>
      <w:bCs/>
      <w:szCs w:val="20"/>
      <w14:ligatures w14:val="none"/>
    </w:rPr>
  </w:style>
  <w:style w:type="paragraph" w:styleId="af0">
    <w:name w:val="Balloon Text"/>
    <w:basedOn w:val="a"/>
    <w:link w:val="af1"/>
    <w:semiHidden/>
    <w:rsid w:val="00FB7AEA"/>
    <w:rPr>
      <w:sz w:val="18"/>
      <w:szCs w:val="18"/>
    </w:rPr>
  </w:style>
  <w:style w:type="character" w:customStyle="1" w:styleId="af1">
    <w:name w:val="批注框文本 字符"/>
    <w:basedOn w:val="a0"/>
    <w:link w:val="af0"/>
    <w:semiHidden/>
    <w:rsid w:val="00FB7AEA"/>
    <w:rPr>
      <w:rFonts w:ascii="Times New Roman" w:eastAsia="宋体" w:hAnsi="Times New Roman" w:cs="Times New Roman"/>
      <w:sz w:val="18"/>
      <w:szCs w:val="18"/>
      <w14:ligatures w14:val="none"/>
    </w:rPr>
  </w:style>
  <w:style w:type="character" w:styleId="af2">
    <w:name w:val="page number"/>
    <w:basedOn w:val="a0"/>
    <w:rsid w:val="00FB7AEA"/>
  </w:style>
  <w:style w:type="paragraph" w:styleId="TOC1">
    <w:name w:val="toc 1"/>
    <w:basedOn w:val="a"/>
    <w:next w:val="a"/>
    <w:autoRedefine/>
    <w:uiPriority w:val="39"/>
    <w:rsid w:val="00FB7AEA"/>
    <w:pPr>
      <w:tabs>
        <w:tab w:val="right" w:leader="dot" w:pos="8776"/>
      </w:tabs>
      <w:spacing w:before="120"/>
    </w:pPr>
    <w:rPr>
      <w:rFonts w:cs="Arial"/>
      <w:b/>
      <w:bCs/>
      <w:caps/>
      <w:noProof/>
      <w:sz w:val="28"/>
      <w:szCs w:val="28"/>
    </w:rPr>
  </w:style>
  <w:style w:type="paragraph" w:styleId="TOC2">
    <w:name w:val="toc 2"/>
    <w:basedOn w:val="a"/>
    <w:next w:val="a"/>
    <w:autoRedefine/>
    <w:uiPriority w:val="39"/>
    <w:rsid w:val="00FB7AEA"/>
    <w:pPr>
      <w:tabs>
        <w:tab w:val="right" w:leader="dot" w:pos="8776"/>
      </w:tabs>
      <w:spacing w:before="120"/>
      <w:ind w:leftChars="100" w:left="210"/>
    </w:pPr>
    <w:rPr>
      <w:smallCaps/>
      <w:noProof/>
      <w:sz w:val="24"/>
      <w:szCs w:val="24"/>
    </w:rPr>
  </w:style>
  <w:style w:type="paragraph" w:styleId="TOC3">
    <w:name w:val="toc 3"/>
    <w:next w:val="a"/>
    <w:autoRedefine/>
    <w:uiPriority w:val="39"/>
    <w:rsid w:val="00FB7AEA"/>
    <w:pPr>
      <w:tabs>
        <w:tab w:val="right" w:leader="dot" w:pos="8776"/>
      </w:tabs>
      <w:spacing w:before="120"/>
      <w:ind w:leftChars="200" w:left="420"/>
    </w:pPr>
    <w:rPr>
      <w:rFonts w:ascii="黑体" w:eastAsia="黑体" w:hAnsi="黑体" w:cs="Times New Roman"/>
      <w:bCs/>
      <w:iCs/>
      <w:noProof/>
      <w:szCs w:val="21"/>
      <w14:ligatures w14:val="none"/>
    </w:rPr>
  </w:style>
  <w:style w:type="character" w:styleId="af3">
    <w:name w:val="Hyperlink"/>
    <w:basedOn w:val="a0"/>
    <w:uiPriority w:val="99"/>
    <w:rsid w:val="00FB7AEA"/>
    <w:rPr>
      <w:color w:val="0000FF"/>
      <w:u w:val="single"/>
    </w:rPr>
  </w:style>
  <w:style w:type="paragraph" w:styleId="af4">
    <w:name w:val="Normal Indent"/>
    <w:basedOn w:val="a"/>
    <w:rsid w:val="00FB7AEA"/>
    <w:pPr>
      <w:ind w:firstLineChars="200" w:firstLine="420"/>
    </w:pPr>
    <w:rPr>
      <w:szCs w:val="24"/>
    </w:rPr>
  </w:style>
  <w:style w:type="paragraph" w:styleId="HTML">
    <w:name w:val="HTML Preformatted"/>
    <w:basedOn w:val="a"/>
    <w:link w:val="HTML0"/>
    <w:rsid w:val="00FB7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10" w:lineRule="atLeast"/>
    </w:pPr>
    <w:rPr>
      <w:rFonts w:eastAsia="黑体" w:cs="Courier New"/>
      <w:kern w:val="0"/>
      <w:szCs w:val="21"/>
      <w:lang w:eastAsia="en-US"/>
    </w:rPr>
  </w:style>
  <w:style w:type="character" w:customStyle="1" w:styleId="HTML0">
    <w:name w:val="HTML 预设格式 字符"/>
    <w:basedOn w:val="a0"/>
    <w:link w:val="HTML"/>
    <w:rsid w:val="00FB7AEA"/>
    <w:rPr>
      <w:rFonts w:ascii="Times New Roman" w:eastAsia="黑体" w:hAnsi="Times New Roman" w:cs="Courier New"/>
      <w:kern w:val="0"/>
      <w:szCs w:val="21"/>
      <w:lang w:eastAsia="en-US"/>
      <w14:ligatures w14:val="none"/>
    </w:rPr>
  </w:style>
  <w:style w:type="paragraph" w:styleId="af5">
    <w:name w:val="Normal (Web)"/>
    <w:basedOn w:val="a"/>
    <w:uiPriority w:val="99"/>
    <w:unhideWhenUsed/>
    <w:rsid w:val="00FB7AEA"/>
    <w:pPr>
      <w:spacing w:before="100" w:beforeAutospacing="1" w:after="100" w:afterAutospacing="1" w:line="336" w:lineRule="atLeast"/>
    </w:pPr>
    <w:rPr>
      <w:rFonts w:ascii="宋体" w:hAnsi="宋体" w:cs="宋体"/>
      <w:kern w:val="0"/>
      <w:sz w:val="24"/>
      <w:szCs w:val="24"/>
    </w:rPr>
  </w:style>
  <w:style w:type="paragraph" w:styleId="21">
    <w:name w:val="Body Text Indent 2"/>
    <w:basedOn w:val="a"/>
    <w:link w:val="22"/>
    <w:rsid w:val="00FB7AEA"/>
    <w:pPr>
      <w:spacing w:after="120" w:line="480" w:lineRule="auto"/>
      <w:ind w:leftChars="200" w:left="420"/>
    </w:pPr>
  </w:style>
  <w:style w:type="character" w:customStyle="1" w:styleId="22">
    <w:name w:val="正文文本缩进 2 字符"/>
    <w:basedOn w:val="a0"/>
    <w:link w:val="21"/>
    <w:rsid w:val="00FB7AEA"/>
    <w:rPr>
      <w:rFonts w:ascii="Times New Roman" w:eastAsia="宋体" w:hAnsi="Times New Roman" w:cs="Times New Roman"/>
      <w:szCs w:val="20"/>
      <w14:ligatures w14:val="none"/>
    </w:rPr>
  </w:style>
  <w:style w:type="character" w:customStyle="1" w:styleId="tmp6">
    <w:name w:val="中tmp6"/>
    <w:basedOn w:val="a0"/>
    <w:rsid w:val="00FB7AEA"/>
    <w:rPr>
      <w:rFonts w:ascii="黑体" w:eastAsia="黑体" w:hAnsi="黑体"/>
      <w:sz w:val="32"/>
    </w:rPr>
  </w:style>
  <w:style w:type="paragraph" w:customStyle="1" w:styleId="af6">
    <w:name w:val="论文正文"/>
    <w:basedOn w:val="a"/>
    <w:rsid w:val="00FB7AEA"/>
    <w:pPr>
      <w:topLinePunct/>
      <w:ind w:firstLineChars="200" w:firstLine="200"/>
    </w:pPr>
    <w:rPr>
      <w:rFonts w:ascii="Times" w:hAnsi="Times"/>
      <w:sz w:val="24"/>
      <w:szCs w:val="24"/>
    </w:rPr>
  </w:style>
  <w:style w:type="paragraph" w:styleId="af7">
    <w:name w:val="Document Map"/>
    <w:basedOn w:val="a"/>
    <w:link w:val="af8"/>
    <w:rsid w:val="00FB7AEA"/>
    <w:rPr>
      <w:rFonts w:ascii="宋体"/>
      <w:sz w:val="18"/>
      <w:szCs w:val="18"/>
    </w:rPr>
  </w:style>
  <w:style w:type="character" w:customStyle="1" w:styleId="af8">
    <w:name w:val="文档结构图 字符"/>
    <w:basedOn w:val="a0"/>
    <w:link w:val="af7"/>
    <w:rsid w:val="00FB7AEA"/>
    <w:rPr>
      <w:rFonts w:ascii="宋体" w:eastAsia="宋体" w:hAnsi="Times New Roman" w:cs="Times New Roman"/>
      <w:sz w:val="18"/>
      <w:szCs w:val="18"/>
      <w14:ligatures w14:val="none"/>
    </w:rPr>
  </w:style>
  <w:style w:type="paragraph" w:customStyle="1" w:styleId="p0">
    <w:name w:val="p0"/>
    <w:basedOn w:val="a"/>
    <w:rsid w:val="00FB7AEA"/>
    <w:rPr>
      <w:kern w:val="0"/>
      <w:szCs w:val="21"/>
    </w:rPr>
  </w:style>
  <w:style w:type="paragraph" w:styleId="af9">
    <w:name w:val="List Paragraph"/>
    <w:basedOn w:val="a"/>
    <w:uiPriority w:val="34"/>
    <w:qFormat/>
    <w:rsid w:val="00FB7AEA"/>
    <w:pPr>
      <w:ind w:firstLineChars="200" w:firstLine="420"/>
    </w:pPr>
  </w:style>
  <w:style w:type="character" w:styleId="afa">
    <w:name w:val="footnote reference"/>
    <w:basedOn w:val="a0"/>
    <w:uiPriority w:val="99"/>
    <w:semiHidden/>
    <w:unhideWhenUsed/>
    <w:rsid w:val="00FB7AEA"/>
    <w:rPr>
      <w:vertAlign w:val="superscript"/>
    </w:rPr>
  </w:style>
  <w:style w:type="paragraph" w:customStyle="1" w:styleId="afb">
    <w:name w:val="脚注"/>
    <w:basedOn w:val="a"/>
    <w:link w:val="Char"/>
    <w:qFormat/>
    <w:rsid w:val="00FB7AEA"/>
    <w:pPr>
      <w:ind w:left="150" w:hangingChars="150" w:hanging="150"/>
    </w:pPr>
    <w:rPr>
      <w:sz w:val="18"/>
      <w:szCs w:val="24"/>
    </w:rPr>
  </w:style>
  <w:style w:type="character" w:customStyle="1" w:styleId="Char">
    <w:name w:val="脚注 Char"/>
    <w:link w:val="afb"/>
    <w:rsid w:val="00FB7AEA"/>
    <w:rPr>
      <w:rFonts w:ascii="Times New Roman" w:eastAsia="宋体" w:hAnsi="Times New Roman" w:cs="Times New Roman"/>
      <w:sz w:val="18"/>
      <w:szCs w:val="24"/>
      <w14:ligatures w14:val="none"/>
    </w:rPr>
  </w:style>
  <w:style w:type="paragraph" w:styleId="afc">
    <w:name w:val="No Spacing"/>
    <w:link w:val="afd"/>
    <w:uiPriority w:val="1"/>
    <w:qFormat/>
    <w:rsid w:val="00FB7AEA"/>
    <w:rPr>
      <w:kern w:val="0"/>
      <w:sz w:val="22"/>
      <w14:ligatures w14:val="none"/>
    </w:rPr>
  </w:style>
  <w:style w:type="character" w:customStyle="1" w:styleId="afd">
    <w:name w:val="无间隔 字符"/>
    <w:basedOn w:val="a0"/>
    <w:link w:val="afc"/>
    <w:uiPriority w:val="1"/>
    <w:rsid w:val="00FB7AEA"/>
    <w:rPr>
      <w:kern w:val="0"/>
      <w:sz w:val="22"/>
      <w14:ligatures w14:val="none"/>
    </w:rPr>
  </w:style>
  <w:style w:type="paragraph" w:styleId="afe">
    <w:name w:val="Revision"/>
    <w:hidden/>
    <w:uiPriority w:val="99"/>
    <w:semiHidden/>
    <w:rsid w:val="00FB7AEA"/>
    <w:rPr>
      <w:rFonts w:ascii="Times New Roman" w:eastAsia="宋体" w:hAnsi="Times New Roman" w:cs="Times New Roman"/>
      <w:szCs w:val="20"/>
      <w14:ligatures w14:val="none"/>
    </w:rPr>
  </w:style>
  <w:style w:type="paragraph" w:styleId="TOC">
    <w:name w:val="TOC Heading"/>
    <w:basedOn w:val="1"/>
    <w:next w:val="a"/>
    <w:uiPriority w:val="39"/>
    <w:unhideWhenUsed/>
    <w:qFormat/>
    <w:rsid w:val="00FB7AEA"/>
    <w:pPr>
      <w:spacing w:before="240" w:after="0" w:line="259" w:lineRule="auto"/>
      <w:jc w:val="left"/>
      <w:outlineLvl w:val="9"/>
    </w:pPr>
    <w:rPr>
      <w:rFonts w:asciiTheme="majorHAnsi" w:eastAsiaTheme="majorEastAsia" w:hAnsiTheme="majorHAnsi" w:cstheme="majorBidi"/>
      <w:b w:val="0"/>
      <w:bCs w:val="0"/>
      <w:color w:val="2F5496" w:themeColor="accent1" w:themeShade="BF"/>
      <w:kern w:val="0"/>
    </w:rPr>
  </w:style>
  <w:style w:type="paragraph" w:customStyle="1" w:styleId="aff">
    <w:name w:val="中文扉页信息栏"/>
    <w:basedOn w:val="a"/>
    <w:link w:val="aff0"/>
    <w:qFormat/>
    <w:rsid w:val="00FB7AEA"/>
    <w:pPr>
      <w:tabs>
        <w:tab w:val="right" w:pos="4080"/>
        <w:tab w:val="left" w:pos="4200"/>
      </w:tabs>
      <w:autoSpaceDE w:val="0"/>
      <w:autoSpaceDN w:val="0"/>
    </w:pPr>
    <w:rPr>
      <w:rFonts w:eastAsia="黑体" w:cstheme="minorBidi"/>
      <w:b/>
      <w:sz w:val="28"/>
      <w:szCs w:val="21"/>
      <w14:ligatures w14:val="standardContextual"/>
    </w:rPr>
  </w:style>
  <w:style w:type="character" w:customStyle="1" w:styleId="aff0">
    <w:name w:val="中文扉页信息栏 字符"/>
    <w:basedOn w:val="a0"/>
    <w:link w:val="aff"/>
    <w:rsid w:val="00FB7AEA"/>
    <w:rPr>
      <w:rFonts w:ascii="Times New Roman" w:eastAsia="黑体" w:hAnsi="Times New Roman"/>
      <w:b/>
      <w:sz w:val="28"/>
      <w:szCs w:val="21"/>
    </w:rPr>
  </w:style>
  <w:style w:type="table" w:styleId="aff1">
    <w:name w:val="Table Grid"/>
    <w:basedOn w:val="a1"/>
    <w:uiPriority w:val="39"/>
    <w:rsid w:val="00FB7AEA"/>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2">
    <w:name w:val="endnote text"/>
    <w:basedOn w:val="a"/>
    <w:link w:val="aff3"/>
    <w:unhideWhenUsed/>
    <w:rsid w:val="00FB7AEA"/>
    <w:pPr>
      <w:snapToGrid w:val="0"/>
    </w:pPr>
  </w:style>
  <w:style w:type="character" w:customStyle="1" w:styleId="aff3">
    <w:name w:val="尾注文本 字符"/>
    <w:basedOn w:val="a0"/>
    <w:link w:val="aff2"/>
    <w:rsid w:val="00FB7AEA"/>
    <w:rPr>
      <w:rFonts w:ascii="Times New Roman" w:eastAsia="宋体" w:hAnsi="Times New Roman" w:cs="Times New Roman"/>
      <w:szCs w:val="20"/>
      <w14:ligatures w14:val="none"/>
    </w:rPr>
  </w:style>
  <w:style w:type="character" w:styleId="aff4">
    <w:name w:val="endnote reference"/>
    <w:basedOn w:val="a0"/>
    <w:semiHidden/>
    <w:unhideWhenUsed/>
    <w:rsid w:val="00FB7AEA"/>
    <w:rPr>
      <w:vertAlign w:val="superscript"/>
    </w:rPr>
  </w:style>
  <w:style w:type="character" w:styleId="aff5">
    <w:name w:val="Placeholder Text"/>
    <w:basedOn w:val="a0"/>
    <w:uiPriority w:val="99"/>
    <w:semiHidden/>
    <w:rsid w:val="00FB7AEA"/>
    <w:rPr>
      <w:color w:val="666666"/>
    </w:rPr>
  </w:style>
  <w:style w:type="paragraph" w:customStyle="1" w:styleId="4">
    <w:name w:val="标题4"/>
    <w:basedOn w:val="a"/>
    <w:link w:val="40"/>
    <w:qFormat/>
    <w:rsid w:val="00FB7AEA"/>
    <w:rPr>
      <w:rFonts w:ascii="黑体" w:eastAsia="黑体" w:hAnsi="黑体"/>
      <w:b/>
      <w:bCs/>
    </w:rPr>
  </w:style>
  <w:style w:type="character" w:customStyle="1" w:styleId="40">
    <w:name w:val="标题4 字符"/>
    <w:basedOn w:val="a0"/>
    <w:link w:val="4"/>
    <w:rsid w:val="00FB7AEA"/>
    <w:rPr>
      <w:rFonts w:ascii="黑体" w:eastAsia="黑体" w:hAnsi="黑体" w:cs="Times New Roman"/>
      <w:b/>
      <w:bCs/>
      <w:szCs w:val="20"/>
      <w14:ligatures w14:val="none"/>
    </w:rPr>
  </w:style>
  <w:style w:type="paragraph" w:customStyle="1" w:styleId="EndNoteBibliographyTitle">
    <w:name w:val="EndNote Bibliography Title"/>
    <w:basedOn w:val="a"/>
    <w:link w:val="EndNoteBibliographyTitle0"/>
    <w:rsid w:val="00FB7AEA"/>
    <w:pPr>
      <w:jc w:val="center"/>
    </w:pPr>
    <w:rPr>
      <w:noProof/>
      <w:sz w:val="20"/>
    </w:rPr>
  </w:style>
  <w:style w:type="character" w:customStyle="1" w:styleId="EndNoteBibliographyTitle0">
    <w:name w:val="EndNote Bibliography Title 字符"/>
    <w:basedOn w:val="a0"/>
    <w:link w:val="EndNoteBibliographyTitle"/>
    <w:rsid w:val="00FB7AEA"/>
    <w:rPr>
      <w:rFonts w:ascii="Times New Roman" w:eastAsia="宋体" w:hAnsi="Times New Roman" w:cs="Times New Roman"/>
      <w:noProof/>
      <w:sz w:val="20"/>
      <w:szCs w:val="20"/>
      <w14:ligatures w14:val="none"/>
    </w:rPr>
  </w:style>
  <w:style w:type="paragraph" w:customStyle="1" w:styleId="EndNoteBibliography">
    <w:name w:val="EndNote Bibliography"/>
    <w:basedOn w:val="a"/>
    <w:link w:val="EndNoteBibliography0"/>
    <w:rsid w:val="00FB7AEA"/>
    <w:rPr>
      <w:noProof/>
      <w:sz w:val="20"/>
    </w:rPr>
  </w:style>
  <w:style w:type="character" w:customStyle="1" w:styleId="EndNoteBibliography0">
    <w:name w:val="EndNote Bibliography 字符"/>
    <w:basedOn w:val="a0"/>
    <w:link w:val="EndNoteBibliography"/>
    <w:rsid w:val="00FB7AEA"/>
    <w:rPr>
      <w:rFonts w:ascii="Times New Roman" w:eastAsia="宋体" w:hAnsi="Times New Roman" w:cs="Times New Roman"/>
      <w:noProof/>
      <w:sz w:val="20"/>
      <w:szCs w:val="20"/>
      <w14:ligatures w14:val="none"/>
    </w:rPr>
  </w:style>
  <w:style w:type="character" w:styleId="aff6">
    <w:name w:val="Unresolved Mention"/>
    <w:basedOn w:val="a0"/>
    <w:uiPriority w:val="99"/>
    <w:semiHidden/>
    <w:unhideWhenUsed/>
    <w:rsid w:val="00F72290"/>
    <w:rPr>
      <w:color w:val="605E5C"/>
      <w:shd w:val="clear" w:color="auto" w:fill="E1DFDD"/>
    </w:rPr>
  </w:style>
  <w:style w:type="paragraph" w:styleId="aff7">
    <w:name w:val="Bibliography"/>
    <w:basedOn w:val="a"/>
    <w:next w:val="a"/>
    <w:uiPriority w:val="37"/>
    <w:unhideWhenUsed/>
    <w:rsid w:val="009560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7113261">
      <w:bodyDiv w:val="1"/>
      <w:marLeft w:val="0"/>
      <w:marRight w:val="0"/>
      <w:marTop w:val="0"/>
      <w:marBottom w:val="0"/>
      <w:divBdr>
        <w:top w:val="none" w:sz="0" w:space="0" w:color="auto"/>
        <w:left w:val="none" w:sz="0" w:space="0" w:color="auto"/>
        <w:bottom w:val="none" w:sz="0" w:space="0" w:color="auto"/>
        <w:right w:val="none" w:sz="0" w:space="0" w:color="auto"/>
      </w:divBdr>
    </w:div>
    <w:div w:id="1002125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369F9C-0377-42FD-A497-EA7417A4BB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700</TotalTime>
  <Pages>3</Pages>
  <Words>269</Words>
  <Characters>1539</Characters>
  <Application>Microsoft Office Word</Application>
  <DocSecurity>0</DocSecurity>
  <Lines>12</Lines>
  <Paragraphs>3</Paragraphs>
  <ScaleCrop>false</ScaleCrop>
  <Company/>
  <LinksUpToDate>false</LinksUpToDate>
  <CharactersWithSpaces>1805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 z</dc:creator>
  <cp:keywords/>
  <dc:description/>
  <cp:lastModifiedBy>z z</cp:lastModifiedBy>
  <cp:revision>13</cp:revision>
  <cp:lastPrinted>2024-05-07T07:38:00Z</cp:lastPrinted>
  <dcterms:created xsi:type="dcterms:W3CDTF">2024-05-06T08:11:00Z</dcterms:created>
  <dcterms:modified xsi:type="dcterms:W3CDTF">2024-05-07T12:32:00Z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id="MnqWsY4j"/&gt;&lt;style id="http://www.zotero.org/styles/ieee" locale="zh-CN"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