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4" w:lineRule="auto"/>
      </w:pPr>
      <w:r>
        <w:t>Product Requirements Document</w:t>
      </w:r>
    </w:p>
    <w:p>
      <w:pPr>
        <w:pStyle w:val="Subtitle"/>
        <w:spacing w:before="0" w:after="280" w:line="264" w:lineRule="auto"/>
      </w:pPr>
      <w:r>
        <w:t>NCA Data Collection and Compliance Management System</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232"/>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Field</w:t>
            </w:r>
          </w:p>
        </w:tc>
        <w:tc>
          <w:tcPr>
            <w:tcW w:type="dxa" w:w="6912"/>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Value</w:t>
            </w:r>
          </w:p>
        </w:tc>
      </w:tr>
      <w:tr>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Version</w:t>
            </w:r>
          </w:p>
        </w:tc>
        <w:tc>
          <w:tcPr>
            <w:tcW w:type="dxa" w:w="6912"/>
            <w:tcMar>
              <w:top w:w="80" w:type="dxa"/>
              <w:bottom w:w="80" w:type="dxa"/>
              <w:start w:w="120" w:type="dxa"/>
              <w:end w:w="120" w:type="dxa"/>
            </w:tcMar>
            <w:vAlign w:val="center"/>
          </w:tcPr>
          <w:p>
            <w:pPr>
              <w:spacing w:after="0"/>
            </w:pPr>
            <w:r>
              <w:t>1.2 - Delivered-system publication remediation update</w:t>
            </w:r>
          </w:p>
        </w:tc>
      </w:tr>
      <w:tr>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Date</w:t>
            </w:r>
          </w:p>
        </w:tc>
        <w:tc>
          <w:tcPr>
            <w:tcW w:type="dxa" w:w="6912"/>
            <w:tcMar>
              <w:top w:w="80" w:type="dxa"/>
              <w:bottom w:w="80" w:type="dxa"/>
              <w:start w:w="120" w:type="dxa"/>
              <w:end w:w="120" w:type="dxa"/>
            </w:tcMar>
            <w:vAlign w:val="center"/>
          </w:tcPr>
          <w:p>
            <w:pPr>
              <w:spacing w:after="0"/>
            </w:pPr>
            <w:r>
              <w:t>August 12, 2026</w:t>
            </w:r>
          </w:p>
        </w:tc>
      </w:tr>
      <w:tr>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Prepared for</w:t>
            </w:r>
          </w:p>
        </w:tc>
        <w:tc>
          <w:tcPr>
            <w:tcW w:type="dxa" w:w="6912"/>
            <w:tcMar>
              <w:top w:w="80" w:type="dxa"/>
              <w:bottom w:w="80" w:type="dxa"/>
              <w:start w:w="120" w:type="dxa"/>
              <w:end w:w="120" w:type="dxa"/>
            </w:tcMar>
            <w:vAlign w:val="center"/>
          </w:tcPr>
          <w:p>
            <w:pPr>
              <w:spacing w:after="0"/>
            </w:pPr>
            <w:r>
              <w:t>National Communications Authority publication readiness and operational acceptance</w:t>
            </w:r>
          </w:p>
        </w:tc>
      </w:tr>
      <w:tr>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Primary purpose</w:t>
            </w:r>
          </w:p>
        </w:tc>
        <w:tc>
          <w:tcPr>
            <w:tcW w:type="dxa" w:w="6912"/>
            <w:tcMar>
              <w:top w:w="80" w:type="dxa"/>
              <w:bottom w:w="80" w:type="dxa"/>
              <w:start w:w="120" w:type="dxa"/>
              <w:end w:w="120" w:type="dxa"/>
            </w:tcMar>
            <w:vAlign w:val="center"/>
          </w:tcPr>
          <w:p>
            <w:pPr>
              <w:spacing w:after="0"/>
            </w:pPr>
            <w:r>
              <w:t>Align the PRD with the delivered five-role system, seven corrected Section 11 forms, governed workflows, security controls, private files, data requests, aggregate dashboard and explicit release gates.</w:t>
            </w:r>
          </w:p>
        </w:tc>
      </w:tr>
      <w:tr>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Source files reviewed</w:t>
            </w:r>
          </w:p>
        </w:tc>
        <w:tc>
          <w:tcPr>
            <w:tcW w:type="dxa" w:w="6912"/>
            <w:tcMar>
              <w:top w:w="80" w:type="dxa"/>
              <w:bottom w:w="80" w:type="dxa"/>
              <w:start w:w="120" w:type="dxa"/>
              <w:end w:w="120" w:type="dxa"/>
            </w:tcMar>
            <w:vAlign w:val="center"/>
          </w:tcPr>
          <w:p>
            <w:pPr>
              <w:spacing w:after="0"/>
            </w:pPr>
            <w:r>
              <w:t>Original development-ready PRD and Section 11 requirements, preserved historical system records, corrected PRD-derived form manifests, implementation tests and publication-readiness evidence. Exact source-workbook fidelity remains subject to approved original regulatory forms.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120" w:type="dxa"/>
              <w:bottom w:w="120" w:type="dxa"/>
              <w:start w:w="180" w:type="dxa"/>
              <w:end w:w="180" w:type="dxa"/>
            </w:tcMar>
            <w:vAlign w:val="center"/>
          </w:tcPr>
          <w:p>
            <w:pPr>
              <w:spacing w:after="0"/>
            </w:pPr>
            <w:r>
              <w:t>The delivered release is a governed regulatory data collection, provider approval, NCA review, compliance and controlled data-delivery system. It prioritizes manual structured entry, immutable form/submission versions, targeted corrections, validation, private scanned files, role-sanitized aggregate dashboard access, approved-data exports, notifications, auditability and recovery evidence. General spreadsheet import, GIS exploration, real email sending, MFA and automated retention deletion are not represented as delivered capabilities. Private Excel backup upload is a secured operational extension and is not a data-import path.</w:t>
            </w:r>
          </w:p>
        </w:tc>
      </w:tr>
    </w:tbl>
    <w:p/>
    <w:p>
      <w:pPr>
        <w:pStyle w:val="Heading1"/>
        <w:spacing w:before="320" w:after="160" w:line="264" w:lineRule="auto"/>
      </w:pPr>
      <w:r>
        <w:t>1. Corrections and Locked Planning Decisions</w:t>
      </w:r>
    </w:p>
    <w:p>
      <w:pPr>
        <w:spacing w:before="0" w:after="120" w:line="264" w:lineRule="auto"/>
      </w:pPr>
      <w:r>
        <w:rPr>
          <w:rFonts w:ascii="Calibri" w:hAnsi="Calibri"/>
          <w:color w:val="000000"/>
        </w:rPr>
        <w:t>This rewrite resolves planning issues found when comparing the PRD against the supporting source files.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44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Area</w:t>
            </w:r>
          </w:p>
        </w:tc>
        <w:tc>
          <w:tcPr>
            <w:tcW w:type="dxa" w:w="669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Development decision</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Collection frequency</w:t>
            </w:r>
          </w:p>
        </w:tc>
        <w:tc>
          <w:tcPr>
            <w:tcW w:type="dxa" w:w="6696"/>
            <w:tcMar>
              <w:top w:w="80" w:type="dxa"/>
              <w:bottom w:w="80" w:type="dxa"/>
              <w:start w:w="120" w:type="dxa"/>
              <w:end w:w="120" w:type="dxa"/>
            </w:tcMar>
            <w:vAlign w:val="center"/>
          </w:tcPr>
          <w:p>
            <w:pPr>
              <w:spacing w:before="0" w:after="0" w:line="259" w:lineRule="auto"/>
            </w:pPr>
            <w:r>
              <w:t>MNO Monthly is a monthly collection. Pay TV Broadcast, ISP, Infrastructure Tower Companies, Infrastructure Main Companies, Domestic/National Inland Fibre, and International Submarine Fibre are annual collections.</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MVP product boundary</w:t>
            </w:r>
          </w:p>
        </w:tc>
        <w:tc>
          <w:tcPr>
            <w:tcW w:type="dxa" w:w="6696"/>
            <w:tcMar>
              <w:top w:w="80" w:type="dxa"/>
              <w:bottom w:w="80" w:type="dxa"/>
              <w:start w:w="120" w:type="dxa"/>
              <w:end w:w="120" w:type="dxa"/>
            </w:tcMar>
            <w:vAlign w:val="center"/>
          </w:tcPr>
          <w:p>
            <w:pPr>
              <w:spacing w:after="0"/>
            </w:pPr>
            <w:r>
              <w:t>Use a configurable, immutable form-family/version engine with sections, scalar fields, fixed/repeatable grids, options, allow-listed validations, formulas, conditions, declarations, Section 11 gaps and form-specific KMZ rules. Historical versions remain renderable.</w:t>
            </w:r>
          </w:p>
        </w:tc>
      </w:tr>
      <w:tr>
        <w:tc>
          <w:tcPr>
            <w:tcW w:type="dxa" w:w="2448"/>
            <w:tcMar>
              <w:top w:w="80" w:type="dxa"/>
              <w:bottom w:w="80" w:type="dxa"/>
              <w:start w:w="120" w:type="dxa"/>
              <w:end w:w="120" w:type="dxa"/>
            </w:tcMar>
            <w:vAlign w:val="center"/>
          </w:tcPr>
          <w:p>
            <w:pPr>
              <w:spacing w:after="0" w:line="259" w:lineRule="auto"/>
            </w:pPr>
            <w:r>
              <w:rPr>
                <w:rFonts w:ascii="Calibri" w:hAnsi="Calibri"/>
                <w:b w:val="0"/>
                <w:sz w:val="19"/>
              </w:rPr>
              <w:t>Form architecture</w:t>
            </w:r>
          </w:p>
        </w:tc>
        <w:tc>
          <w:tcPr>
            <w:tcW w:type="dxa" w:w="6696"/>
            <w:tcMar>
              <w:top w:w="80" w:type="dxa"/>
              <w:bottom w:w="80" w:type="dxa"/>
              <w:start w:w="120" w:type="dxa"/>
              <w:end w:w="120" w:type="dxa"/>
            </w:tcMar>
            <w:vAlign w:val="center"/>
          </w:tcPr>
          <w:p>
            <w:pPr>
              <w:spacing w:after="0" w:line="259" w:lineRule="auto"/>
            </w:pPr>
            <w:r>
              <w:rPr>
                <w:rFonts w:ascii="Calibri" w:hAnsi="Calibri"/>
                <w:b w:val="0"/>
                <w:sz w:val="19"/>
              </w:rPr>
              <w:t>Use a configurable form-template engine with versioned web-form sections, fields, grids, options, validations, draft saving, and KMZ upload references where applicable. Do not hard-code one database table per source form for MVP entry.</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Analytical schemas</w:t>
            </w:r>
          </w:p>
        </w:tc>
        <w:tc>
          <w:tcPr>
            <w:tcW w:type="dxa" w:w="6696"/>
            <w:tcMar>
              <w:top w:w="80" w:type="dxa"/>
              <w:bottom w:w="80" w:type="dxa"/>
              <w:start w:w="120" w:type="dxa"/>
              <w:end w:w="120" w:type="dxa"/>
            </w:tcMar>
            <w:vAlign w:val="center"/>
          </w:tcPr>
          <w:p>
            <w:pPr>
              <w:spacing w:after="0"/>
            </w:pPr>
            <w:r>
              <w:t>Operational and request exports use canonical long/narrow rows. The Industry Dashboard exposes server-authorized aggregates and a generated aggregate XLSX; source workbooks and provider-level dashboard rows remain NCA-only.</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Overdue handling</w:t>
            </w:r>
          </w:p>
        </w:tc>
        <w:tc>
          <w:tcPr>
            <w:tcW w:type="dxa" w:w="6696"/>
            <w:tcMar>
              <w:top w:w="80" w:type="dxa"/>
              <w:bottom w:w="80" w:type="dxa"/>
              <w:start w:w="120" w:type="dxa"/>
              <w:end w:w="120" w:type="dxa"/>
            </w:tcMar>
            <w:vAlign w:val="center"/>
          </w:tcPr>
          <w:p>
            <w:pPr>
              <w:spacing w:before="0" w:after="0" w:line="259" w:lineRule="auto"/>
            </w:pPr>
            <w:r>
              <w:rPr>
                <w:rFonts w:ascii="Calibri" w:hAnsi="Calibri"/>
                <w:color w:val="000000"/>
                <w:sz w:val="19"/>
              </w:rPr>
              <w:t>Overdue is a computed due-state based on due date and workflow status, not a separate terminal workflow status.</w:t>
            </w:r>
          </w:p>
        </w:tc>
      </w:tr>
      <w:tr>
        <w:tc>
          <w:tcPr>
            <w:tcW w:type="dxa" w:w="2448"/>
            <w:tcMar>
              <w:top w:w="80" w:type="dxa"/>
              <w:bottom w:w="80" w:type="dxa"/>
              <w:start w:w="120" w:type="dxa"/>
              <w:end w:w="120" w:type="dxa"/>
            </w:tcMar>
            <w:vAlign w:val="center"/>
          </w:tcPr>
          <w:p>
            <w:pPr>
              <w:spacing w:after="0" w:line="259" w:lineRule="auto"/>
            </w:pPr>
            <w:r>
              <w:rPr>
                <w:rFonts w:ascii="Calibri" w:hAnsi="Calibri"/>
                <w:b w:val="0"/>
                <w:sz w:val="19"/>
              </w:rPr>
              <w:t>File intake</w:t>
            </w:r>
          </w:p>
        </w:tc>
        <w:tc>
          <w:tcPr>
            <w:tcW w:type="dxa" w:w="6696"/>
            <w:tcMar>
              <w:top w:w="80" w:type="dxa"/>
              <w:bottom w:w="80" w:type="dxa"/>
              <w:start w:w="120" w:type="dxa"/>
              <w:end w:w="120" w:type="dxa"/>
            </w:tcMar>
            <w:vAlign w:val="center"/>
          </w:tcPr>
          <w:p>
            <w:pPr>
              <w:spacing w:after="0"/>
            </w:pPr>
            <w:r>
              <w:t>V1 remains manual web-form entry. A private Excel backup may be uploaded or replaced while editable as secured evidence; it is quarantined, scanned and never imported into form fields. General document/spreadsheet intake remains deferred.</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Email integration</w:t>
            </w:r>
          </w:p>
        </w:tc>
        <w:tc>
          <w:tcPr>
            <w:tcW w:type="dxa" w:w="6696"/>
            <w:tcMar>
              <w:top w:w="80" w:type="dxa"/>
              <w:bottom w:w="80" w:type="dxa"/>
              <w:start w:w="120" w:type="dxa"/>
              <w:end w:w="120" w:type="dxa"/>
            </w:tcMar>
            <w:vAlign w:val="center"/>
          </w:tcPr>
          <w:p>
            <w:pPr>
              <w:spacing w:after="0"/>
            </w:pPr>
            <w:r>
              <w:t>The system creates approved/versioned message content and durable drafts/queue entries. Without configured delivery credentials and provider evidence, a message is never represented as SENT. Microsoft Graph/shared-mailbox delivery is advisory/deferred.</w:t>
            </w:r>
          </w:p>
        </w:tc>
      </w:tr>
      <w:tr>
        <w:tc>
          <w:tcPr>
            <w:tcW w:type="dxa" w:w="2448"/>
            <w:tcMar>
              <w:top w:w="80" w:type="dxa"/>
              <w:bottom w:w="80" w:type="dxa"/>
              <w:start w:w="120" w:type="dxa"/>
              <w:end w:w="120" w:type="dxa"/>
            </w:tcMar>
            <w:vAlign w:val="center"/>
          </w:tcPr>
          <w:p>
            <w:pPr>
              <w:spacing w:after="0" w:line="259" w:lineRule="auto"/>
            </w:pPr>
            <w:r>
              <w:rPr>
                <w:rFonts w:ascii="Calibri" w:hAnsi="Calibri"/>
                <w:b w:val="0"/>
                <w:sz w:val="19"/>
              </w:rPr>
              <w:t>KMZ handling</w:t>
            </w:r>
          </w:p>
        </w:tc>
        <w:tc>
          <w:tcPr>
            <w:tcW w:type="dxa" w:w="6696"/>
            <w:tcMar>
              <w:top w:w="80" w:type="dxa"/>
              <w:bottom w:w="80" w:type="dxa"/>
              <w:start w:w="120" w:type="dxa"/>
              <w:end w:w="120" w:type="dxa"/>
            </w:tcMar>
            <w:vAlign w:val="center"/>
          </w:tcPr>
          <w:p>
            <w:pPr>
              <w:spacing w:after="0"/>
            </w:pPr>
            <w:r>
              <w:t>Only DC-DBS05 requires topology KMZ in the corrected Section 11 set. KMZ and Excel backups are private, hashed, quarantined and download-gated by malware scan and role authorization. GIS rendering remains deferred.</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Source sample data</w:t>
            </w:r>
          </w:p>
        </w:tc>
        <w:tc>
          <w:tcPr>
            <w:tcW w:type="dxa" w:w="6696"/>
            <w:tcMar>
              <w:top w:w="80" w:type="dxa"/>
              <w:bottom w:w="80" w:type="dxa"/>
              <w:start w:w="120" w:type="dxa"/>
              <w:end w:w="120" w:type="dxa"/>
            </w:tcMar>
            <w:vAlign w:val="center"/>
          </w:tcPr>
          <w:p>
            <w:pPr>
              <w:spacing w:before="0" w:after="0" w:line="259" w:lineRule="auto"/>
            </w:pPr>
            <w:r>
              <w:rPr>
                <w:rFonts w:ascii="Calibri" w:hAnsi="Calibri"/>
                <w:color w:val="000000"/>
                <w:sz w:val="19"/>
              </w:rPr>
              <w:t>Existing forms contain real example values and contact information. Development should treat them as confidential test fixtures, not default production data.</w:t>
            </w:r>
          </w:p>
        </w:tc>
      </w:tr>
      <w:tr>
        <w:tc>
          <w:tcPr>
            <w:tcW w:type="dxa" w:w="4680"/>
            <w:vAlign w:val="center"/>
          </w:tcPr>
          <w:p>
            <w:pPr>
              <w:spacing w:after="0" w:line="259" w:lineRule="auto"/>
            </w:pPr>
            <w:r>
              <w:rPr>
                <w:rFonts w:ascii="Calibri" w:hAnsi="Calibri"/>
                <w:b w:val="0"/>
                <w:sz w:val="19"/>
              </w:rPr>
              <w:t>Role model</w:t>
            </w:r>
          </w:p>
        </w:tc>
        <w:tc>
          <w:tcPr>
            <w:tcW w:type="dxa" w:w="4680"/>
            <w:vAlign w:val="center"/>
          </w:tcPr>
          <w:p>
            <w:pPr>
              <w:spacing w:after="0"/>
            </w:pPr>
            <w:r>
              <w:t>Five stored roles are retained: NCA Admin; NCA Officer; Provider Data Entry; Provider Approver; and NCA Data Requester (stored as NCA_VIEWER for compatibility). NCA Officer has operational Admin parity except Users/divisions and Data Requests.</w:t>
            </w:r>
          </w:p>
        </w:tc>
      </w:tr>
    </w:tbl>
    <w:p/>
    <w:p>
      <w:pPr>
        <w:pStyle w:val="Heading1"/>
        <w:spacing w:before="320" w:after="160" w:line="264" w:lineRule="auto"/>
      </w:pPr>
      <w:r>
        <w:t>2. Product Summary</w:t>
      </w:r>
    </w:p>
    <w:p>
      <w:pPr>
        <w:spacing w:before="0" w:after="120" w:line="264" w:lineRule="auto"/>
      </w:pPr>
      <w:r>
        <w:rPr>
          <w:rFonts w:ascii="Calibri" w:hAnsi="Calibri"/>
          <w:b/>
          <w:color w:val="000000"/>
        </w:rPr>
        <w:t>NCA Data Collection and Compliance Management System</w:t>
      </w:r>
      <w:r>
        <w:rPr>
          <w:rFonts w:ascii="Calibri" w:hAnsi="Calibri"/>
          <w:color w:val="000000"/>
        </w:rPr>
        <w:t xml:space="preserve">Product name: </w:t>
      </w:r>
    </w:p>
    <w:p>
      <w:pPr>
        <w:spacing w:before="0" w:after="120" w:line="264" w:lineRule="auto"/>
      </w:pPr>
      <w:r>
        <w:t>Secure regulatory data collection portal with manual web forms, save-progress workflow, KMZ upload support where required, internal review, compliance follow-up, audit trail, and export tools.</w:t>
      </w:r>
    </w:p>
    <w:p>
      <w:pPr>
        <w:spacing w:before="0" w:after="120" w:line="264" w:lineRule="auto"/>
      </w:pPr>
      <w:r>
        <w:rPr>
          <w:rFonts w:ascii="Calibri" w:hAnsi="Calibri"/>
          <w:b/>
          <w:color w:val="000000"/>
        </w:rPr>
        <w:t>MVP / Phase 1 development planning.</w:t>
      </w:r>
      <w:r>
        <w:rPr>
          <w:rFonts w:ascii="Calibri" w:hAnsi="Calibri"/>
          <w:color w:val="000000"/>
        </w:rPr>
        <w:t xml:space="preserve">Product stage: </w:t>
      </w:r>
    </w:p>
    <w:p>
      <w:pPr>
        <w:spacing w:before="0" w:after="120" w:line="264" w:lineRule="auto"/>
      </w:pPr>
      <w:r>
        <w:rPr>
          <w:rFonts w:ascii="Calibri" w:hAnsi="Calibri"/>
          <w:b/>
          <w:color w:val="000000"/>
        </w:rPr>
        <w:t>Create a secure and lightweight digital platform where licensed service providers submit regulatory returns through structured forms, while NCA teams monitor completion, review submissions, follow up on non-compliance, and export clean data.</w:t>
      </w:r>
      <w:r>
        <w:rPr>
          <w:rFonts w:ascii="Calibri" w:hAnsi="Calibri"/>
          <w:color w:val="000000"/>
        </w:rPr>
        <w:t xml:space="preserve">Vision: </w:t>
      </w:r>
    </w:p>
    <w:p>
      <w:pPr>
        <w:spacing w:before="0" w:after="120" w:line="264" w:lineRule="auto"/>
      </w:pPr>
      <w:r>
        <w:rPr>
          <w:rFonts w:ascii="Calibri" w:hAnsi="Calibri"/>
          <w:b/>
          <w:color w:val="000000"/>
        </w:rPr>
        <w:t>Replace email-first collection with a traceable submission system that can answer who was expected to submit, what was required, what was received, what is missing, who reviewed it, who was reminded, and what can be exported.</w:t>
      </w:r>
      <w:r>
        <w:rPr>
          <w:rFonts w:ascii="Calibri" w:hAnsi="Calibri"/>
          <w:color w:val="000000"/>
        </w:rPr>
        <w:t xml:space="preserve">Primary outcome: </w:t>
      </w:r>
    </w:p>
    <w:p>
      <w:pPr>
        <w:pStyle w:val="Heading1"/>
        <w:spacing w:before="320" w:after="160" w:line="264" w:lineRule="auto"/>
      </w:pPr>
      <w:r>
        <w:t>3. Source Traceability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44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Source</w:t>
            </w:r>
          </w:p>
        </w:tc>
        <w:tc>
          <w:tcPr>
            <w:tcW w:type="dxa" w:w="2232"/>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Collection</w:t>
            </w:r>
          </w:p>
        </w:tc>
        <w:tc>
          <w:tcPr>
            <w:tcW w:type="dxa" w:w="122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Frequency</w:t>
            </w:r>
          </w:p>
        </w:tc>
        <w:tc>
          <w:tcPr>
            <w:tcW w:type="dxa" w:w="324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Development implications</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MNO_Monthly.xlsx</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Analysis Sheet / MNO Monthly</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Monthly</w:t>
            </w:r>
          </w:p>
        </w:tc>
        <w:tc>
          <w:tcPr>
            <w:tcW w:type="dxa" w:w="3240"/>
            <w:tcMar>
              <w:top w:w="80" w:type="dxa"/>
              <w:bottom w:w="80" w:type="dxa"/>
              <w:start w:w="120" w:type="dxa"/>
              <w:end w:w="120" w:type="dxa"/>
            </w:tcMar>
            <w:vAlign w:val="center"/>
          </w:tcPr>
          <w:p>
            <w:pPr>
              <w:spacing w:after="0" w:line="259" w:lineRule="auto"/>
            </w:pPr>
            <w:r>
              <w:rPr>
                <w:rFonts w:ascii="Calibri" w:hAnsi="Calibri"/>
                <w:sz w:val="19"/>
              </w:rPr>
              <w:t>Source workbook available. V1 captures the workbook manually on the web page: operator/contact details; industry subscriptions; mobile/fixed voice and data subscriptions; fixed broadband by technology and speed; phone user categories; smart vs feature/basic phone brand counts; churn and gross/net additions; network QoS parameters; SMS counts; pricing and ARPU; domestic mobile/fixed voice traffic; roaming minutes and data usage; international traffic minutes and counts; West Africa traffic; top 10 international country traffic; OTT app traffic volumes; and mobile money metrics. Workbook upload/import is V2; V1 must map every indicator row and definition into manual web-form fields/grids.</w:t>
            </w:r>
          </w:p>
        </w:tc>
      </w:tr>
      <w:tr>
        <w:tc>
          <w:tcPr>
            <w:tcW w:type="dxa" w:w="2448"/>
            <w:tcMar>
              <w:top w:w="80" w:type="dxa"/>
              <w:bottom w:w="80" w:type="dxa"/>
              <w:start w:w="120" w:type="dxa"/>
              <w:end w:w="120" w:type="dxa"/>
            </w:tcMar>
            <w:vAlign w:val="center"/>
          </w:tcPr>
          <w:p>
            <w:pPr>
              <w:spacing w:after="0" w:line="259" w:lineRule="auto"/>
            </w:pPr>
            <w:r>
              <w:rPr>
                <w:rFonts w:ascii="Calibri" w:hAnsi="Calibri"/>
                <w:b w:val="0"/>
                <w:sz w:val="19"/>
              </w:rPr>
              <w:t>PAY_TV_BROADCASTING_TB02.pdf</w:t>
            </w:r>
          </w:p>
        </w:tc>
        <w:tc>
          <w:tcPr>
            <w:tcW w:type="dxa" w:w="2232"/>
            <w:tcMar>
              <w:top w:w="80" w:type="dxa"/>
              <w:bottom w:w="80" w:type="dxa"/>
              <w:start w:w="120" w:type="dxa"/>
              <w:end w:w="120" w:type="dxa"/>
            </w:tcMar>
            <w:vAlign w:val="center"/>
          </w:tcPr>
          <w:p>
            <w:pPr>
              <w:spacing w:after="0" w:line="259" w:lineRule="auto"/>
            </w:pPr>
            <w:r>
              <w:rPr>
                <w:rFonts w:ascii="Calibri" w:hAnsi="Calibri"/>
                <w:b w:val="0"/>
                <w:sz w:val="19"/>
              </w:rPr>
              <w:t>DC-TB02 Pay Television Broadcasting</w:t>
            </w:r>
          </w:p>
        </w:tc>
        <w:tc>
          <w:tcPr>
            <w:tcW w:type="dxa" w:w="1224"/>
            <w:tcMar>
              <w:top w:w="80" w:type="dxa"/>
              <w:bottom w:w="80" w:type="dxa"/>
              <w:start w:w="120" w:type="dxa"/>
              <w:end w:w="120" w:type="dxa"/>
            </w:tcMar>
            <w:vAlign w:val="center"/>
          </w:tcPr>
          <w:p>
            <w:pPr>
              <w:spacing w:after="0" w:line="259" w:lineRule="auto"/>
            </w:pPr>
            <w:r>
              <w:rPr>
                <w:rFonts w:ascii="Calibri" w:hAnsi="Calibri"/>
                <w:b w:val="0"/>
                <w:sz w:val="19"/>
              </w:rPr>
              <w:t>Annual</w:t>
            </w:r>
          </w:p>
        </w:tc>
        <w:tc>
          <w:tcPr>
            <w:tcW w:type="dxa" w:w="3240"/>
            <w:tcMar>
              <w:top w:w="80" w:type="dxa"/>
              <w:bottom w:w="80" w:type="dxa"/>
              <w:start w:w="120" w:type="dxa"/>
              <w:end w:w="120" w:type="dxa"/>
            </w:tcMar>
            <w:vAlign w:val="center"/>
          </w:tcPr>
          <w:p>
            <w:pPr>
              <w:spacing w:after="0" w:line="259" w:lineRule="auto"/>
            </w:pPr>
            <w:r>
              <w:rPr>
                <w:rFonts w:ascii="Calibri" w:hAnsi="Calibri"/>
                <w:b w:val="0"/>
                <w:sz w:val="19"/>
              </w:rPr>
              <w:t>Source PDF available. V1 captures the form manually on the web page: company/contact details, affiliations, employment, financials, service/subscription/tariff grids, regional Pay-TV dealer counts, television channel counts by bouquet, satellite service details, checklist, comments, and declaration. The source asks for an audited financial statement, but document upload is V2/external process. Source deadline shown: 27 February 2026.</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Internet_Service_Provider_Annual.pdf</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DC-ISP06 Internet/Public Data Service Providers</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3240"/>
            <w:tcMar>
              <w:top w:w="80" w:type="dxa"/>
              <w:bottom w:w="80" w:type="dxa"/>
              <w:start w:w="120" w:type="dxa"/>
              <w:end w:w="120" w:type="dxa"/>
            </w:tcMar>
            <w:vAlign w:val="center"/>
          </w:tcPr>
          <w:p>
            <w:pPr>
              <w:spacing w:after="0" w:line="259" w:lineRule="auto"/>
            </w:pPr>
            <w:r>
              <w:rPr>
                <w:rFonts w:ascii="Calibri" w:hAnsi="Calibri"/>
                <w:b w:val="0"/>
                <w:sz w:val="19"/>
              </w:rPr>
              <w:t>Requires manual web-form sections for company details, employment, financials, upstream transit, IRU, GIX peering, bandwidth usage, subscribers, retail packages, PoPs, backhaul frequencies, towers, VSAT hubs, tariffs, and comments. Supporting document upload is V2; V1 only supports KMZ upload where explicitly required.</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Infrastructure_Tower_Operator_Annual.pdf</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DC-ITC04 Infrastructure Tower Companies</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3240"/>
            <w:tcMar>
              <w:top w:w="80" w:type="dxa"/>
              <w:bottom w:w="80" w:type="dxa"/>
              <w:start w:w="120" w:type="dxa"/>
              <w:end w:w="120" w:type="dxa"/>
            </w:tcMar>
            <w:vAlign w:val="center"/>
          </w:tcPr>
          <w:p>
            <w:pPr>
              <w:spacing w:after="0" w:line="259" w:lineRule="auto"/>
            </w:pPr>
            <w:r>
              <w:rPr>
                <w:rFonts w:ascii="Calibri" w:hAnsi="Calibri"/>
                <w:b w:val="0"/>
                <w:sz w:val="19"/>
              </w:rPr>
              <w:t>Requires manual web-form sections for company, employment, financials, operational sites, on/off-grid power, owned/managed regional tower grids, tenant groups, permits, added towers, decommissioning, acquisitions, and declaration. General document attachments are V2.</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Infrastructure_Tower_Main_Annual.xlsx</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Infrastructure Main Companies Annual</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3240"/>
            <w:tcMar>
              <w:top w:w="80" w:type="dxa"/>
              <w:bottom w:w="80" w:type="dxa"/>
              <w:start w:w="120" w:type="dxa"/>
              <w:end w:w="120" w:type="dxa"/>
            </w:tcMar>
            <w:vAlign w:val="center"/>
          </w:tcPr>
          <w:p>
            <w:pPr>
              <w:spacing w:before="0" w:after="0" w:line="259" w:lineRule="auto"/>
            </w:pPr>
            <w:r>
              <w:rPr>
                <w:rFonts w:ascii="Calibri" w:hAnsi="Calibri"/>
                <w:color w:val="000000"/>
                <w:sz w:val="19"/>
              </w:rPr>
              <w:t>Requires structured regional grids for owned sites, owned average rent, managed sites, managed average rent, and decommissioned towers.</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Domestic_Submarine_Fibre_Annual.pdf</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DC-DBS05 Domestic/National Inland Fibre</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3240"/>
            <w:tcMar>
              <w:top w:w="80" w:type="dxa"/>
              <w:bottom w:w="80" w:type="dxa"/>
              <w:start w:w="120" w:type="dxa"/>
              <w:end w:w="120" w:type="dxa"/>
            </w:tcMar>
            <w:vAlign w:val="center"/>
          </w:tcPr>
          <w:p>
            <w:pPr>
              <w:spacing w:after="0" w:line="259" w:lineRule="auto"/>
            </w:pPr>
            <w:r>
              <w:rPr>
                <w:rFonts w:ascii="Calibri" w:hAnsi="Calibri"/>
                <w:b w:val="0"/>
                <w:sz w:val="19"/>
              </w:rPr>
              <w:t>Requires manual web-form sections for capacity, fibre length, leased cable, microwave, topology, last-mile deployment, FTTH regional distribution, regional fibre networks, fibre cuts, causes, repair cost/time, coverage, and declaration. V1 supports KMZ upload for route/topology evidence only.</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International_Submarine_Fibre_Annual.docx</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DC-SUB03 International Submarine Fibre</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3240"/>
            <w:tcMar>
              <w:top w:w="80" w:type="dxa"/>
              <w:bottom w:w="80" w:type="dxa"/>
              <w:start w:w="120" w:type="dxa"/>
              <w:end w:w="120" w:type="dxa"/>
            </w:tcMar>
            <w:vAlign w:val="center"/>
          </w:tcPr>
          <w:p>
            <w:pPr>
              <w:spacing w:after="0" w:line="259" w:lineRule="auto"/>
            </w:pPr>
            <w:r>
              <w:rPr>
                <w:rFonts w:ascii="Calibri" w:hAnsi="Calibri"/>
                <w:b w:val="0"/>
                <w:sz w:val="19"/>
              </w:rPr>
              <w:t>Requires manual web-form sections for cable metadata, Ghana and global capacity metrics, circuit costs, client categories, fibre cuts, comments, and declaration. Consortium lists, audited financials, and client/capacity document uploads are V2/external process unless converted into manual form fields.</w:t>
            </w:r>
          </w:p>
        </w:tc>
      </w:tr>
      <w:tr>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Deliverables for Data Portal_.docx</w:t>
            </w:r>
          </w:p>
        </w:tc>
        <w:tc>
          <w:tcPr>
            <w:tcW w:type="dxa" w:w="2232"/>
            <w:tcMar>
              <w:top w:w="80" w:type="dxa"/>
              <w:bottom w:w="80" w:type="dxa"/>
              <w:start w:w="120" w:type="dxa"/>
              <w:end w:w="120" w:type="dxa"/>
            </w:tcMar>
            <w:vAlign w:val="center"/>
          </w:tcPr>
          <w:p>
            <w:pPr>
              <w:spacing w:before="0" w:after="0" w:line="259" w:lineRule="auto"/>
            </w:pPr>
            <w:r>
              <w:rPr>
                <w:rFonts w:ascii="Calibri" w:hAnsi="Calibri"/>
                <w:color w:val="000000"/>
                <w:sz w:val="19"/>
              </w:rPr>
              <w:t>Earlier system requirements</w:t>
            </w:r>
          </w:p>
        </w:tc>
        <w:tc>
          <w:tcPr>
            <w:tcW w:type="dxa" w:w="1224"/>
            <w:tcMar>
              <w:top w:w="80" w:type="dxa"/>
              <w:bottom w:w="80" w:type="dxa"/>
              <w:start w:w="120" w:type="dxa"/>
              <w:end w:w="120" w:type="dxa"/>
            </w:tcMar>
            <w:vAlign w:val="center"/>
          </w:tcPr>
          <w:p>
            <w:pPr>
              <w:spacing w:before="0" w:after="0" w:line="259" w:lineRule="auto"/>
            </w:pPr>
            <w:r>
              <w:rPr>
                <w:rFonts w:ascii="Calibri" w:hAnsi="Calibri"/>
                <w:color w:val="000000"/>
                <w:sz w:val="19"/>
              </w:rPr>
              <w:t>Planning input</w:t>
            </w:r>
          </w:p>
        </w:tc>
        <w:tc>
          <w:tcPr>
            <w:tcW w:type="dxa" w:w="3240"/>
            <w:tcMar>
              <w:top w:w="80" w:type="dxa"/>
              <w:bottom w:w="80" w:type="dxa"/>
              <w:start w:w="120" w:type="dxa"/>
              <w:end w:w="120" w:type="dxa"/>
            </w:tcMar>
            <w:vAlign w:val="center"/>
          </w:tcPr>
          <w:p>
            <w:pPr>
              <w:spacing w:before="0" w:after="0" w:line="259" w:lineRule="auto"/>
            </w:pPr>
            <w:r>
              <w:rPr>
                <w:rFonts w:ascii="Calibri" w:hAnsi="Calibri"/>
                <w:color w:val="000000"/>
                <w:sz w:val="19"/>
              </w:rPr>
              <w:t>Includes broader analytics, API, Excel export, RSS, and intelligence features. This PRD classifies those as MVP or future to reduce development ambiguity.</w:t>
            </w:r>
          </w:p>
        </w:tc>
      </w:tr>
    </w:tbl>
    <w:p/>
    <w:p>
      <w:pPr>
        <w:pStyle w:val="Heading1"/>
        <w:spacing w:before="320" w:after="160" w:line="264" w:lineRule="auto"/>
      </w:pPr>
      <w:r>
        <w:t>4. MVP Goals and Non-Goals</w:t>
      </w:r>
    </w:p>
    <w:p>
      <w:pPr>
        <w:pStyle w:val="Heading2"/>
        <w:spacing w:before="240" w:after="120" w:line="264" w:lineRule="auto"/>
      </w:pPr>
      <w:r>
        <w:t>4.1 MVP Goals</w:t>
      </w:r>
    </w:p>
    <w:p>
      <w:pPr>
        <w:pStyle w:val="ListBullet"/>
        <w:spacing w:before="0" w:after="80" w:line="280" w:lineRule="auto"/>
      </w:pPr>
      <w:r>
        <w:t>Allow providers to complete assigned regulatory forms through a secure portal.</w:t>
      </w:r>
    </w:p>
    <w:p>
      <w:pPr>
        <w:pStyle w:val="ListBullet"/>
        <w:spacing w:before="0" w:after="80" w:line="280" w:lineRule="auto"/>
      </w:pPr>
      <w:r>
        <w:t>Support annual and monthly reporting periods with configurable opening dates, due dates, reminders, and form assignments.</w:t>
      </w:r>
    </w:p>
    <w:p>
      <w:pPr>
        <w:pStyle w:val="ListBullet"/>
        <w:spacing w:before="0" w:after="80" w:line="280" w:lineRule="auto"/>
      </w:pPr>
      <w:r>
        <w:t>Allow providers to manually enter data, save transactional section snapshots, pass validation, route a draft to their own Provider Approver, upload private evidence where allowed, and receive portal confirmation.</w:t>
      </w:r>
    </w:p>
    <w:p>
      <w:pPr>
        <w:pStyle w:val="ListBullet"/>
        <w:spacing w:before="0" w:after="80" w:line="280" w:lineRule="auto"/>
      </w:pPr>
      <w:r>
        <w:t>Allow NCA reviewers to inspect the submission's exact immutable form version, scalar and grid values, clean uploads, statuses, explanations, validation evidence, Section 11 coverage, timeline and correction comparisons.</w:t>
      </w:r>
    </w:p>
    <w:p>
      <w:pPr>
        <w:pStyle w:val="ListBullet"/>
        <w:spacing w:before="0" w:after="80" w:line="280" w:lineRule="auto"/>
      </w:pPr>
      <w:r>
        <w:t>Allow privileged NCA staff to identify overdue or incomplete submissions, generate approved message drafts/queue entries and preserve the compliance trail. Live sending is not required for this release.</w:t>
      </w:r>
    </w:p>
    <w:p>
      <w:pPr>
        <w:pStyle w:val="ListBullet"/>
        <w:spacing w:before="0" w:after="80" w:line="280" w:lineRule="auto"/>
      </w:pPr>
      <w:r>
        <w:t>Support approved-only operational CSV/PDF, data-request CSV/XLSX/PDF artifacts, and aggregate-only dashboard XLSX with authenticated audited delivery.</w:t>
      </w:r>
    </w:p>
    <w:p>
      <w:pPr>
        <w:pStyle w:val="ListBullet"/>
        <w:spacing w:before="0" w:after="80" w:line="280" w:lineRule="auto"/>
      </w:pPr>
      <w:r>
        <w:t>Maintain hash-chained audit evidence for authentication, configuration, workflow, validation, upload/scan/download, compliance, support, export, governance and recovery actions.</w:t>
      </w:r>
    </w:p>
    <w:p>
      <w:pPr>
        <w:pStyle w:val="ListBullet"/>
        <w:spacing w:before="0" w:after="80" w:line="280" w:lineRule="auto"/>
      </w:pPr>
      <w:r>
        <w:t>Distinguish blank, missing, not applicable, not available, and pending-clarification field states.</w:t>
      </w:r>
    </w:p>
    <w:p>
      <w:pPr>
        <w:pStyle w:val="Heading2"/>
        <w:spacing w:before="240" w:after="120" w:line="264" w:lineRule="auto"/>
      </w:pPr>
      <w:r>
        <w:t>4.2 Out of Scope for MVP</w:t>
      </w:r>
    </w:p>
    <w:p>
      <w:pPr>
        <w:pStyle w:val="ListBullet"/>
        <w:spacing w:before="0" w:after="80" w:line="280" w:lineRule="auto"/>
      </w:pPr>
      <w:r>
        <w:t>Advanced intelligence, AI anomaly detection and executive analytics beyond the delivered aggregate Industry Dashboard and operational metrics.</w:t>
      </w:r>
    </w:p>
    <w:p>
      <w:pPr>
        <w:pStyle w:val="ListBullet"/>
        <w:spacing w:before="0" w:after="80" w:line="280" w:lineRule="auto"/>
      </w:pPr>
      <w:r>
        <w:t>AI anomaly detection, automated data quality profiling, or provider performance scoring.</w:t>
      </w:r>
    </w:p>
    <w:p>
      <w:pPr>
        <w:pStyle w:val="ListBullet"/>
        <w:spacing w:before="0" w:after="80" w:line="280" w:lineRule="auto"/>
      </w:pPr>
      <w:r>
        <w:t>GIS map rendering or interactive KMZ visualization.</w:t>
      </w:r>
    </w:p>
    <w:p>
      <w:pPr>
        <w:pStyle w:val="ListBullet"/>
        <w:spacing w:before="0" w:after="80" w:line="280" w:lineRule="auto"/>
      </w:pPr>
      <w:r>
        <w:t>Full API ingestion from providers or external systems.</w:t>
      </w:r>
    </w:p>
    <w:p>
      <w:pPr>
        <w:pStyle w:val="ListBullet"/>
        <w:spacing w:before="0" w:after="80" w:line="280" w:lineRule="auto"/>
      </w:pPr>
      <w:r>
        <w:t>RSS feeds.</w:t>
      </w:r>
    </w:p>
    <w:p>
      <w:pPr>
        <w:pStyle w:val="ListBullet"/>
        <w:spacing w:before="0" w:after="80" w:line="280" w:lineRule="auto"/>
      </w:pPr>
      <w:r>
        <w:t>Provider/raw Excel import remains out of scope. The delivered aggregate dashboard XLSX, approved request XLSX and secured Excel backup extension are explicitly governed exceptions.</w:t>
      </w:r>
    </w:p>
    <w:p>
      <w:pPr>
        <w:pStyle w:val="ListBullet"/>
        <w:spacing w:before="0" w:after="80" w:line="280" w:lineRule="auto"/>
      </w:pPr>
      <w:r>
        <w:t>Automated penalty calculation or enforcement.</w:t>
      </w:r>
    </w:p>
    <w:p>
      <w:pPr>
        <w:pStyle w:val="ListBullet"/>
        <w:spacing w:before="0" w:after="80" w:line="280" w:lineRule="auto"/>
      </w:pPr>
      <w:r>
        <w:t>Public or unauthenticated dashboards and disclosure of source workbooks/provider-level dashboard rows.</w:t>
      </w:r>
    </w:p>
    <w:p>
      <w:pPr>
        <w:pStyle w:val="ListBullet"/>
        <w:spacing w:before="0" w:after="80" w:line="280" w:lineRule="auto"/>
      </w:pPr>
      <w:r>
        <w:t>Complex custom report designer.</w:t>
      </w:r>
    </w:p>
    <w:p>
      <w:pPr>
        <w:pStyle w:val="ListBullet"/>
        <w:spacing w:before="0" w:after="80" w:line="280" w:lineRule="auto"/>
      </w:pPr>
      <w:r>
        <w:t>Mobile app, offline data entry, or real-time collaborative editing inside forms.</w:t>
      </w:r>
    </w:p>
    <w:p>
      <w:pPr>
        <w:pStyle w:val="Heading1"/>
        <w:spacing w:before="320" w:after="160" w:line="264" w:lineRule="auto"/>
      </w:pPr>
      <w:r>
        <w:t>5. User Roles and Permissions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08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Role</w:t>
            </w:r>
          </w:p>
        </w:tc>
        <w:tc>
          <w:tcPr>
            <w:tcW w:type="dxa" w:w="4392"/>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Primary permissions</w:t>
            </w:r>
          </w:p>
        </w:tc>
        <w:tc>
          <w:tcPr>
            <w:tcW w:type="dxa" w:w="266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Key restrictions</w:t>
            </w:r>
          </w:p>
        </w:tc>
      </w:tr>
      <w:tr>
        <w:tc>
          <w:tcPr>
            <w:tcW w:type="dxa" w:w="3120"/>
          </w:tcPr>
          <w:p>
            <w:pPr>
              <w:spacing w:after="0"/>
            </w:pPr>
            <w:r>
              <w:t>NCA Admin</w:t>
            </w:r>
          </w:p>
        </w:tc>
        <w:tc>
          <w:tcPr>
            <w:tcW w:type="dxa" w:w="3120"/>
          </w:tcPr>
          <w:p>
            <w:pPr>
              <w:spacing w:after="0"/>
            </w:pPr>
            <w:r>
              <w:t>Complete system access: users/divisions, providers, form versions and publication, assignments, periods, submissions, compliance, exports, governance, support, audit and Data Requests/artifacts.</w:t>
            </w:r>
          </w:p>
        </w:tc>
        <w:tc>
          <w:tcPr>
            <w:tcW w:type="dxa" w:w="3120"/>
          </w:tcPr>
          <w:p>
            <w:pPr>
              <w:spacing w:after="0"/>
            </w:pPr>
            <w:r>
              <w:t>Cannot act as a provider user; high-risk actions remain audited and subject to readiness gates.</w:t>
            </w:r>
          </w:p>
        </w:tc>
      </w:tr>
      <w:tr>
        <w:tc>
          <w:tcPr>
            <w:tcW w:type="dxa" w:w="3120"/>
          </w:tcPr>
          <w:p>
            <w:pPr>
              <w:spacing w:after="0"/>
            </w:pPr>
            <w:r>
              <w:t>NCA Officer</w:t>
            </w:r>
          </w:p>
        </w:tc>
        <w:tc>
          <w:tcPr>
            <w:tcW w:type="dxa" w:w="3120"/>
          </w:tcPr>
          <w:p>
            <w:pPr>
              <w:spacing w:after="0"/>
            </w:pPr>
            <w:r>
              <w:t>Operational Admin parity for forms, providers, assignments, periods, review, compliance, exports, dashboard configuration, governance, audit and support.</w:t>
            </w:r>
          </w:p>
        </w:tc>
        <w:tc>
          <w:tcPr>
            <w:tcW w:type="dxa" w:w="3120"/>
          </w:tcPr>
          <w:p>
            <w:pPr>
              <w:spacing w:after="0"/>
            </w:pPr>
            <w:r>
              <w:t>No Users/division/account management and no Data Request queue, decisions or artifacts.</w:t>
            </w:r>
          </w:p>
        </w:tc>
      </w:tr>
      <w:tr>
        <w:tc>
          <w:tcPr>
            <w:tcW w:type="dxa" w:w="3120"/>
          </w:tcPr>
          <w:p>
            <w:pPr>
              <w:spacing w:after="0"/>
            </w:pPr>
            <w:r>
              <w:t>Provider Data Entry</w:t>
            </w:r>
          </w:p>
        </w:tc>
        <w:tc>
          <w:tcPr>
            <w:tcW w:type="dxa" w:w="3120"/>
          </w:tcPr>
          <w:p>
            <w:pPr>
              <w:spacing w:after="0"/>
            </w:pPr>
            <w:r>
              <w:t>Shared own-organization work queue, draft scalar/grid snapshots, optimistic autosave/manual save, targeted provider correction/resubmission, read-only compliance details and technical support history.</w:t>
            </w:r>
          </w:p>
        </w:tc>
        <w:tc>
          <w:tcPr>
            <w:tcW w:type="dxa" w:w="3120"/>
          </w:tcPr>
          <w:p>
            <w:pPr>
              <w:spacing w:after="0"/>
            </w:pPr>
            <w:r>
              <w:t>Cannot edit Approver/NCA-owned stages, officially submit to NCA, see another provider, or use compliance/general contact actions.</w:t>
            </w:r>
          </w:p>
        </w:tc>
      </w:tr>
      <w:tr>
        <w:tc>
          <w:tcPr>
            <w:tcW w:type="dxa" w:w="3120"/>
          </w:tcPr>
          <w:p>
            <w:pPr>
              <w:spacing w:after="0"/>
            </w:pPr>
            <w:r>
              <w:t>Provider Approver</w:t>
            </w:r>
          </w:p>
        </w:tc>
        <w:tc>
          <w:tcPr>
            <w:tcW w:type="dxa" w:w="3120"/>
          </w:tcPr>
          <w:p>
            <w:pPr>
              <w:spacing w:after="0"/>
            </w:pPr>
            <w:r>
              <w:t>Server-calculated approval/NCA-correction queues; exact-version review; permitted field/grid/private-file editing; targeted returns; attested official submission; receipts, compliance contact and technical support.</w:t>
            </w:r>
          </w:p>
        </w:tc>
        <w:tc>
          <w:tcPr>
            <w:tcW w:type="dxa" w:w="3120"/>
          </w:tcPr>
          <w:p>
            <w:pPr>
              <w:spacing w:after="0"/>
            </w:pPr>
            <w:r>
              <w:t>Cannot edit ordinary Data Entry drafts, perform NCA review, access internal exports/user administration or cross-provider records.</w:t>
            </w:r>
          </w:p>
        </w:tc>
      </w:tr>
      <w:tr>
        <w:tc>
          <w:tcPr>
            <w:tcW w:type="dxa" w:w="3120"/>
          </w:tcPr>
          <w:p>
            <w:pPr>
              <w:spacing w:after="0"/>
            </w:pPr>
            <w:r>
              <w:t>NCA Data Requester</w:t>
            </w:r>
          </w:p>
        </w:tc>
        <w:tc>
          <w:tcPr>
            <w:tcW w:type="dxa" w:w="3120"/>
          </w:tcPr>
          <w:p>
            <w:pPr>
              <w:spacing w:after="0"/>
            </w:pPr>
            <w:r>
              <w:t>Metadata-only catalog, own requests, portal notifications and authenticated released-artifact download; named account with managed division and required grade.</w:t>
            </w:r>
          </w:p>
        </w:tc>
        <w:tc>
          <w:tcPr>
            <w:tcW w:type="dxa" w:w="3120"/>
          </w:tcPr>
          <w:p>
            <w:pPr>
              <w:spacing w:after="0"/>
            </w:pPr>
            <w:r>
              <w:t>No operational submissions, providers, compliance, periods, raw exports, dashboard source/detail or another requester's records.</w:t>
            </w:r>
          </w:p>
        </w:tc>
      </w:tr>
    </w:tbl>
    <w:p/>
    <w:p>
      <w:pPr>
        <w:pStyle w:val="Heading1"/>
        <w:spacing w:before="320" w:after="160" w:line="264" w:lineRule="auto"/>
      </w:pPr>
      <w:r>
        <w:t>6. Collection Inventory for MVP</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58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Form code</w:t>
            </w:r>
          </w:p>
        </w:tc>
        <w:tc>
          <w:tcPr>
            <w:tcW w:type="dxa" w:w="244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Form name</w:t>
            </w:r>
          </w:p>
        </w:tc>
        <w:tc>
          <w:tcPr>
            <w:tcW w:type="dxa" w:w="1152"/>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Frequency</w:t>
            </w:r>
          </w:p>
        </w:tc>
        <w:tc>
          <w:tcPr>
            <w:tcW w:type="dxa" w:w="194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Pilot readiness</w:t>
            </w:r>
          </w:p>
        </w:tc>
        <w:tc>
          <w:tcPr>
            <w:tcW w:type="dxa" w:w="201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Notes</w:t>
            </w:r>
          </w:p>
        </w:tc>
      </w:tr>
      <w:tr>
        <w:tc>
          <w:tcPr>
            <w:tcW w:type="dxa" w:w="1584"/>
            <w:tcMar>
              <w:top w:w="80" w:type="dxa"/>
              <w:bottom w:w="80" w:type="dxa"/>
              <w:start w:w="120" w:type="dxa"/>
              <w:end w:w="120" w:type="dxa"/>
            </w:tcMar>
            <w:vAlign w:val="center"/>
          </w:tcPr>
          <w:p>
            <w:pPr>
              <w:spacing w:before="0" w:after="0" w:line="259" w:lineRule="auto"/>
            </w:pPr>
            <w:r>
              <w:rPr>
                <w:rFonts w:ascii="Calibri" w:hAnsi="Calibri"/>
                <w:color w:val="000000"/>
                <w:sz w:val="19"/>
              </w:rPr>
              <w:t>MNO-MONTHLY</w:t>
            </w:r>
          </w:p>
        </w:tc>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Analysis Sheet / MNO Monthly</w:t>
            </w:r>
          </w:p>
        </w:tc>
        <w:tc>
          <w:tcPr>
            <w:tcW w:type="dxa" w:w="1152"/>
            <w:tcMar>
              <w:top w:w="80" w:type="dxa"/>
              <w:bottom w:w="80" w:type="dxa"/>
              <w:start w:w="120" w:type="dxa"/>
              <w:end w:w="120" w:type="dxa"/>
            </w:tcMar>
            <w:vAlign w:val="center"/>
          </w:tcPr>
          <w:p>
            <w:pPr>
              <w:spacing w:before="0" w:after="0" w:line="259" w:lineRule="auto"/>
            </w:pPr>
            <w:r>
              <w:rPr>
                <w:rFonts w:ascii="Calibri" w:hAnsi="Calibri"/>
                <w:color w:val="000000"/>
                <w:sz w:val="19"/>
              </w:rPr>
              <w:t>Monthly</w:t>
            </w:r>
          </w:p>
        </w:tc>
        <w:tc>
          <w:tcPr>
            <w:tcW w:type="dxa" w:w="1944"/>
            <w:tcMar>
              <w:top w:w="80" w:type="dxa"/>
              <w:bottom w:w="80" w:type="dxa"/>
              <w:start w:w="120" w:type="dxa"/>
              <w:end w:w="120" w:type="dxa"/>
            </w:tcMar>
            <w:vAlign w:val="center"/>
          </w:tcPr>
          <w:p>
            <w:r>
              <w:t>Corrected PRD-derived immutable version 3.0</w:t>
            </w:r>
          </w:p>
        </w:tc>
        <w:tc>
          <w:tcPr>
            <w:tcW w:type="dxa" w:w="2016"/>
            <w:tcMar>
              <w:top w:w="80" w:type="dxa"/>
              <w:bottom w:w="80" w:type="dxa"/>
              <w:start w:w="120" w:type="dxa"/>
              <w:end w:w="120" w:type="dxa"/>
            </w:tcMar>
            <w:vAlign w:val="center"/>
          </w:tcPr>
          <w:p>
            <w:pPr>
              <w:spacing w:after="0" w:line="259" w:lineRule="auto"/>
            </w:pPr>
            <w:r>
              <w:rPr>
                <w:rFonts w:ascii="Calibri" w:hAnsi="Calibri"/>
                <w:sz w:val="19"/>
              </w:rPr>
              <w:t>Monthly manual web form with operator/contact details, industry subscriptions, device/user categories, phone brand counts, market/consumer behavior, network parameters, SMS, pricing/ARPU, domestic and international voice traffic, roaming, West Africa and top-country traffic, OTT usage, and mobile money metrics.</w:t>
            </w:r>
          </w:p>
        </w:tc>
      </w:tr>
      <w:tr>
        <w:tc>
          <w:tcPr>
            <w:tcW w:type="dxa" w:w="1584"/>
            <w:tcMar>
              <w:top w:w="80" w:type="dxa"/>
              <w:bottom w:w="80" w:type="dxa"/>
              <w:start w:w="120" w:type="dxa"/>
              <w:end w:w="120" w:type="dxa"/>
            </w:tcMar>
            <w:vAlign w:val="center"/>
          </w:tcPr>
          <w:p>
            <w:pPr>
              <w:spacing w:after="0" w:line="259" w:lineRule="auto"/>
            </w:pPr>
            <w:r>
              <w:rPr>
                <w:rFonts w:ascii="Calibri" w:hAnsi="Calibri"/>
                <w:b w:val="0"/>
                <w:sz w:val="19"/>
              </w:rPr>
              <w:t>DC-TB02</w:t>
            </w:r>
          </w:p>
        </w:tc>
        <w:tc>
          <w:tcPr>
            <w:tcW w:type="dxa" w:w="2448"/>
            <w:tcMar>
              <w:top w:w="80" w:type="dxa"/>
              <w:bottom w:w="80" w:type="dxa"/>
              <w:start w:w="120" w:type="dxa"/>
              <w:end w:w="120" w:type="dxa"/>
            </w:tcMar>
            <w:vAlign w:val="center"/>
          </w:tcPr>
          <w:p>
            <w:pPr>
              <w:spacing w:after="0" w:line="259" w:lineRule="auto"/>
            </w:pPr>
            <w:r>
              <w:rPr>
                <w:rFonts w:ascii="Calibri" w:hAnsi="Calibri"/>
                <w:b w:val="0"/>
                <w:sz w:val="19"/>
              </w:rPr>
              <w:t>Pay Television Broadcasting</w:t>
            </w:r>
          </w:p>
        </w:tc>
        <w:tc>
          <w:tcPr>
            <w:tcW w:type="dxa" w:w="1152"/>
            <w:tcMar>
              <w:top w:w="80" w:type="dxa"/>
              <w:bottom w:w="80" w:type="dxa"/>
              <w:start w:w="120" w:type="dxa"/>
              <w:end w:w="120" w:type="dxa"/>
            </w:tcMar>
            <w:vAlign w:val="center"/>
          </w:tcPr>
          <w:p>
            <w:pPr>
              <w:spacing w:after="0" w:line="259" w:lineRule="auto"/>
            </w:pPr>
            <w:r>
              <w:rPr>
                <w:rFonts w:ascii="Calibri" w:hAnsi="Calibri"/>
                <w:b w:val="0"/>
                <w:sz w:val="19"/>
              </w:rPr>
              <w:t>Annual</w:t>
            </w:r>
          </w:p>
        </w:tc>
        <w:tc>
          <w:tcPr>
            <w:tcW w:type="dxa" w:w="1944"/>
            <w:tcMar>
              <w:top w:w="80" w:type="dxa"/>
              <w:bottom w:w="80" w:type="dxa"/>
              <w:start w:w="120" w:type="dxa"/>
              <w:end w:w="120" w:type="dxa"/>
            </w:tcMar>
            <w:vAlign w:val="center"/>
          </w:tcPr>
          <w:p>
            <w:r>
              <w:t>Corrected PRD-derived immutable version 3.0</w:t>
            </w:r>
          </w:p>
        </w:tc>
        <w:tc>
          <w:tcPr>
            <w:tcW w:type="dxa" w:w="2016"/>
            <w:tcMar>
              <w:top w:w="80" w:type="dxa"/>
              <w:bottom w:w="80" w:type="dxa"/>
              <w:start w:w="120" w:type="dxa"/>
              <w:end w:w="120" w:type="dxa"/>
            </w:tcMar>
            <w:vAlign w:val="center"/>
          </w:tcPr>
          <w:p>
            <w:pPr>
              <w:spacing w:after="0" w:line="259" w:lineRule="auto"/>
            </w:pPr>
            <w:r>
              <w:rPr>
                <w:rFonts w:ascii="Calibri" w:hAnsi="Calibri"/>
                <w:b w:val="0"/>
                <w:sz w:val="19"/>
              </w:rPr>
              <w:t>Annual manual web form with company details, affiliations, employment, financials, subscriptions, bouquets, installation/decoder/monthly tariffs, Pay-TV dealers by region, channel counts, satellite services, comments, and declaration. Audited financial statement upload is V2/external process.</w:t>
            </w:r>
          </w:p>
        </w:tc>
      </w:tr>
      <w:tr>
        <w:tc>
          <w:tcPr>
            <w:tcW w:type="dxa" w:w="1584"/>
            <w:tcMar>
              <w:top w:w="80" w:type="dxa"/>
              <w:bottom w:w="80" w:type="dxa"/>
              <w:start w:w="120" w:type="dxa"/>
              <w:end w:w="120" w:type="dxa"/>
            </w:tcMar>
            <w:vAlign w:val="center"/>
          </w:tcPr>
          <w:p>
            <w:pPr>
              <w:spacing w:before="0" w:after="0" w:line="259" w:lineRule="auto"/>
            </w:pPr>
            <w:r>
              <w:rPr>
                <w:rFonts w:ascii="Calibri" w:hAnsi="Calibri"/>
                <w:color w:val="000000"/>
                <w:sz w:val="19"/>
              </w:rPr>
              <w:t>DC-ISP06</w:t>
            </w:r>
          </w:p>
        </w:tc>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Internet / Public Data Service Providers</w:t>
            </w:r>
          </w:p>
        </w:tc>
        <w:tc>
          <w:tcPr>
            <w:tcW w:type="dxa" w:w="1152"/>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1944"/>
            <w:tcMar>
              <w:top w:w="80" w:type="dxa"/>
              <w:bottom w:w="80" w:type="dxa"/>
              <w:start w:w="120" w:type="dxa"/>
              <w:end w:w="120" w:type="dxa"/>
            </w:tcMar>
            <w:vAlign w:val="center"/>
          </w:tcPr>
          <w:p>
            <w:r>
              <w:t>Corrected PRD-derived immutable version 3.0</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Annual form with large technical, subscriber, tariff, and network sections.</w:t>
            </w:r>
          </w:p>
        </w:tc>
      </w:tr>
      <w:tr>
        <w:tc>
          <w:tcPr>
            <w:tcW w:type="dxa" w:w="1584"/>
            <w:tcMar>
              <w:top w:w="80" w:type="dxa"/>
              <w:bottom w:w="80" w:type="dxa"/>
              <w:start w:w="120" w:type="dxa"/>
              <w:end w:w="120" w:type="dxa"/>
            </w:tcMar>
            <w:vAlign w:val="center"/>
          </w:tcPr>
          <w:p>
            <w:pPr>
              <w:spacing w:before="0" w:after="0" w:line="259" w:lineRule="auto"/>
            </w:pPr>
            <w:r>
              <w:rPr>
                <w:rFonts w:ascii="Calibri" w:hAnsi="Calibri"/>
                <w:color w:val="000000"/>
                <w:sz w:val="19"/>
              </w:rPr>
              <w:t>DC-ITC04</w:t>
            </w:r>
          </w:p>
        </w:tc>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Infrastructure Tower Companies</w:t>
            </w:r>
          </w:p>
        </w:tc>
        <w:tc>
          <w:tcPr>
            <w:tcW w:type="dxa" w:w="1152"/>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1944"/>
            <w:tcMar>
              <w:top w:w="80" w:type="dxa"/>
              <w:bottom w:w="80" w:type="dxa"/>
              <w:start w:w="120" w:type="dxa"/>
              <w:end w:w="120" w:type="dxa"/>
            </w:tcMar>
            <w:vAlign w:val="center"/>
          </w:tcPr>
          <w:p>
            <w:r>
              <w:t>Corrected PRD-derived immutable version 3.0</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Annual form with regional tower, tenant, permit, addition, decommission, and acquisition tables.</w:t>
            </w:r>
          </w:p>
        </w:tc>
      </w:tr>
      <w:tr>
        <w:tc>
          <w:tcPr>
            <w:tcW w:type="dxa" w:w="1584"/>
            <w:tcMar>
              <w:top w:w="80" w:type="dxa"/>
              <w:bottom w:w="80" w:type="dxa"/>
              <w:start w:w="120" w:type="dxa"/>
              <w:end w:w="120" w:type="dxa"/>
            </w:tcMar>
            <w:vAlign w:val="center"/>
          </w:tcPr>
          <w:p>
            <w:pPr>
              <w:spacing w:before="0" w:after="0" w:line="259" w:lineRule="auto"/>
            </w:pPr>
            <w:r>
              <w:rPr>
                <w:rFonts w:ascii="Calibri" w:hAnsi="Calibri"/>
                <w:color w:val="000000"/>
                <w:sz w:val="19"/>
              </w:rPr>
              <w:t>TOWER-MAIN-ANNUAL</w:t>
            </w:r>
          </w:p>
        </w:tc>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Infrastructure Main Companies Annual</w:t>
            </w:r>
          </w:p>
        </w:tc>
        <w:tc>
          <w:tcPr>
            <w:tcW w:type="dxa" w:w="1152"/>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1944"/>
            <w:tcMar>
              <w:top w:w="80" w:type="dxa"/>
              <w:bottom w:w="80" w:type="dxa"/>
              <w:start w:w="120" w:type="dxa"/>
              <w:end w:w="120" w:type="dxa"/>
            </w:tcMar>
            <w:vAlign w:val="center"/>
          </w:tcPr>
          <w:p>
            <w:r>
              <w:t>Corrected PRD-derived immutable version 2.0; code remains visibly provisional</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Form code to confirm. Workbook includes owned/managed site and rent grids.</w:t>
            </w:r>
          </w:p>
        </w:tc>
      </w:tr>
      <w:tr>
        <w:tc>
          <w:tcPr>
            <w:tcW w:type="dxa" w:w="1584"/>
            <w:tcMar>
              <w:top w:w="80" w:type="dxa"/>
              <w:bottom w:w="80" w:type="dxa"/>
              <w:start w:w="120" w:type="dxa"/>
              <w:end w:w="120" w:type="dxa"/>
            </w:tcMar>
            <w:vAlign w:val="center"/>
          </w:tcPr>
          <w:p>
            <w:pPr>
              <w:spacing w:before="0" w:after="0" w:line="259" w:lineRule="auto"/>
            </w:pPr>
            <w:r>
              <w:rPr>
                <w:rFonts w:ascii="Calibri" w:hAnsi="Calibri"/>
                <w:color w:val="000000"/>
                <w:sz w:val="19"/>
              </w:rPr>
              <w:t>DC-DBS05</w:t>
            </w:r>
          </w:p>
        </w:tc>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Domestic / National Inland Fibre</w:t>
            </w:r>
          </w:p>
        </w:tc>
        <w:tc>
          <w:tcPr>
            <w:tcW w:type="dxa" w:w="1152"/>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1944"/>
            <w:tcMar>
              <w:top w:w="80" w:type="dxa"/>
              <w:bottom w:w="80" w:type="dxa"/>
              <w:start w:w="120" w:type="dxa"/>
              <w:end w:w="120" w:type="dxa"/>
            </w:tcMar>
            <w:vAlign w:val="center"/>
          </w:tcPr>
          <w:p>
            <w:r>
              <w:t>Corrected PRD-derived immutable version 2.0; topology KMZ required</w:t>
            </w:r>
          </w:p>
        </w:tc>
        <w:tc>
          <w:tcPr>
            <w:tcW w:type="dxa" w:w="2016"/>
            <w:tcMar>
              <w:top w:w="80" w:type="dxa"/>
              <w:bottom w:w="80" w:type="dxa"/>
              <w:start w:w="120" w:type="dxa"/>
              <w:end w:w="120" w:type="dxa"/>
            </w:tcMar>
            <w:vAlign w:val="center"/>
          </w:tcPr>
          <w:p>
            <w:r>
              <w:t>Annual manual fibre and network infrastructure form with regional grids and KMZ upload support for route/topology evidence where required. This is the only corrected form that requires topology KMZ.</w:t>
            </w:r>
          </w:p>
        </w:tc>
      </w:tr>
      <w:tr>
        <w:tc>
          <w:tcPr>
            <w:tcW w:type="dxa" w:w="1584"/>
            <w:tcMar>
              <w:top w:w="80" w:type="dxa"/>
              <w:bottom w:w="80" w:type="dxa"/>
              <w:start w:w="120" w:type="dxa"/>
              <w:end w:w="120" w:type="dxa"/>
            </w:tcMar>
            <w:vAlign w:val="center"/>
          </w:tcPr>
          <w:p>
            <w:pPr>
              <w:spacing w:before="0" w:after="0" w:line="259" w:lineRule="auto"/>
            </w:pPr>
            <w:r>
              <w:rPr>
                <w:rFonts w:ascii="Calibri" w:hAnsi="Calibri"/>
                <w:color w:val="000000"/>
                <w:sz w:val="19"/>
              </w:rPr>
              <w:t>DC-SUB03</w:t>
            </w:r>
          </w:p>
        </w:tc>
        <w:tc>
          <w:tcPr>
            <w:tcW w:type="dxa" w:w="2448"/>
            <w:tcMar>
              <w:top w:w="80" w:type="dxa"/>
              <w:bottom w:w="80" w:type="dxa"/>
              <w:start w:w="120" w:type="dxa"/>
              <w:end w:w="120" w:type="dxa"/>
            </w:tcMar>
            <w:vAlign w:val="center"/>
          </w:tcPr>
          <w:p>
            <w:pPr>
              <w:spacing w:before="0" w:after="0" w:line="259" w:lineRule="auto"/>
            </w:pPr>
            <w:r>
              <w:rPr>
                <w:rFonts w:ascii="Calibri" w:hAnsi="Calibri"/>
                <w:color w:val="000000"/>
                <w:sz w:val="19"/>
              </w:rPr>
              <w:t>International Submarine Fibre</w:t>
            </w:r>
          </w:p>
        </w:tc>
        <w:tc>
          <w:tcPr>
            <w:tcW w:type="dxa" w:w="1152"/>
            <w:tcMar>
              <w:top w:w="80" w:type="dxa"/>
              <w:bottom w:w="80" w:type="dxa"/>
              <w:start w:w="120" w:type="dxa"/>
              <w:end w:w="120" w:type="dxa"/>
            </w:tcMar>
            <w:vAlign w:val="center"/>
          </w:tcPr>
          <w:p>
            <w:pPr>
              <w:spacing w:before="0" w:after="0" w:line="259" w:lineRule="auto"/>
            </w:pPr>
            <w:r>
              <w:rPr>
                <w:rFonts w:ascii="Calibri" w:hAnsi="Calibri"/>
                <w:color w:val="000000"/>
                <w:sz w:val="19"/>
              </w:rPr>
              <w:t>Annual</w:t>
            </w:r>
          </w:p>
        </w:tc>
        <w:tc>
          <w:tcPr>
            <w:tcW w:type="dxa" w:w="1944"/>
            <w:tcMar>
              <w:top w:w="80" w:type="dxa"/>
              <w:bottom w:w="80" w:type="dxa"/>
              <w:start w:w="120" w:type="dxa"/>
              <w:end w:w="120" w:type="dxa"/>
            </w:tcMar>
            <w:vAlign w:val="center"/>
          </w:tcPr>
          <w:p>
            <w:r>
              <w:t>Corrected PRD-derived immutable version 2.0; no KMZ requirement</w:t>
            </w:r>
          </w:p>
        </w:tc>
        <w:tc>
          <w:tcPr>
            <w:tcW w:type="dxa" w:w="2016"/>
            <w:tcMar>
              <w:top w:w="80" w:type="dxa"/>
              <w:bottom w:w="80" w:type="dxa"/>
              <w:start w:w="120" w:type="dxa"/>
              <w:end w:w="120" w:type="dxa"/>
            </w:tcMar>
            <w:vAlign w:val="center"/>
          </w:tcPr>
          <w:p>
            <w:r>
              <w:t>Separate global and Ghana capacity metrics, client categories, fibre-cut events, checklist, comments and declaration. Future source attachments are non-KMZ and remain deferred.</w:t>
            </w:r>
          </w:p>
        </w:tc>
      </w:tr>
    </w:tbl>
    <w:p/>
    <w:p>
      <w:pPr>
        <w:pStyle w:val="Heading1"/>
        <w:spacing w:before="320" w:after="160" w:line="264" w:lineRule="auto"/>
      </w:pPr>
      <w:r>
        <w:t>7. Functional Requirements</w:t>
      </w:r>
    </w:p>
    <w:p>
      <w:pPr>
        <w:pStyle w:val="Heading2"/>
        <w:spacing w:before="240" w:after="120" w:line="264" w:lineRule="auto"/>
      </w:pPr>
      <w:r>
        <w:t>7.1 Authentication and Access Control</w:t>
      </w:r>
    </w:p>
    <w:p>
      <w:pPr>
        <w:pStyle w:val="ListBullet"/>
        <w:spacing w:before="0" w:after="80" w:line="280" w:lineRule="auto"/>
      </w:pPr>
      <w:r>
        <w:t>All users must log in before accessing the system.</w:t>
      </w:r>
    </w:p>
    <w:p>
      <w:pPr>
        <w:pStyle w:val="ListBullet"/>
        <w:spacing w:before="0" w:after="80" w:line="280" w:lineRule="auto"/>
      </w:pPr>
      <w:r>
        <w:t>Role-based permissions must control features, submission visibility, exports, review actions, and administrative configuration.</w:t>
      </w:r>
    </w:p>
    <w:p>
      <w:pPr>
        <w:pStyle w:val="ListBullet"/>
        <w:spacing w:before="0" w:after="80" w:line="280" w:lineRule="auto"/>
      </w:pPr>
      <w:r>
        <w:t>Provider users must only see their own organization's forms, drafts, KMZ uploads, submissions, and history.</w:t>
      </w:r>
    </w:p>
    <w:p>
      <w:pPr>
        <w:pStyle w:val="ListBullet"/>
        <w:spacing w:before="0" w:after="80" w:line="280" w:lineRule="auto"/>
      </w:pPr>
      <w:r>
        <w:t>NCA Officer is a distinct stored role with operational Admin parity except Users/divisions and Data Requests. Requesters use named individual accounts with a managed division and required grade.</w:t>
      </w:r>
    </w:p>
    <w:p>
      <w:pPr>
        <w:pStyle w:val="ListBullet"/>
        <w:spacing w:before="0" w:after="80" w:line="280" w:lineRule="auto"/>
      </w:pPr>
      <w:r>
        <w:t>Passwords use approved hashing, strong validation, timeout, failed-login counting, throttling and lockout. Authentication uses rotating/revoked JWTs in Secure, HttpOnly, SameSite cookies with CSRF protection. MFA is explicitly deferred and is not represented as enforced.</w:t>
      </w:r>
    </w:p>
    <w:p>
      <w:pPr>
        <w:pStyle w:val="Heading2"/>
        <w:spacing w:before="240" w:after="120" w:line="264" w:lineRule="auto"/>
      </w:pPr>
      <w:r>
        <w:t>7.2 Provider Profile Management</w:t>
      </w:r>
    </w:p>
    <w:p>
      <w:pPr>
        <w:pStyle w:val="ListBullet"/>
        <w:spacing w:before="0" w:after="80" w:line="280" w:lineRule="auto"/>
      </w:pPr>
      <w:r>
        <w:t>Admin users must create and manage provider profiles, contacts, licence details, status, assigned forms, and reporting obligations.</w:t>
      </w:r>
    </w:p>
    <w:p>
      <w:pPr>
        <w:pStyle w:val="ListBullet"/>
        <w:spacing w:before="0" w:after="80" w:line="280" w:lineRule="auto"/>
      </w:pPr>
      <w:r>
        <w:t>Provider profile fields must include provider ID, registered company name, trade name, provider category, licence/authorization type, licence number, issue date, expiration date, physical address, digital address, postal address, website, primary email, primary phone, and status.</w:t>
      </w:r>
    </w:p>
    <w:p>
      <w:pPr>
        <w:pStyle w:val="ListBullet"/>
        <w:spacing w:before="0" w:after="80" w:line="280" w:lineRule="auto"/>
      </w:pPr>
      <w:r>
        <w:t>Provider contacts must support multiple named contacts with role/designation, email, phone, active flag, and notification preferences.</w:t>
      </w:r>
    </w:p>
    <w:p>
      <w:pPr>
        <w:pStyle w:val="ListBullet"/>
        <w:spacing w:before="0" w:after="80" w:line="280" w:lineRule="auto"/>
      </w:pPr>
      <w:r>
        <w:t>Provider status values should include Active, Inactive, Suspended, and Archived.</w:t>
      </w:r>
    </w:p>
    <w:p>
      <w:pPr>
        <w:pStyle w:val="Heading2"/>
        <w:spacing w:before="240" w:after="120" w:line="264" w:lineRule="auto"/>
      </w:pPr>
      <w:r>
        <w:t>7.3 Form Template and Version Management</w:t>
      </w:r>
    </w:p>
    <w:p>
      <w:pPr>
        <w:pStyle w:val="ListBullet"/>
        <w:spacing w:before="0" w:after="80" w:line="280" w:lineRule="auto"/>
      </w:pPr>
      <w:r>
        <w:t>Admin users must create versioned form templates for each collection form and reporting year/month.</w:t>
      </w:r>
    </w:p>
    <w:p>
      <w:pPr>
        <w:pStyle w:val="ListBullet"/>
        <w:spacing w:before="0" w:after="80" w:line="280" w:lineRule="auto"/>
      </w:pPr>
      <w:r>
        <w:t>Each form template must include form code, name, provider category, reporting frequency, version, effective date, sections, fields, grids, options, validation rules, KMZ upload requirements where applicable, help text, field status rules, and export mapping.</w:t>
      </w:r>
    </w:p>
    <w:p>
      <w:pPr>
        <w:pStyle w:val="ListBullet"/>
        <w:spacing w:before="0" w:after="80" w:line="280" w:lineRule="auto"/>
      </w:pPr>
      <w:r>
        <w:t>The system must preserve old form versions for historical submissions. A submitted 2025 return must continue to render using the 2025 template even if the 2026 template changes.</w:t>
      </w:r>
    </w:p>
    <w:p>
      <w:pPr>
        <w:pStyle w:val="ListBullet"/>
        <w:spacing w:before="0" w:after="80" w:line="280" w:lineRule="auto"/>
      </w:pPr>
      <w:r>
        <w:t>Form templates must support scalar fields, repeatable grids, fixed regional grids, month/time-series grids, formula fields, conditional fields, KMZ upload references where applicable, and declaration/confirmation fields.</w:t>
      </w:r>
    </w:p>
    <w:p>
      <w:pPr>
        <w:pStyle w:val="Heading2"/>
        <w:spacing w:before="240" w:after="120" w:line="264" w:lineRule="auto"/>
      </w:pPr>
      <w:r>
        <w:t>7.4 Reporting Period and Assignment Management</w:t>
      </w:r>
    </w:p>
    <w:p>
      <w:pPr>
        <w:pStyle w:val="ListBullet"/>
        <w:spacing w:before="0" w:after="80" w:line="280" w:lineRule="auto"/>
      </w:pPr>
      <w:r>
        <w:t>NCA users must create annual and monthly reporting periods with name, frequency, year, month where applicable, opening date, due date, applicable forms, applicable provider categories, assigned providers, reminder schedule, and status.</w:t>
      </w:r>
    </w:p>
    <w:p>
      <w:pPr>
        <w:pStyle w:val="ListBullet"/>
        <w:spacing w:before="0" w:after="80" w:line="280" w:lineRule="auto"/>
      </w:pPr>
      <w:r>
        <w:t>When a period is activated, the system must generate expected submission records for each provider-form obligation.</w:t>
      </w:r>
    </w:p>
    <w:p>
      <w:pPr>
        <w:pStyle w:val="ListBullet"/>
        <w:spacing w:before="0" w:after="80" w:line="280" w:lineRule="auto"/>
      </w:pPr>
      <w:r>
        <w:t>Due dates can differ by form category and can be overridden for a specific provider when approved.</w:t>
      </w:r>
    </w:p>
    <w:p>
      <w:pPr>
        <w:pStyle w:val="ListBullet"/>
        <w:spacing w:before="0" w:after="80" w:line="280" w:lineRule="auto"/>
      </w:pPr>
      <w:r>
        <w:t>Expected submissions must track workflow status and due-state separately.</w:t>
      </w:r>
    </w:p>
    <w:p>
      <w:pPr>
        <w:pStyle w:val="Heading2"/>
        <w:spacing w:before="240" w:after="120" w:line="264" w:lineRule="auto"/>
      </w:pPr>
      <w:r>
        <w:t>7.5 Provider Form Entry and Drafts</w:t>
      </w:r>
    </w:p>
    <w:p>
      <w:pPr>
        <w:pStyle w:val="ListBullet"/>
        <w:spacing w:before="0" w:after="80" w:line="280" w:lineRule="auto"/>
      </w:pPr>
      <w:r>
        <w:t>Provider users must complete web forms section by section, save partial drafts, upload KMZ files where required, and return later.</w:t>
      </w:r>
    </w:p>
    <w:p>
      <w:pPr>
        <w:pStyle w:val="ListBullet"/>
        <w:spacing w:before="0" w:after="80" w:line="280" w:lineRule="auto"/>
      </w:pPr>
      <w:r>
        <w:t>The system must show required fields, optional fields, accepted non-filled statuses, missing fields, missing required KMZ uploads, section completion, and overall completion.</w:t>
      </w:r>
    </w:p>
    <w:p>
      <w:pPr>
        <w:pStyle w:val="ListBullet"/>
        <w:spacing w:before="0" w:after="80" w:line="280" w:lineRule="auto"/>
      </w:pPr>
      <w:r>
        <w:t>A draft is editable only by authorized Data Entry users while its provider-stage status permits entry. Provider and regulatory correction stages reopen only targeted content; official historical versions remain immutable.</w:t>
      </w:r>
    </w:p>
    <w:p>
      <w:pPr>
        <w:pStyle w:val="ListBullet"/>
        <w:spacing w:before="0" w:after="80" w:line="280" w:lineRule="auto"/>
      </w:pPr>
      <w:r>
        <w:t>Provider and NCA transitions rerun full validation. Approval is blocked by required content, clean required uploads, blocking rules, unresolved dispositions, open correction items and failed high/blocker Section 11 requirements unless an authorized audited exception applies.</w:t>
      </w:r>
    </w:p>
    <w:p>
      <w:pPr>
        <w:pStyle w:val="Heading2"/>
        <w:spacing w:before="240" w:after="120" w:line="264" w:lineRule="auto"/>
      </w:pPr>
      <w:r>
        <w:t>7.6 Provider Approval and Official Submission</w:t>
      </w:r>
    </w:p>
    <w:p>
      <w:pPr>
        <w:pStyle w:val="ListBullet"/>
        <w:spacing w:before="0" w:after="80" w:line="280" w:lineRule="auto"/>
      </w:pPr>
      <w:r>
        <w:t>Provider Approvers use a server-counted, paginated tenant queue. They cannot edit ordinary drafts, but may edit values/grids/uploads in Pending Provider Approval, Provider Resubmitted and the cloned NCA Correction Requested version. Every Approver save creates an immutable before/after batch and non-sensitive audit hash.</w:t>
      </w:r>
    </w:p>
    <w:p>
      <w:pPr>
        <w:pStyle w:val="ListBullet"/>
        <w:spacing w:before="0" w:after="80" w:line="280" w:lineRule="auto"/>
      </w:pPr>
      <w:r>
        <w:t>Approvers can request multiple targeted section/field/grid-cell corrections with required instructions, or approve after a fresh readiness/upload/correction check. Official submission requires an accuracy attestation and, after any Approver edit, a required change summary.</w:t>
      </w:r>
    </w:p>
    <w:p>
      <w:pPr>
        <w:pStyle w:val="ListBullet"/>
        <w:spacing w:before="0" w:after="80" w:line="280" w:lineRule="auto"/>
      </w:pPr>
      <w:r>
        <w:t>Official provider submission creates an immutable version. Regulatory correction clones it into a new version; the official source version is never edited.</w:t>
      </w:r>
    </w:p>
    <w:p>
      <w:pPr>
        <w:pStyle w:val="ListBullet"/>
        <w:spacing w:before="0" w:after="80" w:line="280" w:lineRule="auto"/>
      </w:pPr>
      <w:r>
        <w:t>Provider transitions create immutable workflow events, responsible-user/timestamp evidence, audience-scoped portal notifications and audit records.</w:t>
      </w:r>
    </w:p>
    <w:p>
      <w:pPr>
        <w:pStyle w:val="Heading2"/>
        <w:spacing w:before="240" w:after="120" w:line="264" w:lineRule="auto"/>
      </w:pPr>
      <w:r>
        <w:t>7.7 NCA Review and Correction Workflow</w:t>
      </w:r>
    </w:p>
    <w:p>
      <w:pPr>
        <w:pStyle w:val="ListBullet"/>
        <w:spacing w:before="0" w:after="80" w:line="280" w:lineRule="auto"/>
      </w:pPr>
      <w:r>
        <w:t>NCA review always renders the exact stored form template/version, including scalar/calculated values, fixed and repeatable grids, statuses, explanations, uploads/scans, validation results, Section 11 results and blockers.</w:t>
      </w:r>
    </w:p>
    <w:p>
      <w:pPr>
        <w:pStyle w:val="ListBullet"/>
        <w:spacing w:before="0" w:after="80" w:line="280" w:lineRule="auto"/>
      </w:pPr>
      <w:r>
        <w:t>Review actions must include approve, reject, request correction, add internal note, add provider-visible comment, accept/reject KMZ upload where applicable, and accept/reject non-filled field explanation.</w:t>
      </w:r>
    </w:p>
    <w:p>
      <w:pPr>
        <w:pStyle w:val="ListBullet"/>
        <w:spacing w:before="0" w:after="80" w:line="280" w:lineRule="auto"/>
      </w:pPr>
      <w:r>
        <w:t>Regulatory correction targets sections, fields or individual grid cells. A cloned version carries forward values and instructions; unaffected content is locked in API and UI and old/new comparison is retained.</w:t>
      </w:r>
    </w:p>
    <w:p>
      <w:pPr>
        <w:pStyle w:val="ListBullet"/>
        <w:spacing w:before="0" w:after="80" w:line="280" w:lineRule="auto"/>
      </w:pPr>
      <w:r>
        <w:t>Provider resubmission after regulatory correction uses the cloned version and returns through Provider Approver before reaching NCA as Resubmitted.</w:t>
      </w:r>
    </w:p>
    <w:p>
      <w:pPr>
        <w:pStyle w:val="Heading2"/>
        <w:spacing w:before="240" w:after="120" w:line="264" w:lineRule="auto"/>
      </w:pPr>
      <w:r>
        <w:t>7.8 KMZ Upload Management</w:t>
      </w:r>
    </w:p>
    <w:p>
      <w:pPr>
        <w:pStyle w:val="ListBullet"/>
        <w:spacing w:before="0" w:after="80" w:line="280" w:lineRule="auto"/>
      </w:pPr>
      <w:r>
        <w:t>Corrected Section 11 topology KMZ applies only to DC-DBS05. Private Excel backup is also permitted as secured evidence while editable; neither path imports values into the form.</w:t>
      </w:r>
    </w:p>
    <w:p>
      <w:pPr>
        <w:pStyle w:val="ListBullet"/>
        <w:spacing w:before="0" w:after="80" w:line="280" w:lineRule="auto"/>
      </w:pPr>
      <w:r>
        <w:t>Each private upload records provider, submission, exact form/period, requirement/category, uploader/time, original name, size, private storage reference, SHA-256, quarantine/scan state and review state.</w:t>
      </w:r>
    </w:p>
    <w:p>
      <w:pPr>
        <w:pStyle w:val="ListBullet"/>
        <w:spacing w:before="0" w:after="80" w:line="280" w:lineRule="auto"/>
      </w:pPr>
      <w:r>
        <w:t>General document, CSV and spreadsheet import remains deferred. DC-SUB03 future attachments are non-KMZ and do not create a topology KMZ rule.</w:t>
      </w:r>
    </w:p>
    <w:p>
      <w:pPr>
        <w:pStyle w:val="ListBullet"/>
        <w:spacing w:before="0" w:after="80" w:line="280" w:lineRule="auto"/>
      </w:pPr>
      <w:r>
        <w:t>Private files are type/size validated, quarantined and malware-scanned. Downloads are blocked until clean/accepted, streamed only through authenticated authorization and audited; `/media/` never serves them in production.</w:t>
      </w:r>
    </w:p>
    <w:p>
      <w:pPr>
        <w:pStyle w:val="Heading2"/>
        <w:spacing w:before="240" w:after="120" w:line="264" w:lineRule="auto"/>
      </w:pPr>
      <w:r>
        <w:t>7.9 Manual Web-Form Entry Only</w:t>
      </w:r>
    </w:p>
    <w:p>
      <w:pPr>
        <w:pStyle w:val="ListBullet"/>
        <w:spacing w:before="0" w:after="80" w:line="280" w:lineRule="auto"/>
      </w:pPr>
      <w:r>
        <w:t>V1 data collection is manual web-form entry only.</w:t>
      </w:r>
    </w:p>
    <w:p>
      <w:pPr>
        <w:pStyle w:val="ListBullet"/>
        <w:spacing w:before="0" w:after="80" w:line="280" w:lineRule="auto"/>
      </w:pPr>
      <w:r>
        <w:t>Providers enter canonical values directly in scalar fields and fixed/repeatable grids. The optional Excel backup is evidence only and is not parsed or mapped into form values.</w:t>
      </w:r>
    </w:p>
    <w:p>
      <w:pPr>
        <w:pStyle w:val="ListBullet"/>
        <w:spacing w:before="0" w:after="80" w:line="280" w:lineRule="auto"/>
      </w:pPr>
      <w:r>
        <w:t>Bulk spreadsheet/CSV import, general document intake and automated mapping remain future capabilities. The private Excel backup extension and DBS05 topology KMZ are not import workflows.</w:t>
      </w:r>
    </w:p>
    <w:p>
      <w:pPr>
        <w:pStyle w:val="ListBullet"/>
        <w:spacing w:before="0" w:after="80" w:line="280" w:lineRule="auto"/>
      </w:pPr>
      <w:r>
        <w:t>V1 must not include bulk upload, spreadsheet import, document upload, or CSV-to-form mapping. Manual entry, draft save, validation, provider approval, and NCA review are the core workflow.</w:t>
      </w:r>
    </w:p>
    <w:p>
      <w:pPr>
        <w:pStyle w:val="Heading2"/>
        <w:spacing w:before="240" w:after="120" w:line="264" w:lineRule="auto"/>
      </w:pPr>
      <w:r>
        <w:t>7.10 Compliance Dashboard and Email Trail</w:t>
      </w:r>
    </w:p>
    <w:p>
      <w:pPr>
        <w:pStyle w:val="ListBullet"/>
        <w:spacing w:before="0" w:after="80" w:line="280" w:lineRule="auto"/>
      </w:pPr>
      <w:r>
        <w:t>NCA Officer users must view expected, upcoming due, overdue, incomplete, missing-KMZ where applicable, correction-requested, and unresolved submissions.</w:t>
      </w:r>
    </w:p>
    <w:p>
      <w:pPr>
        <w:pStyle w:val="ListBullet"/>
        <w:spacing w:before="0" w:after="80" w:line="280" w:lineRule="auto"/>
      </w:pPr>
      <w:r>
        <w:t>The system renders approved template content and durable outbound message records for notices, reminders, missing data/KMZ, correction and escalation. Portal notifications handle workflow updates independently.</w:t>
      </w:r>
    </w:p>
    <w:p>
      <w:pPr>
        <w:pStyle w:val="ListBullet"/>
        <w:spacing w:before="0" w:after="80" w:line="280" w:lineRule="auto"/>
      </w:pPr>
      <w:r>
        <w:t>Without configured delivery credentials and provider delivery evidence, messages remain DRAFT or QUEUED and never SENT. The misleading manual Sent action is removed.</w:t>
      </w:r>
    </w:p>
    <w:p>
      <w:pPr>
        <w:pStyle w:val="ListBullet"/>
        <w:spacing w:before="0" w:after="80" w:line="280" w:lineRule="auto"/>
      </w:pPr>
      <w:r>
        <w:t>The provider-neutral delivery interface and event/webhook contracts allow future Microsoft Graph shared-mailbox integration without changing workflow records.</w:t>
      </w:r>
    </w:p>
    <w:p>
      <w:pPr>
        <w:pStyle w:val="Heading2"/>
        <w:spacing w:before="240" w:after="120" w:line="264" w:lineRule="auto"/>
      </w:pPr>
      <w:r>
        <w:t>7.11 Submission Dashboard</w:t>
      </w:r>
    </w:p>
    <w:p>
      <w:pPr>
        <w:pStyle w:val="ListBullet"/>
        <w:spacing w:before="0" w:after="80" w:line="280" w:lineRule="auto"/>
      </w:pPr>
      <w:r>
        <w:t>Operational dashboards retain submission/compliance metrics. The workbook-driven Industry Dashboard is an intentional shared aggregate feature: every authenticated role may view/filter aggregates and generate aggregate XLSX.</w:t>
      </w:r>
    </w:p>
    <w:p>
      <w:pPr>
        <w:pStyle w:val="ListBullet"/>
        <w:spacing w:before="0" w:after="80" w:line="280" w:lineRule="auto"/>
      </w:pPr>
      <w:r>
        <w:t>Dashboard data and capabilities are authorized server-side. Only NCA Admin/Officer can update source data, use chart-building/configuration tools or view source/provenance/provider-level rows.</w:t>
      </w:r>
    </w:p>
    <w:p>
      <w:pPr>
        <w:pStyle w:val="ListBullet"/>
        <w:spacing w:before="0" w:after="80" w:line="280" w:lineRule="auto"/>
      </w:pPr>
      <w:r>
        <w:t>Dashboard charts should remain operational: submission status donut, completion by provider category, submission trend, overdue by form type, required-field/KMZ completion where applicable, and reminder status.</w:t>
      </w:r>
    </w:p>
    <w:p>
      <w:pPr>
        <w:pStyle w:val="Heading2"/>
        <w:spacing w:before="240" w:after="120" w:line="264" w:lineRule="auto"/>
      </w:pPr>
      <w:r>
        <w:t>7.12 Export Module</w:t>
      </w:r>
    </w:p>
    <w:p>
      <w:pPr>
        <w:pStyle w:val="ListBullet"/>
        <w:spacing w:before="0" w:after="80" w:line="280" w:lineRule="auto"/>
      </w:pPr>
      <w:r>
        <w:t>Operational approved-data exports are CSV and PDF. Data-request artifacts may be CSV, XLSX or PDF. Industry Dashboard export is a system-generated aggregate XLSX.</w:t>
      </w:r>
    </w:p>
    <w:p>
      <w:pPr>
        <w:pStyle w:val="ListBullet"/>
        <w:spacing w:before="0" w:after="80" w:line="280" w:lineRule="auto"/>
      </w:pPr>
      <w:r>
        <w:t>CSV must use a long/narrow structure suitable for spreadsheet analysis and downstream dashboards.</w:t>
      </w:r>
    </w:p>
    <w:p>
      <w:pPr>
        <w:pStyle w:val="ListBullet"/>
        <w:spacing w:before="0" w:after="80" w:line="280" w:lineRule="auto"/>
      </w:pPr>
      <w:r>
        <w:t>PDF export must include provider submission summary, selected form values, KMZ checklist where applicable, review record, compliance summary when requested, and dashboard snapshot where applicable.</w:t>
      </w:r>
    </w:p>
    <w:p>
      <w:pPr>
        <w:pStyle w:val="ListBullet"/>
        <w:spacing w:before="0" w:after="80" w:line="280" w:lineRule="auto"/>
      </w:pPr>
      <w:r>
        <w:t>Every export and private-file download is authenticated, role/tenant scoped and audited with actor, filters, record count, hash/reference and timestamp.</w:t>
      </w:r>
    </w:p>
    <w:p>
      <w:pPr>
        <w:pStyle w:val="Heading1"/>
        <w:spacing w:before="320" w:after="160" w:line="264" w:lineRule="auto"/>
      </w:pPr>
      <w:r>
        <w:t>8. Workflow Status Model</w:t>
      </w:r>
    </w:p>
    <w:p>
      <w:pPr>
        <w:spacing w:before="0" w:after="120" w:line="264" w:lineRule="auto"/>
      </w:pPr>
      <w:r>
        <w:rPr>
          <w:rFonts w:ascii="Calibri" w:hAnsi="Calibri"/>
          <w:color w:val="000000"/>
        </w:rPr>
        <w:t>The system should separate workflow status from due-state. This avoids cases where a record is both Submitted and Overdue.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72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Concept</w:t>
            </w:r>
          </w:p>
        </w:tc>
        <w:tc>
          <w:tcPr>
            <w:tcW w:type="dxa" w:w="453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Allowed values</w:t>
            </w:r>
          </w:p>
        </w:tc>
        <w:tc>
          <w:tcPr>
            <w:tcW w:type="dxa" w:w="288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Notes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Workflow status</w:t>
            </w:r>
          </w:p>
        </w:tc>
        <w:tc>
          <w:tcPr>
            <w:tcW w:type="dxa" w:w="4536"/>
            <w:tcMar>
              <w:top w:w="80" w:type="dxa"/>
              <w:bottom w:w="80" w:type="dxa"/>
              <w:start w:w="120" w:type="dxa"/>
              <w:end w:w="120" w:type="dxa"/>
            </w:tcMar>
            <w:vAlign w:val="center"/>
          </w:tcPr>
          <w:p>
            <w:pPr>
              <w:spacing w:after="0"/>
            </w:pPr>
            <w:r>
              <w:t>Not Started, Draft, Pending Provider Approval, Provider Changes Requested, Provider Resubmitted, Submitted, Under NCA Review, Correction Requested, Resubmitted, Approved, Rejected, Archived</w:t>
            </w:r>
          </w:p>
        </w:tc>
        <w:tc>
          <w:tcPr>
            <w:tcW w:type="dxa" w:w="2880"/>
            <w:tcMar>
              <w:top w:w="80" w:type="dxa"/>
              <w:bottom w:w="80" w:type="dxa"/>
              <w:start w:w="120" w:type="dxa"/>
              <w:end w:w="120" w:type="dxa"/>
            </w:tcMar>
            <w:vAlign w:val="center"/>
          </w:tcPr>
          <w:p>
            <w:pPr>
              <w:spacing w:after="0"/>
            </w:pPr>
            <w:r>
              <w:t>Provider and regulatory stages are explicit. Provider Data Entry edits DRAFT/PROVIDER_CHANGES_REQUESTED; Provider Approver edits PENDING_APPROVAL/PROVIDER_RESUBMITTED and the cloned CORRECTION_REQUESTED version. Official provider and NCA versions are immutable.</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Due-state</w:t>
            </w:r>
          </w:p>
        </w:tc>
        <w:tc>
          <w:tcPr>
            <w:tcW w:type="dxa" w:w="4536"/>
            <w:tcMar>
              <w:top w:w="80" w:type="dxa"/>
              <w:bottom w:w="80" w:type="dxa"/>
              <w:start w:w="120" w:type="dxa"/>
              <w:end w:w="120" w:type="dxa"/>
            </w:tcMar>
            <w:vAlign w:val="center"/>
          </w:tcPr>
          <w:p>
            <w:pPr>
              <w:spacing w:before="0" w:after="0" w:line="259" w:lineRule="auto"/>
            </w:pPr>
            <w:r>
              <w:rPr>
                <w:rFonts w:ascii="Calibri" w:hAnsi="Calibri"/>
                <w:color w:val="000000"/>
                <w:sz w:val="19"/>
              </w:rPr>
              <w:t>Not Open, Open, Due Soon, Due Today, Overdue, Closed</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Computed from period dates, due date, submission status, and admin configuration.</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Review status</w:t>
            </w:r>
          </w:p>
        </w:tc>
        <w:tc>
          <w:tcPr>
            <w:tcW w:type="dxa" w:w="4536"/>
            <w:tcMar>
              <w:top w:w="80" w:type="dxa"/>
              <w:bottom w:w="80" w:type="dxa"/>
              <w:start w:w="120" w:type="dxa"/>
              <w:end w:w="120" w:type="dxa"/>
            </w:tcMar>
            <w:vAlign w:val="center"/>
          </w:tcPr>
          <w:p>
            <w:pPr>
              <w:spacing w:before="0" w:after="0" w:line="259" w:lineRule="auto"/>
            </w:pPr>
            <w:r>
              <w:rPr>
                <w:rFonts w:ascii="Calibri" w:hAnsi="Calibri"/>
                <w:color w:val="000000"/>
                <w:sz w:val="19"/>
              </w:rPr>
              <w:t>Not Reviewed, In Review, Approved, Rejected, Correction Requested</w:t>
            </w:r>
          </w:p>
        </w:tc>
        <w:tc>
          <w:tcPr>
            <w:tcW w:type="dxa" w:w="2880"/>
            <w:tcMar>
              <w:top w:w="80" w:type="dxa"/>
              <w:bottom w:w="80" w:type="dxa"/>
              <w:start w:w="120" w:type="dxa"/>
              <w:end w:w="120" w:type="dxa"/>
            </w:tcMar>
            <w:vAlign w:val="center"/>
          </w:tcPr>
          <w:p>
            <w:pPr>
              <w:spacing w:after="0" w:line="259" w:lineRule="auto"/>
            </w:pPr>
            <w:r>
              <w:rPr>
                <w:rFonts w:ascii="Calibri" w:hAnsi="Calibri"/>
                <w:b w:val="0"/>
                <w:sz w:val="19"/>
              </w:rPr>
              <w:t>Can be used on submissions, KMZ uploads, and non-filled explanations.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Field status</w:t>
            </w:r>
          </w:p>
        </w:tc>
        <w:tc>
          <w:tcPr>
            <w:tcW w:type="dxa" w:w="4536"/>
            <w:tcMar>
              <w:top w:w="80" w:type="dxa"/>
              <w:bottom w:w="80" w:type="dxa"/>
              <w:start w:w="120" w:type="dxa"/>
              <w:end w:w="120" w:type="dxa"/>
            </w:tcMar>
            <w:vAlign w:val="center"/>
          </w:tcPr>
          <w:p>
            <w:pPr>
              <w:spacing w:after="0" w:line="259" w:lineRule="auto"/>
            </w:pPr>
            <w:r>
              <w:rPr>
                <w:rFonts w:ascii="Calibri" w:hAnsi="Calibri"/>
                <w:b w:val="0"/>
                <w:sz w:val="19"/>
              </w:rPr>
              <w:t>Missing, Provided, Not Applicable, Not Available, Not Required for Provider, Pending Clarification, System Calculated</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Stored per field/cell to preserve meaning of blanks.</w:t>
            </w:r>
          </w:p>
        </w:tc>
      </w:tr>
    </w:tbl>
    <w:p/>
    <w:p>
      <w:pPr>
        <w:pStyle w:val="Heading2"/>
        <w:spacing w:before="240" w:after="120" w:line="264" w:lineRule="auto"/>
      </w:pPr>
      <w:r>
        <w:t>8.1 Submission Lifecycle</w:t>
      </w:r>
    </w:p>
    <w:p>
      <w:pPr>
        <w:pStyle w:val="ListNumber"/>
        <w:spacing w:before="0" w:after="80" w:line="280" w:lineRule="auto"/>
      </w:pPr>
      <w:r>
        <w:t>Reporting period is created and activated.</w:t>
      </w:r>
    </w:p>
    <w:p>
      <w:pPr>
        <w:pStyle w:val="ListNumber"/>
        <w:spacing w:before="0" w:after="80" w:line="280" w:lineRule="auto"/>
      </w:pPr>
      <w:r>
        <w:t>Expected submissions are generated for assigned provider-form obligations.</w:t>
      </w:r>
    </w:p>
    <w:p>
      <w:pPr>
        <w:pStyle w:val="ListNumber"/>
        <w:spacing w:before="0" w:after="80" w:line="280" w:lineRule="auto"/>
      </w:pPr>
      <w:r>
        <w:t>Provider data entry user starts a draft.</w:t>
      </w:r>
    </w:p>
    <w:p>
      <w:pPr>
        <w:pStyle w:val="ListNumber"/>
        <w:spacing w:before="0" w:after="80" w:line="280" w:lineRule="auto"/>
      </w:pPr>
      <w:r>
        <w:t>Provider completes web-form fields, uploads KMZ where required, and resolves required validation errors.</w:t>
      </w:r>
    </w:p>
    <w:p>
      <w:pPr>
        <w:pStyle w:val="ListNumber"/>
        <w:spacing w:before="0" w:after="80" w:line="280" w:lineRule="auto"/>
      </w:pPr>
      <w:r>
        <w:t>Provider Data Entry submits a validated draft to Provider Approver (Pending Provider Approval).</w:t>
      </w:r>
    </w:p>
    <w:p>
      <w:pPr>
        <w:pStyle w:val="ListNumber"/>
        <w:spacing w:before="0" w:after="80" w:line="280" w:lineRule="auto"/>
      </w:pPr>
      <w:r>
        <w:t>Provider Approver requests targeted changes, receives Provider Resubmitted, or approves to create the official Submitted version.</w:t>
      </w:r>
    </w:p>
    <w:p>
      <w:pPr>
        <w:pStyle w:val="ListNumber"/>
        <w:spacing w:before="0" w:after="80" w:line="280" w:lineRule="auto"/>
      </w:pPr>
      <w:r>
        <w:t>NCA explicitly starts review, then approves, rejects or requests targeted regulatory correction.</w:t>
      </w:r>
    </w:p>
    <w:p>
      <w:pPr>
        <w:pStyle w:val="ListNumber"/>
        <w:spacing w:before="0" w:after="80" w:line="280" w:lineRule="auto"/>
      </w:pPr>
      <w:r>
        <w:t>A regulatory correction creates a cloned version with unaffected content locked; it returns through provider approval and reaches NCA as Resubmitted.</w:t>
      </w:r>
    </w:p>
    <w:p>
      <w:pPr>
        <w:pStyle w:val="ListNumber"/>
        <w:spacing w:before="0" w:after="80" w:line="280" w:lineRule="auto"/>
      </w:pPr>
      <w:r>
        <w:t>Approved submissions become read-only and eligible for approved-data exports.</w:t>
      </w:r>
    </w:p>
    <w:p>
      <w:pPr>
        <w:pStyle w:val="Heading1"/>
        <w:spacing w:before="320" w:after="160" w:line="264" w:lineRule="auto"/>
      </w:pPr>
      <w:r>
        <w:t>9. Data Model Requirements</w:t>
      </w:r>
    </w:p>
    <w:p>
      <w:pPr>
        <w:spacing w:before="0" w:after="120" w:line="264" w:lineRule="auto"/>
      </w:pPr>
      <w:r>
        <w:rPr>
          <w:rFonts w:ascii="Calibri" w:hAnsi="Calibri"/>
          <w:color w:val="000000"/>
        </w:rPr>
        <w:t>The MVP should use a canonical operational model that captures the structure of any form, plus optional read models for analytics and exports.</w:t>
      </w:r>
    </w:p>
    <w:p>
      <w:pPr>
        <w:pStyle w:val="Heading2"/>
        <w:spacing w:before="240" w:after="120" w:line="264" w:lineRule="auto"/>
      </w:pPr>
      <w:r>
        <w:t>9.1 Core Operational Entities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Entity</w:t>
            </w:r>
          </w:p>
        </w:tc>
        <w:tc>
          <w:tcPr>
            <w:tcW w:type="dxa" w:w="288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Purpose</w:t>
            </w:r>
          </w:p>
        </w:tc>
        <w:tc>
          <w:tcPr>
            <w:tcW w:type="dxa" w:w="432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Key fields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User</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Authenticated account for internal and provider users.</w:t>
            </w:r>
          </w:p>
        </w:tc>
        <w:tc>
          <w:tcPr>
            <w:tcW w:type="dxa" w:w="4320"/>
            <w:tcMar>
              <w:top w:w="80" w:type="dxa"/>
              <w:bottom w:w="80" w:type="dxa"/>
              <w:start w:w="120" w:type="dxa"/>
              <w:end w:w="120" w:type="dxa"/>
            </w:tcMar>
            <w:vAlign w:val="center"/>
          </w:tcPr>
          <w:p>
            <w:pPr>
              <w:spacing w:after="0"/>
            </w:pPr>
            <w:r>
              <w:t>user_id, organization_id, role, name, unique email, status, division_id and grade for requesters, failed_login_attempts, locked_until, must_change_password, last_login_at</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Role / Permission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Access control for features and data scopes.</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role_id, permission_code, scope_type, scope_value</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ProviderProfile</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Licensed provider master record.</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provider_id, registered_name, trade_name, category, licence_type, licence_number, issue_date, expiry_date, addresses, status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ProviderContact</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Named operational contacts for provider profile and notifications.</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contact_id, provider_id, name, designation, email, phone, notification_role, active_flag</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FormTemplate</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Versioned form definition.</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form_template_id, form_code, name, frequency, provider_category, version, effective_from, status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FormSection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Logical section within a form.</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section_id, form_template_id, section_code, title, sort_order, instructions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FormField</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Scalar or calculated field definition.</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field_id, section_id, field_code, label, type, unit, required_rule, help_text, sort_order, export_name</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FormGrid / GridColumn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Repeatable or fixed table-style input.</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grid_id, section_id, row_mode, column definitions, row labels, validations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ValidationRule</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Reusable checks for fields, cells, sections, and submissions.</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rule_id, target_type, target_id, rule_type, expression, severity, message</w:t>
            </w:r>
          </w:p>
        </w:tc>
      </w:tr>
      <w:tr>
        <w:tc>
          <w:tcPr>
            <w:tcW w:type="dxa" w:w="1944"/>
            <w:tcMar>
              <w:top w:w="80" w:type="dxa"/>
              <w:bottom w:w="80" w:type="dxa"/>
              <w:start w:w="120" w:type="dxa"/>
              <w:end w:w="120" w:type="dxa"/>
            </w:tcMar>
            <w:vAlign w:val="center"/>
          </w:tcPr>
          <w:p>
            <w:pPr>
              <w:spacing w:after="0" w:line="259" w:lineRule="auto"/>
            </w:pPr>
            <w:r>
              <w:rPr>
                <w:rFonts w:ascii="Calibri" w:hAnsi="Calibri"/>
                <w:b w:val="0"/>
                <w:sz w:val="19"/>
              </w:rPr>
              <w:t>KMZUploadRequirement</w:t>
            </w:r>
          </w:p>
        </w:tc>
        <w:tc>
          <w:tcPr>
            <w:tcW w:type="dxa" w:w="2880"/>
            <w:tcMar>
              <w:top w:w="80" w:type="dxa"/>
              <w:bottom w:w="80" w:type="dxa"/>
              <w:start w:w="120" w:type="dxa"/>
              <w:end w:w="120" w:type="dxa"/>
            </w:tcMar>
            <w:vAlign w:val="center"/>
          </w:tcPr>
          <w:p>
            <w:pPr>
              <w:spacing w:after="0" w:line="259" w:lineRule="auto"/>
            </w:pPr>
            <w:r>
              <w:rPr>
                <w:rFonts w:ascii="Calibri" w:hAnsi="Calibri"/>
                <w:b w:val="0"/>
                <w:sz w:val="19"/>
              </w:rPr>
              <w:t>Form-specific required or optional KMZ upload rule.</w:t>
            </w:r>
          </w:p>
        </w:tc>
        <w:tc>
          <w:tcPr>
            <w:tcW w:type="dxa" w:w="4320"/>
            <w:tcMar>
              <w:top w:w="80" w:type="dxa"/>
              <w:bottom w:w="80" w:type="dxa"/>
              <w:start w:w="120" w:type="dxa"/>
              <w:end w:w="120" w:type="dxa"/>
            </w:tcMar>
            <w:vAlign w:val="center"/>
          </w:tcPr>
          <w:p>
            <w:pPr>
              <w:spacing w:after="0" w:line="259" w:lineRule="auto"/>
            </w:pPr>
            <w:r>
              <w:rPr>
                <w:rFonts w:ascii="Calibri" w:hAnsi="Calibri"/>
                <w:b w:val="0"/>
                <w:sz w:val="19"/>
              </w:rPr>
              <w:t>requirement_id, form_template_id, section_id, category, required_rule, max_file_size_mb</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ReportingPeriod</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Annual or monthly collection cycle.</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period_id, frequency, year, month, opens_at, due_at, status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ExpectedSubmission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Provider-form obligation generated for a period.</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expected_submission_id, provider_id, form_template_id, period_id, workflow_status, due_state, assigned_officer</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Submission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A versioned provider submission attempt.</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submission_id, expected_submission_id, version, status, completion_pct, submitted_by, submitted_at, reviewed_by, reviewed_at</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SubmissionValue</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Field/cell value with status and explanation.</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value_id, submission_id, field_id, grid_row_id, grid_column_id, value, value_status, explanation, updated_by, updated_at</w:t>
            </w:r>
          </w:p>
        </w:tc>
      </w:tr>
      <w:tr>
        <w:tc>
          <w:tcPr>
            <w:tcW w:type="dxa" w:w="1944"/>
            <w:tcMar>
              <w:top w:w="80" w:type="dxa"/>
              <w:bottom w:w="80" w:type="dxa"/>
              <w:start w:w="120" w:type="dxa"/>
              <w:end w:w="120" w:type="dxa"/>
            </w:tcMar>
            <w:vAlign w:val="center"/>
          </w:tcPr>
          <w:p>
            <w:pPr>
              <w:spacing w:after="0" w:line="259" w:lineRule="auto"/>
            </w:pPr>
            <w:r>
              <w:rPr>
                <w:rFonts w:ascii="Calibri" w:hAnsi="Calibri"/>
                <w:b w:val="0"/>
                <w:sz w:val="19"/>
              </w:rPr>
              <w:t>SubmissionKMZUpload</w:t>
            </w:r>
          </w:p>
        </w:tc>
        <w:tc>
          <w:tcPr>
            <w:tcW w:type="dxa" w:w="2880"/>
            <w:tcMar>
              <w:top w:w="80" w:type="dxa"/>
              <w:bottom w:w="80" w:type="dxa"/>
              <w:start w:w="120" w:type="dxa"/>
              <w:end w:w="120" w:type="dxa"/>
            </w:tcMar>
            <w:vAlign w:val="center"/>
          </w:tcPr>
          <w:p>
            <w:pPr>
              <w:spacing w:after="0" w:line="259" w:lineRule="auto"/>
            </w:pPr>
            <w:r>
              <w:rPr>
                <w:rFonts w:ascii="Calibri" w:hAnsi="Calibri"/>
                <w:b w:val="0"/>
                <w:sz w:val="19"/>
              </w:rPr>
              <w:t>Uploaded KMZ file metadata.</w:t>
            </w:r>
          </w:p>
        </w:tc>
        <w:tc>
          <w:tcPr>
            <w:tcW w:type="dxa" w:w="4320"/>
            <w:tcMar>
              <w:top w:w="80" w:type="dxa"/>
              <w:bottom w:w="80" w:type="dxa"/>
              <w:start w:w="120" w:type="dxa"/>
              <w:end w:w="120" w:type="dxa"/>
            </w:tcMar>
            <w:vAlign w:val="center"/>
          </w:tcPr>
          <w:p>
            <w:pPr>
              <w:spacing w:after="0" w:line="259" w:lineRule="auto"/>
            </w:pPr>
            <w:r>
              <w:rPr>
                <w:rFonts w:ascii="Calibri" w:hAnsi="Calibri"/>
                <w:b w:val="0"/>
                <w:sz w:val="19"/>
              </w:rPr>
              <w:t>kmz_upload_id, submission_id, requirement_id, file_name, file_size, storage_path, review_status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ReviewAction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Reviewer action history.</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review_action_id, submission_id, action, target_type, target_id, comment, created_by, created_at</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EmailTemplate / EmailLog</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Notification content and compliance trail.</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template_id, email_id, type, subject, body, placeholders, provider_id, submission_id, status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AuditEvent</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Immutable activity log.</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audit_id, user_id, role, organization_id, action, entity_type, entity_id, before_value, after_value, timestamp, ip_address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ExportLog</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Audit record for generated exports.</w:t>
            </w:r>
          </w:p>
        </w:tc>
        <w:tc>
          <w:tcPr>
            <w:tcW w:type="dxa" w:w="4320"/>
            <w:tcMar>
              <w:top w:w="80" w:type="dxa"/>
              <w:bottom w:w="80" w:type="dxa"/>
              <w:start w:w="120" w:type="dxa"/>
              <w:end w:w="120" w:type="dxa"/>
            </w:tcMar>
            <w:vAlign w:val="center"/>
          </w:tcPr>
          <w:p>
            <w:pPr>
              <w:spacing w:before="0" w:after="0" w:line="259" w:lineRule="auto"/>
            </w:pPr>
            <w:r>
              <w:rPr>
                <w:rFonts w:ascii="Calibri" w:hAnsi="Calibri"/>
                <w:color w:val="000000"/>
                <w:sz w:val="19"/>
              </w:rPr>
              <w:t>export_id, export_type, filters, generated_by, generated_at, file_reference</w:t>
            </w:r>
          </w:p>
        </w:tc>
      </w:tr>
      <w:tr>
        <w:tc>
          <w:tcPr>
            <w:tcW w:type="dxa" w:w="3120"/>
          </w:tcPr>
          <w:p>
            <w:pPr>
              <w:spacing w:after="0"/>
            </w:pPr>
            <w:r>
              <w:t>SubmissionEvent / SubmissionNotification</w:t>
            </w:r>
          </w:p>
        </w:tc>
        <w:tc>
          <w:tcPr>
            <w:tcW w:type="dxa" w:w="3120"/>
          </w:tcPr>
          <w:p>
            <w:pPr>
              <w:spacing w:after="0"/>
            </w:pPr>
            <w:r>
              <w:t>Immutable provider/regulatory workflow history and own-user portal notification stream.</w:t>
            </w:r>
          </w:p>
        </w:tc>
        <w:tc>
          <w:tcPr>
            <w:tcW w:type="dxa" w:w="3120"/>
          </w:tcPr>
          <w:p>
            <w:pPr>
              <w:spacing w:after="0"/>
            </w:pPr>
            <w:r>
              <w:t>submission_id, event_type, status transition, actor, audience, reason/metadata, recipient, read_at, created_at</w:t>
            </w:r>
          </w:p>
        </w:tc>
      </w:tr>
      <w:tr>
        <w:tc>
          <w:tcPr>
            <w:tcW w:type="dxa" w:w="3120"/>
          </w:tcPr>
          <w:p>
            <w:pPr>
              <w:spacing w:after="0"/>
            </w:pPr>
            <w:r>
              <w:t>DataRequest / Artifact</w:t>
            </w:r>
          </w:p>
        </w:tc>
        <w:tc>
          <w:tcPr>
            <w:tcW w:type="dxa" w:w="3120"/>
          </w:tcPr>
          <w:p>
            <w:pPr>
              <w:spacing w:after="0"/>
            </w:pPr>
            <w:r>
              <w:t>Governed division request, immutable approval manifest and private released file.</w:t>
            </w:r>
          </w:p>
        </w:tc>
        <w:tc>
          <w:tcPr>
            <w:tcW w:type="dxa" w:w="3120"/>
          </w:tcPr>
          <w:p>
            <w:pPr>
              <w:spacing w:after="0"/>
            </w:pPr>
            <w:r>
              <w:t>requester snapshots, division, grade, purpose, scope, status, due date, manifest, format, hash, size, rows, expiry</w:t>
            </w:r>
          </w:p>
        </w:tc>
      </w:tr>
      <w:tr>
        <w:tc>
          <w:tcPr>
            <w:tcW w:type="dxa" w:w="3120"/>
          </w:tcPr>
          <w:p>
            <w:pPr>
              <w:spacing w:after="0"/>
            </w:pPr>
            <w:r>
              <w:t>PrivateUpload / Scan</w:t>
            </w:r>
          </w:p>
        </w:tc>
        <w:tc>
          <w:tcPr>
            <w:tcW w:type="dxa" w:w="3120"/>
          </w:tcPr>
          <w:p>
            <w:pPr>
              <w:spacing w:after="0"/>
            </w:pPr>
            <w:r>
              <w:t>Quarantined KMZ and Excel backup metadata outside public media.</w:t>
            </w:r>
          </w:p>
        </w:tc>
        <w:tc>
          <w:tcPr>
            <w:tcW w:type="dxa" w:w="3120"/>
          </w:tcPr>
          <w:p>
            <w:pPr>
              <w:spacing w:after="0"/>
            </w:pPr>
            <w:r>
              <w:t>submission_id, requirement, storage reference, SHA-256, scan status/result, uploader, timestamps</w:t>
            </w:r>
          </w:p>
        </w:tc>
      </w:tr>
      <w:tr>
        <w:tc>
          <w:tcPr>
            <w:tcW w:type="dxa" w:w="3120"/>
          </w:tcPr>
          <w:p>
            <w:pPr>
              <w:spacing w:after="0"/>
            </w:pPr>
            <w:r>
              <w:t>ProviderEditBatch / ProviderApprovalDecision</w:t>
            </w:r>
          </w:p>
        </w:tc>
        <w:tc>
          <w:tcPr>
            <w:tcW w:type="dxa" w:w="3120"/>
          </w:tcPr>
          <w:p>
            <w:pPr>
              <w:spacing w:after="0"/>
            </w:pPr>
            <w:r>
              <w:t>Immutable sensitive before/after provider edit evidence plus official approval attestation.</w:t>
            </w:r>
          </w:p>
        </w:tc>
        <w:tc>
          <w:tcPr>
            <w:tcW w:type="dxa" w:w="3120"/>
          </w:tcPr>
          <w:p>
            <w:pPr>
              <w:spacing w:after="0"/>
            </w:pPr>
            <w:r>
              <w:t>submission_id, actor, stage, revision, section/target, before/after values, change hash/count, attestation, required change summary, approval note and timestamp</w:t>
            </w:r>
          </w:p>
        </w:tc>
      </w:tr>
    </w:tbl>
    <w:p/>
    <w:p>
      <w:pPr>
        <w:pStyle w:val="Heading2"/>
        <w:spacing w:before="240" w:after="120" w:line="264" w:lineRule="auto"/>
      </w:pPr>
      <w:r>
        <w:t>9.2 CSV Export Shape</w:t>
      </w:r>
    </w:p>
    <w:p>
      <w:pPr>
        <w:spacing w:before="0" w:after="120" w:line="264" w:lineRule="auto"/>
      </w:pPr>
      <w:r>
        <w:rPr>
          <w:rFonts w:ascii="Calibri" w:hAnsi="Calibri"/>
          <w:color w:val="000000"/>
        </w:rPr>
        <w:t>The default CSV should be long/narrow so that every form can export consistently even when sections differ.</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01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Column group</w:t>
            </w:r>
          </w:p>
        </w:tc>
        <w:tc>
          <w:tcPr>
            <w:tcW w:type="dxa" w:w="712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Columns</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Provider</w:t>
            </w:r>
          </w:p>
        </w:tc>
        <w:tc>
          <w:tcPr>
            <w:tcW w:type="dxa" w:w="7128"/>
            <w:tcMar>
              <w:top w:w="80" w:type="dxa"/>
              <w:bottom w:w="80" w:type="dxa"/>
              <w:start w:w="120" w:type="dxa"/>
              <w:end w:w="120" w:type="dxa"/>
            </w:tcMar>
            <w:vAlign w:val="center"/>
          </w:tcPr>
          <w:p>
            <w:pPr>
              <w:spacing w:before="0" w:after="0" w:line="259" w:lineRule="auto"/>
            </w:pPr>
            <w:r>
              <w:rPr>
                <w:rFonts w:ascii="Calibri" w:hAnsi="Calibri"/>
                <w:color w:val="000000"/>
                <w:sz w:val="19"/>
              </w:rPr>
              <w:t>provider_id, registered_company_name, trade_name, provider_category, licence_type</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Form and period</w:t>
            </w:r>
          </w:p>
        </w:tc>
        <w:tc>
          <w:tcPr>
            <w:tcW w:type="dxa" w:w="7128"/>
            <w:tcMar>
              <w:top w:w="80" w:type="dxa"/>
              <w:bottom w:w="80" w:type="dxa"/>
              <w:start w:w="120" w:type="dxa"/>
              <w:end w:w="120" w:type="dxa"/>
            </w:tcMar>
            <w:vAlign w:val="center"/>
          </w:tcPr>
          <w:p>
            <w:pPr>
              <w:spacing w:before="0" w:after="0" w:line="259" w:lineRule="auto"/>
            </w:pPr>
            <w:r>
              <w:rPr>
                <w:rFonts w:ascii="Calibri" w:hAnsi="Calibri"/>
                <w:color w:val="000000"/>
                <w:sz w:val="19"/>
              </w:rPr>
              <w:t>form_code, form_name, form_version, reporting_frequency, reporting_year, reporting_month, period_name, due_date</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Submission</w:t>
            </w:r>
          </w:p>
        </w:tc>
        <w:tc>
          <w:tcPr>
            <w:tcW w:type="dxa" w:w="7128"/>
            <w:tcMar>
              <w:top w:w="80" w:type="dxa"/>
              <w:bottom w:w="80" w:type="dxa"/>
              <w:start w:w="120" w:type="dxa"/>
              <w:end w:w="120" w:type="dxa"/>
            </w:tcMar>
            <w:vAlign w:val="center"/>
          </w:tcPr>
          <w:p>
            <w:pPr>
              <w:spacing w:before="0" w:after="0" w:line="259" w:lineRule="auto"/>
            </w:pPr>
            <w:r>
              <w:rPr>
                <w:rFonts w:ascii="Calibri" w:hAnsi="Calibri"/>
                <w:color w:val="000000"/>
                <w:sz w:val="19"/>
              </w:rPr>
              <w:t>expected_submission_id, submission_id, submission_version, workflow_status, due_state, submitted_by, submitted_at, reviewed_by, reviewed_at</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Field</w:t>
            </w:r>
          </w:p>
        </w:tc>
        <w:tc>
          <w:tcPr>
            <w:tcW w:type="dxa" w:w="7128"/>
            <w:tcMar>
              <w:top w:w="80" w:type="dxa"/>
              <w:bottom w:w="80" w:type="dxa"/>
              <w:start w:w="120" w:type="dxa"/>
              <w:end w:w="120" w:type="dxa"/>
            </w:tcMar>
            <w:vAlign w:val="center"/>
          </w:tcPr>
          <w:p>
            <w:pPr>
              <w:spacing w:before="0" w:after="0" w:line="259" w:lineRule="auto"/>
            </w:pPr>
            <w:r>
              <w:rPr>
                <w:rFonts w:ascii="Calibri" w:hAnsi="Calibri"/>
                <w:color w:val="000000"/>
                <w:sz w:val="19"/>
              </w:rPr>
              <w:t>section_code, section_name, field_code, field_name, field_type, unit, grid_name, grid_row_label, grid_column_name</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Value</w:t>
            </w:r>
          </w:p>
        </w:tc>
        <w:tc>
          <w:tcPr>
            <w:tcW w:type="dxa" w:w="7128"/>
            <w:tcMar>
              <w:top w:w="80" w:type="dxa"/>
              <w:bottom w:w="80" w:type="dxa"/>
              <w:start w:w="120" w:type="dxa"/>
              <w:end w:w="120" w:type="dxa"/>
            </w:tcMar>
            <w:vAlign w:val="center"/>
          </w:tcPr>
          <w:p>
            <w:pPr>
              <w:spacing w:before="0" w:after="0" w:line="259" w:lineRule="auto"/>
            </w:pPr>
            <w:r>
              <w:rPr>
                <w:rFonts w:ascii="Calibri" w:hAnsi="Calibri"/>
                <w:color w:val="000000"/>
                <w:sz w:val="19"/>
              </w:rPr>
              <w:t>submitted_value, value_status, not_applicable_reason, explanation, validation_status, review_status</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Compliance</w:t>
            </w:r>
          </w:p>
        </w:tc>
        <w:tc>
          <w:tcPr>
            <w:tcW w:type="dxa" w:w="7128"/>
            <w:tcMar>
              <w:top w:w="80" w:type="dxa"/>
              <w:bottom w:w="80" w:type="dxa"/>
              <w:start w:w="120" w:type="dxa"/>
              <w:end w:w="120" w:type="dxa"/>
            </w:tcMar>
            <w:vAlign w:val="center"/>
          </w:tcPr>
          <w:p>
            <w:pPr>
              <w:spacing w:after="0" w:line="259" w:lineRule="auto"/>
            </w:pPr>
            <w:r>
              <w:rPr>
                <w:rFonts w:ascii="Calibri" w:hAnsi="Calibri"/>
                <w:b w:val="0"/>
                <w:sz w:val="19"/>
              </w:rPr>
              <w:t>last_reminder_sent_at, reminder_count, compliance_stage, missing_field_count, missing_kmz_upload_count</w:t>
            </w:r>
          </w:p>
        </w:tc>
      </w:tr>
      <w:tr>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Audit</w:t>
            </w:r>
          </w:p>
        </w:tc>
        <w:tc>
          <w:tcPr>
            <w:tcW w:type="dxa" w:w="7128"/>
            <w:tcMar>
              <w:top w:w="80" w:type="dxa"/>
              <w:bottom w:w="80" w:type="dxa"/>
              <w:start w:w="120" w:type="dxa"/>
              <w:end w:w="120" w:type="dxa"/>
            </w:tcMar>
            <w:vAlign w:val="center"/>
          </w:tcPr>
          <w:p>
            <w:pPr>
              <w:spacing w:before="0" w:after="0" w:line="259" w:lineRule="auto"/>
            </w:pPr>
            <w:r>
              <w:rPr>
                <w:rFonts w:ascii="Calibri" w:hAnsi="Calibri"/>
                <w:color w:val="000000"/>
                <w:sz w:val="19"/>
              </w:rPr>
              <w:t>export_generated_by, export_generated_at</w:t>
            </w:r>
          </w:p>
        </w:tc>
      </w:tr>
    </w:tbl>
    <w:p/>
    <w:p>
      <w:pPr>
        <w:pStyle w:val="Heading1"/>
        <w:spacing w:before="320" w:after="160" w:line="264" w:lineRule="auto"/>
      </w:pPr>
      <w:r>
        <w:t>10. Validation and Data Accuracy Requirements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Validation type</w:t>
            </w:r>
          </w:p>
        </w:tc>
        <w:tc>
          <w:tcPr>
            <w:tcW w:type="dxa" w:w="381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Requirement</w:t>
            </w:r>
          </w:p>
        </w:tc>
        <w:tc>
          <w:tcPr>
            <w:tcW w:type="dxa" w:w="338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Examples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Data type</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Reject incompatible values before final submission.</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Text cannot be entered in numeric, date, currency, percentage, coordinate, or count fields.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Required rules</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Required fields must be completed or marked with an allowed non-filled status and reason.</w:t>
            </w:r>
          </w:p>
        </w:tc>
        <w:tc>
          <w:tcPr>
            <w:tcW w:type="dxa" w:w="3384"/>
            <w:tcMar>
              <w:top w:w="80" w:type="dxa"/>
              <w:bottom w:w="80" w:type="dxa"/>
              <w:start w:w="120" w:type="dxa"/>
              <w:end w:w="120" w:type="dxa"/>
            </w:tcMar>
            <w:vAlign w:val="center"/>
          </w:tcPr>
          <w:p>
            <w:pPr>
              <w:spacing w:after="0"/>
            </w:pPr>
            <w:r>
              <w:t>Declarations and applicable structured values are required before transition. General audited-financial-statement attachments remain deferred; private Excel backup is optional evidence, not a form value.</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Conditional required</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Some fields become required based on prior answers.</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If provider owns a VSAT hub, hub location and capacity fields become required.</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Calculated totals</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Calculated/formula fields must be stored as derived values or computed on render/export, with clear formula metadata.</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Total employees, total subscribers, total capacity, total tower counts.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Cross-field checks</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Warn or block where totals are inconsistent.</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Capacity in use should not exceed capacity available unless NCA override is recorded.</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Regional grids</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Fixed-region forms must use the configured Ghana region list and preserve row labels.</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Ahafo, Ashanti, Bono, Bono East, Central, Eastern, Greater Accra, North East, Northern, Oti, Savannah, Upper East, Upper West, Volta, Western, Western North.</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Coordinates</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Latitude and longitude fields must validate numeric ranges and preserve decimal precision.</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Tower additions, PoPs, landing sites.</w:t>
            </w:r>
          </w:p>
        </w:tc>
      </w:tr>
      <w:tr>
        <w:tc>
          <w:tcPr>
            <w:tcW w:type="dxa" w:w="1944"/>
            <w:tcMar>
              <w:top w:w="80" w:type="dxa"/>
              <w:bottom w:w="80" w:type="dxa"/>
              <w:start w:w="120" w:type="dxa"/>
              <w:end w:w="120" w:type="dxa"/>
            </w:tcMar>
            <w:vAlign w:val="center"/>
          </w:tcPr>
          <w:p>
            <w:pPr>
              <w:spacing w:before="0" w:after="0" w:line="259" w:lineRule="auto"/>
            </w:pPr>
            <w:r>
              <w:rPr>
                <w:rFonts w:ascii="Calibri" w:hAnsi="Calibri"/>
                <w:color w:val="000000"/>
                <w:sz w:val="19"/>
              </w:rPr>
              <w:t>Period accuracy</w:t>
            </w:r>
          </w:p>
        </w:tc>
        <w:tc>
          <w:tcPr>
            <w:tcW w:type="dxa" w:w="3816"/>
            <w:tcMar>
              <w:top w:w="80" w:type="dxa"/>
              <w:bottom w:w="80" w:type="dxa"/>
              <w:start w:w="120" w:type="dxa"/>
              <w:end w:w="120" w:type="dxa"/>
            </w:tcMar>
            <w:vAlign w:val="center"/>
          </w:tcPr>
          <w:p>
            <w:pPr>
              <w:spacing w:before="0" w:after="0" w:line="259" w:lineRule="auto"/>
            </w:pPr>
            <w:r>
              <w:rPr>
                <w:rFonts w:ascii="Calibri" w:hAnsi="Calibri"/>
                <w:color w:val="000000"/>
                <w:sz w:val="19"/>
              </w:rPr>
              <w:t>Monthly forms must bind values to a single month and annual forms to a single reporting year.</w:t>
            </w:r>
          </w:p>
        </w:tc>
        <w:tc>
          <w:tcPr>
            <w:tcW w:type="dxa" w:w="3384"/>
            <w:tcMar>
              <w:top w:w="80" w:type="dxa"/>
              <w:bottom w:w="80" w:type="dxa"/>
              <w:start w:w="120" w:type="dxa"/>
              <w:end w:w="120" w:type="dxa"/>
            </w:tcMar>
            <w:vAlign w:val="center"/>
          </w:tcPr>
          <w:p>
            <w:pPr>
              <w:spacing w:before="0" w:after="0" w:line="259" w:lineRule="auto"/>
            </w:pPr>
            <w:r>
              <w:rPr>
                <w:rFonts w:ascii="Calibri" w:hAnsi="Calibri"/>
                <w:color w:val="000000"/>
                <w:sz w:val="19"/>
              </w:rPr>
              <w:t>MNO monthly workbook columns represent month periods; annual PDFs represent 2025 reporting year in provided samples.</w:t>
            </w:r>
          </w:p>
        </w:tc>
      </w:tr>
      <w:tr>
        <w:tc>
          <w:tcPr>
            <w:tcW w:type="dxa" w:w="1944"/>
            <w:tcMar>
              <w:top w:w="80" w:type="dxa"/>
              <w:bottom w:w="80" w:type="dxa"/>
              <w:start w:w="120" w:type="dxa"/>
              <w:end w:w="120" w:type="dxa"/>
            </w:tcMar>
            <w:vAlign w:val="center"/>
          </w:tcPr>
          <w:p>
            <w:pPr>
              <w:spacing w:after="0" w:line="259" w:lineRule="auto"/>
            </w:pPr>
            <w:r>
              <w:rPr>
                <w:rFonts w:ascii="Calibri" w:hAnsi="Calibri"/>
                <w:b w:val="0"/>
                <w:sz w:val="19"/>
              </w:rPr>
              <w:t>KMZ upload matching</w:t>
            </w:r>
          </w:p>
        </w:tc>
        <w:tc>
          <w:tcPr>
            <w:tcW w:type="dxa" w:w="3816"/>
            <w:tcMar>
              <w:top w:w="80" w:type="dxa"/>
              <w:bottom w:w="80" w:type="dxa"/>
              <w:start w:w="120" w:type="dxa"/>
              <w:end w:w="120" w:type="dxa"/>
            </w:tcMar>
            <w:vAlign w:val="center"/>
          </w:tcPr>
          <w:p>
            <w:pPr>
              <w:spacing w:after="0" w:line="259" w:lineRule="auto"/>
            </w:pPr>
            <w:r>
              <w:rPr>
                <w:rFonts w:ascii="Calibri" w:hAnsi="Calibri"/>
                <w:b w:val="0"/>
                <w:sz w:val="19"/>
              </w:rPr>
              <w:t>Required KMZ uploads must be linked to the correct form section and requirement.</w:t>
            </w:r>
          </w:p>
        </w:tc>
        <w:tc>
          <w:tcPr>
            <w:tcW w:type="dxa" w:w="3384"/>
            <w:tcMar>
              <w:top w:w="80" w:type="dxa"/>
              <w:bottom w:w="80" w:type="dxa"/>
              <w:start w:w="120" w:type="dxa"/>
              <w:end w:w="120" w:type="dxa"/>
            </w:tcMar>
            <w:vAlign w:val="center"/>
          </w:tcPr>
          <w:p>
            <w:pPr>
              <w:spacing w:after="0"/>
            </w:pPr>
            <w:r>
              <w:t>Topology KMZ is required only for DC-DBS05 in the corrected form set and must be clean or explicitly accepted before approval.</w:t>
            </w:r>
          </w:p>
        </w:tc>
      </w:tr>
      <w:tr>
        <w:tc>
          <w:tcPr>
            <w:tcW w:type="dxa" w:w="1944"/>
            <w:tcMar>
              <w:top w:w="80" w:type="dxa"/>
              <w:bottom w:w="80" w:type="dxa"/>
              <w:start w:w="120" w:type="dxa"/>
              <w:end w:w="120" w:type="dxa"/>
            </w:tcMar>
            <w:vAlign w:val="center"/>
          </w:tcPr>
          <w:p>
            <w:pPr>
              <w:spacing w:after="0" w:line="259" w:lineRule="auto"/>
            </w:pPr>
            <w:r>
              <w:rPr>
                <w:rFonts w:ascii="Calibri" w:hAnsi="Calibri"/>
                <w:b w:val="0"/>
                <w:sz w:val="19"/>
              </w:rPr>
              <w:t>Non-filled values</w:t>
            </w:r>
          </w:p>
        </w:tc>
        <w:tc>
          <w:tcPr>
            <w:tcW w:type="dxa" w:w="3816"/>
            <w:tcMar>
              <w:top w:w="80" w:type="dxa"/>
              <w:bottom w:w="80" w:type="dxa"/>
              <w:start w:w="120" w:type="dxa"/>
              <w:end w:w="120" w:type="dxa"/>
            </w:tcMar>
            <w:vAlign w:val="center"/>
          </w:tcPr>
          <w:p>
            <w:pPr>
              <w:spacing w:after="0" w:line="259" w:lineRule="auto"/>
            </w:pPr>
            <w:r>
              <w:rPr>
                <w:rFonts w:ascii="Calibri" w:hAnsi="Calibri"/>
                <w:b w:val="0"/>
                <w:sz w:val="19"/>
              </w:rPr>
              <w:t>Blank is not acceptable as meaning. Every empty required value must have an explicit status.</w:t>
            </w:r>
          </w:p>
        </w:tc>
        <w:tc>
          <w:tcPr>
            <w:tcW w:type="dxa" w:w="3384"/>
            <w:tcMar>
              <w:top w:w="80" w:type="dxa"/>
              <w:bottom w:w="80" w:type="dxa"/>
              <w:start w:w="120" w:type="dxa"/>
              <w:end w:w="120" w:type="dxa"/>
            </w:tcMar>
            <w:vAlign w:val="center"/>
          </w:tcPr>
          <w:p>
            <w:pPr>
              <w:spacing w:after="0" w:line="259" w:lineRule="auto"/>
            </w:pPr>
            <w:r>
              <w:rPr>
                <w:rFonts w:ascii="Calibri" w:hAnsi="Calibri"/>
                <w:b w:val="0"/>
                <w:sz w:val="19"/>
              </w:rPr>
              <w:t>Not Applicable, Not Available, Not Required for Provider, Pending Clarification.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120" w:type="dxa"/>
              <w:bottom w:w="120" w:type="dxa"/>
              <w:start w:w="180" w:type="dxa"/>
              <w:end w:w="180" w:type="dxa"/>
            </w:tcMar>
          </w:tcPr>
          <w:p>
            <w:pPr>
              <w:spacing w:before="0" w:after="60" w:line="264" w:lineRule="auto"/>
            </w:pPr>
            <w:r>
              <w:rPr>
                <w:rFonts w:ascii="Calibri" w:hAnsi="Calibri"/>
                <w:b/>
                <w:color w:val="1F4D78"/>
                <w:sz w:val="22"/>
              </w:rPr>
              <w:t>Accuracy Rule for Build</w:t>
            </w:r>
          </w:p>
          <w:p>
            <w:pPr>
              <w:spacing w:before="0" w:after="0" w:line="264" w:lineRule="auto"/>
            </w:pPr>
            <w:r>
              <w:t>The source forms are the authority for sections, field labels, units, KMZ requirements where applicable, and annual/monthly frequency. The PRD defines system behavior; developers should import/source-map each template into versioned manual web-form definitions rather than retyping fields manually in code.</w:t>
            </w:r>
          </w:p>
        </w:tc>
      </w:tr>
    </w:tbl>
    <w:p/>
    <w:p>
      <w:pPr>
        <w:pStyle w:val="Heading1"/>
        <w:spacing w:before="320" w:after="160" w:line="264" w:lineRule="auto"/>
      </w:pPr>
      <w:r>
        <w:t>11. Form-Specific Requirements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72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Form</w:t>
            </w:r>
          </w:p>
        </w:tc>
        <w:tc>
          <w:tcPr>
            <w:tcW w:type="dxa" w:w="180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Requirement type</w:t>
            </w:r>
          </w:p>
        </w:tc>
        <w:tc>
          <w:tcPr>
            <w:tcW w:type="dxa" w:w="561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Details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MNO-MONTHLY</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Sections</w:t>
            </w:r>
          </w:p>
        </w:tc>
        <w:tc>
          <w:tcPr>
            <w:tcW w:type="dxa" w:w="5616"/>
            <w:tcMar>
              <w:top w:w="80" w:type="dxa"/>
              <w:bottom w:w="80" w:type="dxa"/>
              <w:start w:w="120" w:type="dxa"/>
              <w:end w:w="120" w:type="dxa"/>
            </w:tcMar>
            <w:vAlign w:val="center"/>
          </w:tcPr>
          <w:p>
            <w:pPr>
              <w:spacing w:after="0" w:line="259" w:lineRule="auto"/>
            </w:pPr>
            <w:r>
              <w:rPr>
                <w:rFonts w:ascii="Calibri" w:hAnsi="Calibri"/>
                <w:sz w:val="19"/>
              </w:rPr>
              <w:t>Operator/contact details; 1. Industry Subscriptions covering mobile voice subscriptions, mobile data subscriptions, prepaid/postpaid data by 2G/3G/4G, newly activated SIMs, blocked subscriptions, M2M, mobile broadband, mobile data traffic, fixed telephone subscriptions, fixed line data, fixed broadband by technology, fixed broadband by speed, and smartphone/feature/basic phone user categories; 2. Smart and feature/basic phone counts by brand; 3. Market and consumer behavior; 4. Network parameters; 5. SMS counts; 6. Pricing and ARPU; 7. Domestic voice traffic and roaming; 8. International traffic in minutes and counts; 9. West Africa regional traffic; 10. Top 10 international country traffic; 11. OTT application/website data usage; 12. Mobile money payment.</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MNO-MONTHLY</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Special handling</w:t>
            </w:r>
          </w:p>
        </w:tc>
        <w:tc>
          <w:tcPr>
            <w:tcW w:type="dxa" w:w="5616"/>
            <w:tcMar>
              <w:top w:w="80" w:type="dxa"/>
              <w:bottom w:w="80" w:type="dxa"/>
              <w:start w:w="120" w:type="dxa"/>
              <w:end w:w="120" w:type="dxa"/>
            </w:tcMar>
            <w:vAlign w:val="center"/>
          </w:tcPr>
          <w:p>
            <w:pPr>
              <w:spacing w:after="0" w:line="259" w:lineRule="auto"/>
            </w:pPr>
            <w:r>
              <w:rPr>
                <w:rFonts w:ascii="Calibri" w:hAnsi="Calibri"/>
                <w:sz w:val="19"/>
              </w:rPr>
              <w:t>Requires long manual-entry grids, numeric validation, formula-derived totals, and row-level definitions/help text from the workbook. Phone brand grid must include Samsung, Apple, Huawei, Honor, Nokia, Xiaomi, OPPO, LG, Vivo, Lenovo, Tecno, Infinix, Google, Motorola, Sony, Realme, Hisense, TCL, HTC, OnePlus, BLU, Itel, and Others, split into smart phones and feature/basic phones. SMS and traffic grids must include MTN, Vodafone, AirtelTigo, Glo, ICH, fixed/mobile variants where present, international incoming/outgoing/transit minutes and counts, inbound/outbound roaming, and roaming data usage. West Africa grids must include Benin, Burkina Faso, Cape Verde, Cote D'Ivoire, Gambia, Guinea, Guinea-Bissau, Liberia, Mali, Mauritania, Niger, Nigeria, Senegal, Sierra Leone, and Togo. Top-country grids must include Canada, China, France, Germany, Italy, Nigeria, South Africa, UAE, UK, and USA. OTT grid must include Amazon, BitTorrent, Facebook, Google, Google Classroom, Google Duo, Instagram, Microsoft Teams, Netflix, Signal, Skype, Snapchat, Telegram, TikTok, Twitter, Webex, WhatsApp, YouTube, and Zoom. Mobile money captures subscriptions, transaction count, transaction value, and fees. V1 uses one reporting month at a time while preserving export mapping to the workbook's month-column structure.</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DC-ISP06</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Sections</w:t>
            </w:r>
          </w:p>
        </w:tc>
        <w:tc>
          <w:tcPr>
            <w:tcW w:type="dxa" w:w="5616"/>
            <w:tcMar>
              <w:top w:w="80" w:type="dxa"/>
              <w:bottom w:w="80" w:type="dxa"/>
              <w:start w:w="120" w:type="dxa"/>
              <w:end w:w="120" w:type="dxa"/>
            </w:tcMar>
            <w:vAlign w:val="center"/>
          </w:tcPr>
          <w:p>
            <w:pPr>
              <w:spacing w:before="0" w:after="0" w:line="259" w:lineRule="auto"/>
            </w:pPr>
            <w:r>
              <w:rPr>
                <w:rFonts w:ascii="Calibri" w:hAnsi="Calibri"/>
                <w:color w:val="000000"/>
                <w:sz w:val="19"/>
              </w:rPr>
              <w:t>Company details; employment; financials; upstream transit; IRU contracts; local internet service/GIX; bandwidth deployment and usage; subscriber base; fixed broadband by technology and speed; retail services; installation fees; PoPs; backhaul links/frequencies; tower distribution; VSAT hub; tariffs; comments.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DC-ISP06</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Special handling</w:t>
            </w:r>
          </w:p>
        </w:tc>
        <w:tc>
          <w:tcPr>
            <w:tcW w:type="dxa" w:w="5616"/>
            <w:tcMar>
              <w:top w:w="80" w:type="dxa"/>
              <w:bottom w:w="80" w:type="dxa"/>
              <w:start w:w="120" w:type="dxa"/>
              <w:end w:w="120" w:type="dxa"/>
            </w:tcMar>
            <w:vAlign w:val="center"/>
          </w:tcPr>
          <w:p>
            <w:pPr>
              <w:spacing w:before="0" w:after="0" w:line="259" w:lineRule="auto"/>
            </w:pPr>
            <w:r>
              <w:rPr>
                <w:rFonts w:ascii="Calibri" w:hAnsi="Calibri"/>
                <w:color w:val="000000"/>
                <w:sz w:val="19"/>
              </w:rPr>
              <w:t>Supports repeatable supplier rows, package/tariff rows, PoP location rows with coordinates, and conditional fields for IRU/GIX/VSAT answers.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DC-ITC04</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Sections</w:t>
            </w:r>
          </w:p>
        </w:tc>
        <w:tc>
          <w:tcPr>
            <w:tcW w:type="dxa" w:w="5616"/>
            <w:tcMar>
              <w:top w:w="80" w:type="dxa"/>
              <w:bottom w:w="80" w:type="dxa"/>
              <w:start w:w="120" w:type="dxa"/>
              <w:end w:w="120" w:type="dxa"/>
            </w:tcMar>
            <w:vAlign w:val="center"/>
          </w:tcPr>
          <w:p>
            <w:pPr>
              <w:spacing w:after="0" w:line="259" w:lineRule="auto"/>
            </w:pPr>
            <w:r>
              <w:rPr>
                <w:rFonts w:ascii="Calibri" w:hAnsi="Calibri"/>
                <w:b w:val="0"/>
                <w:sz w:val="19"/>
              </w:rPr>
              <w:t>Company details; employment; financials; site maintenance; on-grid/off-grid sites; off-grid power mode; regional owned/managed tower distribution; tenant groups; permits; added towers; decommissioned towers; acquisitions; declaration.</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DC-ITC04</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Special handling</w:t>
            </w:r>
          </w:p>
        </w:tc>
        <w:tc>
          <w:tcPr>
            <w:tcW w:type="dxa" w:w="5616"/>
            <w:tcMar>
              <w:top w:w="80" w:type="dxa"/>
              <w:bottom w:w="80" w:type="dxa"/>
              <w:start w:w="120" w:type="dxa"/>
              <w:end w:w="120" w:type="dxa"/>
            </w:tcMar>
            <w:vAlign w:val="center"/>
          </w:tcPr>
          <w:p>
            <w:pPr>
              <w:spacing w:after="0" w:line="259" w:lineRule="auto"/>
            </w:pPr>
            <w:r>
              <w:rPr>
                <w:rFonts w:ascii="Calibri" w:hAnsi="Calibri"/>
                <w:b w:val="0"/>
                <w:sz w:val="19"/>
              </w:rPr>
              <w:t>Supports fixed regional grids and repeatable tower-addition rows with coordinates. Supplementary document upload is V2/external process.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TOWER-MAIN-ANNUAL</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Sections</w:t>
            </w:r>
          </w:p>
        </w:tc>
        <w:tc>
          <w:tcPr>
            <w:tcW w:type="dxa" w:w="5616"/>
            <w:tcMar>
              <w:top w:w="80" w:type="dxa"/>
              <w:bottom w:w="80" w:type="dxa"/>
              <w:start w:w="120" w:type="dxa"/>
              <w:end w:w="120" w:type="dxa"/>
            </w:tcMar>
            <w:vAlign w:val="center"/>
          </w:tcPr>
          <w:p>
            <w:pPr>
              <w:spacing w:before="0" w:after="0" w:line="259" w:lineRule="auto"/>
            </w:pPr>
            <w:r>
              <w:rPr>
                <w:rFonts w:ascii="Calibri" w:hAnsi="Calibri"/>
                <w:color w:val="000000"/>
                <w:sz w:val="19"/>
              </w:rPr>
              <w:t>Owned sites; owned average rent; managed sites; managed average rent; decommissioned towers.</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TOWER-MAIN-ANNUAL</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Special handling</w:t>
            </w:r>
          </w:p>
        </w:tc>
        <w:tc>
          <w:tcPr>
            <w:tcW w:type="dxa" w:w="5616"/>
            <w:tcMar>
              <w:top w:w="80" w:type="dxa"/>
              <w:bottom w:w="80" w:type="dxa"/>
              <w:start w:w="120" w:type="dxa"/>
              <w:end w:w="120" w:type="dxa"/>
            </w:tcMar>
            <w:vAlign w:val="center"/>
          </w:tcPr>
          <w:p>
            <w:pPr>
              <w:spacing w:after="0"/>
            </w:pPr>
            <w:r>
              <w:t>Source formulas/references are converted into explicit regional grids and calculated totals. TOWER-MAIN-ANNUAL is published as a visibly provisional code; an official replacement creates a new family/version rather than rewriting history.</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DC-DBS05</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Sections</w:t>
            </w:r>
          </w:p>
        </w:tc>
        <w:tc>
          <w:tcPr>
            <w:tcW w:type="dxa" w:w="5616"/>
            <w:tcMar>
              <w:top w:w="80" w:type="dxa"/>
              <w:bottom w:w="80" w:type="dxa"/>
              <w:start w:w="120" w:type="dxa"/>
              <w:end w:w="120" w:type="dxa"/>
            </w:tcMar>
            <w:vAlign w:val="center"/>
          </w:tcPr>
          <w:p>
            <w:pPr>
              <w:spacing w:after="0" w:line="259" w:lineRule="auto"/>
            </w:pPr>
            <w:r>
              <w:rPr>
                <w:rFonts w:ascii="Calibri" w:hAnsi="Calibri"/>
                <w:b w:val="0"/>
                <w:sz w:val="19"/>
              </w:rPr>
              <w:t>Company details; employment; financials; capacity; fibre lengths; leased cables; microwave capacity; backbone topology; last-mile deployment; FTTH regional distribution; regional fibre network; regional fibre cuts; repair cost/time; fibre cut causes; coverage; KMZ upload where required; declaration.</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DC-DBS05</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Special handling</w:t>
            </w:r>
          </w:p>
        </w:tc>
        <w:tc>
          <w:tcPr>
            <w:tcW w:type="dxa" w:w="5616"/>
            <w:tcMar>
              <w:top w:w="80" w:type="dxa"/>
              <w:bottom w:w="80" w:type="dxa"/>
              <w:start w:w="120" w:type="dxa"/>
              <w:end w:w="120" w:type="dxa"/>
            </w:tcMar>
            <w:vAlign w:val="center"/>
          </w:tcPr>
          <w:p>
            <w:pPr>
              <w:spacing w:after="0"/>
            </w:pPr>
            <w:r>
              <w:t>This is the only corrected form with required topology KMZ. It also uses fixed Ghana-region grids, exact fibre-cut classifications, prescribed km/Gbps/GHS/hours/count units, and percentage validation.</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DC-SUB03</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Sections</w:t>
            </w:r>
          </w:p>
        </w:tc>
        <w:tc>
          <w:tcPr>
            <w:tcW w:type="dxa" w:w="5616"/>
            <w:tcMar>
              <w:top w:w="80" w:type="dxa"/>
              <w:bottom w:w="80" w:type="dxa"/>
              <w:start w:w="120" w:type="dxa"/>
              <w:end w:w="120" w:type="dxa"/>
            </w:tcMar>
            <w:vAlign w:val="center"/>
          </w:tcPr>
          <w:p>
            <w:pPr>
              <w:spacing w:after="0" w:line="259" w:lineRule="auto"/>
            </w:pPr>
            <w:r>
              <w:rPr>
                <w:rFonts w:ascii="Calibri" w:hAnsi="Calibri"/>
                <w:b w:val="0"/>
                <w:sz w:val="19"/>
              </w:rPr>
              <w:t>Company details; employment; financials; circuit costs; cable metadata; total/Ghana capacity; client category counts; fibre cuts; completion checklist; comments; declaration.</w:t>
            </w:r>
          </w:p>
        </w:tc>
      </w:tr>
      <w:tr>
        <w:tc>
          <w:tcPr>
            <w:tcW w:type="dxa" w:w="1728"/>
            <w:tcMar>
              <w:top w:w="80" w:type="dxa"/>
              <w:bottom w:w="80" w:type="dxa"/>
              <w:start w:w="120" w:type="dxa"/>
              <w:end w:w="120" w:type="dxa"/>
            </w:tcMar>
            <w:vAlign w:val="center"/>
          </w:tcPr>
          <w:p>
            <w:pPr>
              <w:spacing w:before="0" w:after="0" w:line="259" w:lineRule="auto"/>
            </w:pPr>
            <w:r>
              <w:rPr>
                <w:rFonts w:ascii="Calibri" w:hAnsi="Calibri"/>
                <w:color w:val="000000"/>
                <w:sz w:val="19"/>
              </w:rPr>
              <w:t>DC-SUB03</w:t>
            </w:r>
          </w:p>
        </w:tc>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Special handling</w:t>
            </w:r>
          </w:p>
        </w:tc>
        <w:tc>
          <w:tcPr>
            <w:tcW w:type="dxa" w:w="5616"/>
            <w:tcMar>
              <w:top w:w="80" w:type="dxa"/>
              <w:bottom w:w="80" w:type="dxa"/>
              <w:start w:w="120" w:type="dxa"/>
              <w:end w:w="120" w:type="dxa"/>
            </w:tcMar>
            <w:vAlign w:val="center"/>
          </w:tcPr>
          <w:p>
            <w:pPr>
              <w:spacing w:after="0"/>
            </w:pPr>
            <w:r>
              <w:t>Global cable and Ghana segment metrics remain distinct. Section 11 future attachments are non-KMZ; no KMZ requirement is configured for DC-SUB03.</w:t>
            </w:r>
          </w:p>
        </w:tc>
      </w:tr>
      <w:tr>
        <w:tc>
          <w:tcPr>
            <w:tcW w:type="dxa" w:w="1728"/>
            <w:tcMar>
              <w:top w:w="80" w:type="dxa"/>
              <w:bottom w:w="80" w:type="dxa"/>
              <w:start w:w="120" w:type="dxa"/>
              <w:end w:w="120" w:type="dxa"/>
            </w:tcMar>
            <w:vAlign w:val="center"/>
          </w:tcPr>
          <w:p>
            <w:pPr>
              <w:spacing w:after="0" w:line="259" w:lineRule="auto"/>
            </w:pPr>
            <w:r>
              <w:rPr>
                <w:rFonts w:ascii="Calibri" w:hAnsi="Calibri"/>
                <w:b w:val="0"/>
                <w:sz w:val="19"/>
              </w:rPr>
              <w:t>DC-TB02</w:t>
            </w:r>
          </w:p>
        </w:tc>
        <w:tc>
          <w:tcPr>
            <w:tcW w:type="dxa" w:w="1800"/>
            <w:tcMar>
              <w:top w:w="80" w:type="dxa"/>
              <w:bottom w:w="80" w:type="dxa"/>
              <w:start w:w="120" w:type="dxa"/>
              <w:end w:w="120" w:type="dxa"/>
            </w:tcMar>
            <w:vAlign w:val="center"/>
          </w:tcPr>
          <w:p>
            <w:pPr>
              <w:spacing w:after="0" w:line="259" w:lineRule="auto"/>
            </w:pPr>
            <w:r>
              <w:rPr>
                <w:rFonts w:ascii="Calibri" w:hAnsi="Calibri"/>
                <w:b w:val="0"/>
                <w:sz w:val="19"/>
              </w:rPr>
              <w:t>Sections</w:t>
            </w:r>
          </w:p>
        </w:tc>
        <w:tc>
          <w:tcPr>
            <w:tcW w:type="dxa" w:w="5616"/>
            <w:tcMar>
              <w:top w:w="80" w:type="dxa"/>
              <w:bottom w:w="80" w:type="dxa"/>
              <w:start w:w="120" w:type="dxa"/>
              <w:end w:w="120" w:type="dxa"/>
            </w:tcMar>
            <w:vAlign w:val="center"/>
          </w:tcPr>
          <w:p>
            <w:pPr>
              <w:spacing w:after="0" w:line="259" w:lineRule="auto"/>
            </w:pPr>
            <w:r>
              <w:rPr>
                <w:rFonts w:ascii="Calibri" w:hAnsi="Calibri"/>
                <w:b w:val="0"/>
                <w:sz w:val="19"/>
              </w:rPr>
              <w:t>Company details and contact persons; type of television broadcasting service; encryption and internet streaming details; affiliations/media group ownership; employment; financials; types of services and cost; regional Pay-TV dealer counts; television channel counts by bouquet; satellite services; checklist; comments and challenges; declaration.</w:t>
            </w:r>
          </w:p>
        </w:tc>
      </w:tr>
      <w:tr>
        <w:tc>
          <w:tcPr>
            <w:tcW w:type="dxa" w:w="1728"/>
            <w:tcMar>
              <w:top w:w="80" w:type="dxa"/>
              <w:bottom w:w="80" w:type="dxa"/>
              <w:start w:w="120" w:type="dxa"/>
              <w:end w:w="120" w:type="dxa"/>
            </w:tcMar>
            <w:vAlign w:val="center"/>
          </w:tcPr>
          <w:p>
            <w:pPr>
              <w:spacing w:after="0" w:line="259" w:lineRule="auto"/>
            </w:pPr>
            <w:r>
              <w:rPr>
                <w:rFonts w:ascii="Calibri" w:hAnsi="Calibri"/>
                <w:b w:val="0"/>
                <w:sz w:val="19"/>
              </w:rPr>
              <w:t>DC-TB02</w:t>
            </w:r>
          </w:p>
        </w:tc>
        <w:tc>
          <w:tcPr>
            <w:tcW w:type="dxa" w:w="1800"/>
            <w:tcMar>
              <w:top w:w="80" w:type="dxa"/>
              <w:bottom w:w="80" w:type="dxa"/>
              <w:start w:w="120" w:type="dxa"/>
              <w:end w:w="120" w:type="dxa"/>
            </w:tcMar>
            <w:vAlign w:val="center"/>
          </w:tcPr>
          <w:p>
            <w:pPr>
              <w:spacing w:after="0" w:line="259" w:lineRule="auto"/>
            </w:pPr>
            <w:r>
              <w:rPr>
                <w:rFonts w:ascii="Calibri" w:hAnsi="Calibri"/>
                <w:b w:val="0"/>
                <w:sz w:val="19"/>
              </w:rPr>
              <w:t>Special handling</w:t>
            </w:r>
          </w:p>
        </w:tc>
        <w:tc>
          <w:tcPr>
            <w:tcW w:type="dxa" w:w="5616"/>
            <w:tcMar>
              <w:top w:w="80" w:type="dxa"/>
              <w:bottom w:w="80" w:type="dxa"/>
              <w:start w:w="120" w:type="dxa"/>
              <w:end w:w="120" w:type="dxa"/>
            </w:tcMar>
            <w:vAlign w:val="center"/>
          </w:tcPr>
          <w:p>
            <w:pPr>
              <w:spacing w:after="0" w:line="259" w:lineRule="auto"/>
            </w:pPr>
            <w:r>
              <w:rPr>
                <w:rFonts w:ascii="Calibri" w:hAnsi="Calibri"/>
                <w:b w:val="0"/>
                <w:sz w:val="19"/>
              </w:rPr>
              <w:t>Supports annual manual web-form reporting, yes/no and tick-box service selections, fixed Ghana regional dealer grid, bouquet subscription/tariff/channel grids, satellite provider grid, and configurable deadline rules. Audited financial statement and optional tariff/service document uploads are V2/external process. Source deadline shown: 27 February 2026.</w:t>
            </w:r>
          </w:p>
        </w:tc>
      </w:tr>
    </w:tbl>
    <w:p/>
    <w:p>
      <w:pPr>
        <w:pStyle w:val="Heading1"/>
        <w:spacing w:before="320" w:after="160" w:line="264" w:lineRule="auto"/>
      </w:pPr>
      <w:r>
        <w:t>12. Notifications and Compliance Rules</w:t>
      </w:r>
    </w:p>
    <w:p>
      <w:pPr>
        <w:spacing w:before="0" w:after="120" w:line="264" w:lineRule="auto"/>
      </w:pPr>
      <w:r>
        <w:rPr>
          <w:rFonts w:ascii="Calibri" w:hAnsi="Calibri"/>
          <w:color w:val="000000"/>
        </w:rPr>
        <w:t>Reminder timing should be configurable per reporting period and provider/form obligation.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16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Trigger</w:t>
            </w:r>
          </w:p>
        </w:tc>
        <w:tc>
          <w:tcPr>
            <w:tcW w:type="dxa" w:w="201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Default timing</w:t>
            </w:r>
          </w:p>
        </w:tc>
        <w:tc>
          <w:tcPr>
            <w:tcW w:type="dxa" w:w="496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Notes</w:t>
            </w:r>
          </w:p>
        </w:tc>
      </w:tr>
      <w:tr>
        <w:tc>
          <w:tcPr>
            <w:tcW w:type="dxa" w:w="2160"/>
            <w:tcMar>
              <w:top w:w="80" w:type="dxa"/>
              <w:bottom w:w="80" w:type="dxa"/>
              <w:start w:w="120" w:type="dxa"/>
              <w:end w:w="120" w:type="dxa"/>
            </w:tcMar>
            <w:vAlign w:val="center"/>
          </w:tcPr>
          <w:p>
            <w:pPr>
              <w:spacing w:before="0" w:after="0" w:line="259" w:lineRule="auto"/>
            </w:pPr>
            <w:r>
              <w:rPr>
                <w:rFonts w:ascii="Calibri" w:hAnsi="Calibri"/>
                <w:color w:val="000000"/>
                <w:sz w:val="19"/>
              </w:rPr>
              <w:t>Opening notice</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Opening day</w:t>
            </w:r>
          </w:p>
        </w:tc>
        <w:tc>
          <w:tcPr>
            <w:tcW w:type="dxa" w:w="4968"/>
            <w:tcMar>
              <w:top w:w="80" w:type="dxa"/>
              <w:bottom w:w="80" w:type="dxa"/>
              <w:start w:w="120" w:type="dxa"/>
              <w:end w:w="120" w:type="dxa"/>
            </w:tcMar>
            <w:vAlign w:val="center"/>
          </w:tcPr>
          <w:p>
            <w:pPr>
              <w:spacing w:after="0"/>
            </w:pPr>
            <w:r>
              <w:t>Creates portal notification and, when applicable, an approved outbound message queue item. No message is marked sent without a configured provider and delivery evidence.</w:t>
            </w:r>
          </w:p>
        </w:tc>
      </w:tr>
      <w:tr>
        <w:tc>
          <w:tcPr>
            <w:tcW w:type="dxa" w:w="2160"/>
            <w:tcMar>
              <w:top w:w="80" w:type="dxa"/>
              <w:bottom w:w="80" w:type="dxa"/>
              <w:start w:w="120" w:type="dxa"/>
              <w:end w:w="120" w:type="dxa"/>
            </w:tcMar>
            <w:vAlign w:val="center"/>
          </w:tcPr>
          <w:p>
            <w:pPr>
              <w:spacing w:before="0" w:after="0" w:line="259" w:lineRule="auto"/>
            </w:pPr>
            <w:r>
              <w:rPr>
                <w:rFonts w:ascii="Calibri" w:hAnsi="Calibri"/>
                <w:color w:val="000000"/>
                <w:sz w:val="19"/>
              </w:rPr>
              <w:t>Pre-due reminders</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14 days, 7 days, 3 days before due date</w:t>
            </w:r>
          </w:p>
        </w:tc>
        <w:tc>
          <w:tcPr>
            <w:tcW w:type="dxa" w:w="4968"/>
            <w:tcMar>
              <w:top w:w="80" w:type="dxa"/>
              <w:bottom w:w="80" w:type="dxa"/>
              <w:start w:w="120" w:type="dxa"/>
              <w:end w:w="120" w:type="dxa"/>
            </w:tcMar>
            <w:vAlign w:val="center"/>
          </w:tcPr>
          <w:p>
            <w:pPr>
              <w:spacing w:before="0" w:after="0" w:line="259" w:lineRule="auto"/>
            </w:pPr>
            <w:r>
              <w:rPr>
                <w:rFonts w:ascii="Calibri" w:hAnsi="Calibri"/>
                <w:color w:val="000000"/>
                <w:sz w:val="19"/>
              </w:rPr>
              <w:t>Can be disabled or changed per form.</w:t>
            </w:r>
          </w:p>
        </w:tc>
      </w:tr>
      <w:tr>
        <w:tc>
          <w:tcPr>
            <w:tcW w:type="dxa" w:w="2160"/>
            <w:tcMar>
              <w:top w:w="80" w:type="dxa"/>
              <w:bottom w:w="80" w:type="dxa"/>
              <w:start w:w="120" w:type="dxa"/>
              <w:end w:w="120" w:type="dxa"/>
            </w:tcMar>
            <w:vAlign w:val="center"/>
          </w:tcPr>
          <w:p>
            <w:pPr>
              <w:spacing w:before="0" w:after="0" w:line="259" w:lineRule="auto"/>
            </w:pPr>
            <w:r>
              <w:rPr>
                <w:rFonts w:ascii="Calibri" w:hAnsi="Calibri"/>
                <w:color w:val="000000"/>
                <w:sz w:val="19"/>
              </w:rPr>
              <w:t>Due date notice</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On due date</w:t>
            </w:r>
          </w:p>
        </w:tc>
        <w:tc>
          <w:tcPr>
            <w:tcW w:type="dxa" w:w="4968"/>
            <w:tcMar>
              <w:top w:w="80" w:type="dxa"/>
              <w:bottom w:w="80" w:type="dxa"/>
              <w:start w:w="120" w:type="dxa"/>
              <w:end w:w="120" w:type="dxa"/>
            </w:tcMar>
            <w:vAlign w:val="center"/>
          </w:tcPr>
          <w:p>
            <w:pPr>
              <w:spacing w:before="0" w:after="0" w:line="259" w:lineRule="auto"/>
            </w:pPr>
            <w:r>
              <w:rPr>
                <w:rFonts w:ascii="Calibri" w:hAnsi="Calibri"/>
                <w:color w:val="000000"/>
                <w:sz w:val="19"/>
              </w:rPr>
              <w:t>Only for not submitted or incomplete submissions.</w:t>
            </w:r>
          </w:p>
        </w:tc>
      </w:tr>
      <w:tr>
        <w:tc>
          <w:tcPr>
            <w:tcW w:type="dxa" w:w="2160"/>
            <w:tcMar>
              <w:top w:w="80" w:type="dxa"/>
              <w:bottom w:w="80" w:type="dxa"/>
              <w:start w:w="120" w:type="dxa"/>
              <w:end w:w="120" w:type="dxa"/>
            </w:tcMar>
            <w:vAlign w:val="center"/>
          </w:tcPr>
          <w:p>
            <w:pPr>
              <w:spacing w:before="0" w:after="0" w:line="259" w:lineRule="auto"/>
            </w:pPr>
            <w:r>
              <w:rPr>
                <w:rFonts w:ascii="Calibri" w:hAnsi="Calibri"/>
                <w:color w:val="000000"/>
                <w:sz w:val="19"/>
              </w:rPr>
              <w:t>Overdue notices</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1 day, 7 days, 14 days overdue</w:t>
            </w:r>
          </w:p>
        </w:tc>
        <w:tc>
          <w:tcPr>
            <w:tcW w:type="dxa" w:w="4968"/>
            <w:tcMar>
              <w:top w:w="80" w:type="dxa"/>
              <w:bottom w:w="80" w:type="dxa"/>
              <w:start w:w="120" w:type="dxa"/>
              <w:end w:w="120" w:type="dxa"/>
            </w:tcMar>
            <w:vAlign w:val="center"/>
          </w:tcPr>
          <w:p>
            <w:pPr>
              <w:spacing w:before="0" w:after="0" w:line="259" w:lineRule="auto"/>
            </w:pPr>
            <w:r>
              <w:rPr>
                <w:rFonts w:ascii="Calibri" w:hAnsi="Calibri"/>
                <w:color w:val="000000"/>
                <w:sz w:val="19"/>
              </w:rPr>
              <w:t>Escalation wording and penalty language require NCA approval.</w:t>
            </w:r>
          </w:p>
        </w:tc>
      </w:tr>
      <w:tr>
        <w:tc>
          <w:tcPr>
            <w:tcW w:type="dxa" w:w="2160"/>
            <w:tcMar>
              <w:top w:w="80" w:type="dxa"/>
              <w:bottom w:w="80" w:type="dxa"/>
              <w:start w:w="120" w:type="dxa"/>
              <w:end w:w="120" w:type="dxa"/>
            </w:tcMar>
            <w:vAlign w:val="center"/>
          </w:tcPr>
          <w:p>
            <w:pPr>
              <w:spacing w:before="0" w:after="0" w:line="259" w:lineRule="auto"/>
            </w:pPr>
            <w:r>
              <w:rPr>
                <w:rFonts w:ascii="Calibri" w:hAnsi="Calibri"/>
                <w:color w:val="000000"/>
                <w:sz w:val="19"/>
              </w:rPr>
              <w:t>Correction request</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Immediately after reviewer action</w:t>
            </w:r>
          </w:p>
        </w:tc>
        <w:tc>
          <w:tcPr>
            <w:tcW w:type="dxa" w:w="4968"/>
            <w:tcMar>
              <w:top w:w="80" w:type="dxa"/>
              <w:bottom w:w="80" w:type="dxa"/>
              <w:start w:w="120" w:type="dxa"/>
              <w:end w:w="120" w:type="dxa"/>
            </w:tcMar>
            <w:vAlign w:val="center"/>
          </w:tcPr>
          <w:p>
            <w:pPr>
              <w:spacing w:after="0"/>
            </w:pPr>
            <w:r>
              <w:t>Portal notification is immediate and contains targeted correction instructions. Email remains a draft/queue item unless delivery is configured.</w:t>
            </w:r>
          </w:p>
        </w:tc>
      </w:tr>
      <w:tr>
        <w:tc>
          <w:tcPr>
            <w:tcW w:type="dxa" w:w="2160"/>
            <w:tcMar>
              <w:top w:w="80" w:type="dxa"/>
              <w:bottom w:w="80" w:type="dxa"/>
              <w:start w:w="120" w:type="dxa"/>
              <w:end w:w="120" w:type="dxa"/>
            </w:tcMar>
            <w:vAlign w:val="center"/>
          </w:tcPr>
          <w:p>
            <w:pPr>
              <w:spacing w:before="0" w:after="0" w:line="259" w:lineRule="auto"/>
            </w:pPr>
            <w:r>
              <w:rPr>
                <w:rFonts w:ascii="Calibri" w:hAnsi="Calibri"/>
                <w:color w:val="000000"/>
                <w:sz w:val="19"/>
              </w:rPr>
              <w:t>Submission confirmation</w:t>
            </w:r>
          </w:p>
        </w:tc>
        <w:tc>
          <w:tcPr>
            <w:tcW w:type="dxa" w:w="2016"/>
            <w:tcMar>
              <w:top w:w="80" w:type="dxa"/>
              <w:bottom w:w="80" w:type="dxa"/>
              <w:start w:w="120" w:type="dxa"/>
              <w:end w:w="120" w:type="dxa"/>
            </w:tcMar>
            <w:vAlign w:val="center"/>
          </w:tcPr>
          <w:p>
            <w:pPr>
              <w:spacing w:before="0" w:after="0" w:line="259" w:lineRule="auto"/>
            </w:pPr>
            <w:r>
              <w:rPr>
                <w:rFonts w:ascii="Calibri" w:hAnsi="Calibri"/>
                <w:color w:val="000000"/>
                <w:sz w:val="19"/>
              </w:rPr>
              <w:t>Immediately after official submission</w:t>
            </w:r>
          </w:p>
        </w:tc>
        <w:tc>
          <w:tcPr>
            <w:tcW w:type="dxa" w:w="4968"/>
            <w:tcMar>
              <w:top w:w="80" w:type="dxa"/>
              <w:bottom w:w="80" w:type="dxa"/>
              <w:start w:w="120" w:type="dxa"/>
              <w:end w:w="120" w:type="dxa"/>
            </w:tcMar>
            <w:vAlign w:val="center"/>
          </w:tcPr>
          <w:p>
            <w:pPr>
              <w:spacing w:after="0"/>
            </w:pPr>
            <w:r>
              <w:t>Immutable receipt/event and portal notifications are created transactionally. Provider and assigned NCA users see audience-appropriate status updates.</w:t>
            </w:r>
          </w:p>
        </w:tc>
      </w:tr>
    </w:tbl>
    <w:p/>
    <w:p>
      <w:pPr>
        <w:spacing w:before="0" w:after="120" w:line="264" w:lineRule="auto"/>
      </w:pPr>
      <w:r>
        <w:t>Required template placeholders include provider_name, form_name, reporting_period, due_date, days_until_due, days_overdue, missing_sections, missing_fields, missing_kmz_uploads, portal_link, NCA_contact_person, penalty_reference, submission_status, and correction_comment.</w:t>
      </w:r>
    </w:p>
    <w:p>
      <w:pPr>
        <w:pStyle w:val="Heading1"/>
        <w:spacing w:before="320" w:after="160" w:line="264" w:lineRule="auto"/>
      </w:pPr>
      <w:r>
        <w:t>13. Security, Privacy, and Operations</w:t>
      </w:r>
    </w:p>
    <w:p>
      <w:pPr>
        <w:pStyle w:val="ListBullet"/>
        <w:spacing w:before="0" w:after="80" w:line="280" w:lineRule="auto"/>
      </w:pPr>
      <w:r>
        <w:t>Treat provider submissions as confidential regulatory data. Some source forms include personal contact details, commercial terms, revenue, capacity, network topology, and infrastructure coordinates.</w:t>
      </w:r>
    </w:p>
    <w:p>
      <w:pPr>
        <w:pStyle w:val="ListBullet"/>
        <w:spacing w:before="0" w:after="80" w:line="280" w:lineRule="auto"/>
      </w:pPr>
      <w:r>
        <w:t>Production runs behind NCA-managed TLS ingress with strict hosts/origins, HTTPS redirect, HSTS, secure cookies, CSRF, frame denial, safe secrets and trusted proxy CIDRs. Unsafe production configuration fails startup.</w:t>
      </w:r>
    </w:p>
    <w:p>
      <w:pPr>
        <w:pStyle w:val="ListBullet"/>
        <w:spacing w:before="0" w:after="80" w:line="280" w:lineRule="auto"/>
      </w:pPr>
      <w:r>
        <w:t>KMZ, Excel backups, receipts, operational exports and data-request artifacts are stored outside public media and downloaded only through authenticated streaming endpoints.</w:t>
      </w:r>
    </w:p>
    <w:p>
      <w:pPr>
        <w:pStyle w:val="ListBullet"/>
        <w:spacing w:before="0" w:after="80" w:line="280" w:lineRule="auto"/>
      </w:pPr>
      <w:r>
        <w:t>Central audit emission covers authentication, users/configuration, forms, periods, workflow/corrections, validations, overrides, uploads/scans/downloads, messages, compliance, exports, support, retention and recovery; events are hash chained and daily anchored.</w:t>
      </w:r>
    </w:p>
    <w:p>
      <w:pPr>
        <w:pStyle w:val="ListBullet"/>
        <w:spacing w:before="0" w:after="80" w:line="280" w:lineRule="auto"/>
      </w:pPr>
      <w:r>
        <w:t>Back up PostgreSQL/WAL and private files to approved encrypted immutable storage and verify restoration in isolation against configured RPO/RTO. Credentials, targets and completed recovery evidence are external release inputs.</w:t>
      </w:r>
    </w:p>
    <w:p>
      <w:pPr>
        <w:pStyle w:val="ListBullet"/>
        <w:spacing w:before="0" w:after="80" w:line="280" w:lineRule="auto"/>
      </w:pPr>
      <w:r>
        <w:t>Disable debug mode in production and restrict admin functions to authorized staff.</w:t>
      </w:r>
    </w:p>
    <w:p>
      <w:pPr>
        <w:pStyle w:val="ListBullet"/>
        <w:spacing w:before="0" w:after="80" w:line="280" w:lineRule="auto"/>
      </w:pPr>
      <w:r>
        <w:t>Automated disposition remains globally disabled until approved record-class retention policies exist. Legal holds override disposition, and every approved run begins with an auditable dry run.</w:t>
      </w:r>
    </w:p>
    <w:p>
      <w:pPr>
        <w:pStyle w:val="Heading1"/>
        <w:spacing w:before="320" w:after="160" w:line="264" w:lineRule="auto"/>
      </w:pPr>
      <w:r>
        <w:t>14. MVP Release Plan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80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Phase</w:t>
            </w:r>
          </w:p>
        </w:tc>
        <w:tc>
          <w:tcPr>
            <w:tcW w:type="dxa" w:w="4464"/>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Scope</w:t>
            </w:r>
          </w:p>
        </w:tc>
        <w:tc>
          <w:tcPr>
            <w:tcW w:type="dxa" w:w="288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Exit criteria</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0. Form mapping and setup</w:t>
            </w:r>
          </w:p>
        </w:tc>
        <w:tc>
          <w:tcPr>
            <w:tcW w:type="dxa" w:w="4464"/>
            <w:tcMar>
              <w:top w:w="80" w:type="dxa"/>
              <w:bottom w:w="80" w:type="dxa"/>
              <w:start w:w="120" w:type="dxa"/>
              <w:end w:w="120" w:type="dxa"/>
            </w:tcMar>
            <w:vAlign w:val="center"/>
          </w:tcPr>
          <w:p>
            <w:pPr>
              <w:spacing w:after="0" w:line="259" w:lineRule="auto"/>
            </w:pPr>
            <w:r>
              <w:rPr>
                <w:rFonts w:ascii="Calibri" w:hAnsi="Calibri"/>
                <w:b w:val="0"/>
                <w:sz w:val="19"/>
              </w:rPr>
              <w:t>Confirm source templates, assign form codes, map sections/fields/grids/KMZ requirements, define validation rules, and confirm pilot provider list.</w:t>
            </w:r>
          </w:p>
        </w:tc>
        <w:tc>
          <w:tcPr>
            <w:tcW w:type="dxa" w:w="2880"/>
            <w:tcMar>
              <w:top w:w="80" w:type="dxa"/>
              <w:bottom w:w="80" w:type="dxa"/>
              <w:start w:w="120" w:type="dxa"/>
              <w:end w:w="120" w:type="dxa"/>
            </w:tcMar>
            <w:vAlign w:val="center"/>
          </w:tcPr>
          <w:p>
            <w:pPr>
              <w:spacing w:after="0"/>
            </w:pPr>
            <w:r>
              <w:t>Seven corrected immutable versions pass objective Section 11 structural checks. Historical versions remain readable; Tower code is visibly provisional and exact source-workbook fidelity is not claimed.</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1. Foundation</w:t>
            </w:r>
          </w:p>
        </w:tc>
        <w:tc>
          <w:tcPr>
            <w:tcW w:type="dxa" w:w="4464"/>
            <w:tcMar>
              <w:top w:w="80" w:type="dxa"/>
              <w:bottom w:w="80" w:type="dxa"/>
              <w:start w:w="120" w:type="dxa"/>
              <w:end w:w="120" w:type="dxa"/>
            </w:tcMar>
            <w:vAlign w:val="center"/>
          </w:tcPr>
          <w:p>
            <w:pPr>
              <w:spacing w:before="0" w:after="0" w:line="259" w:lineRule="auto"/>
            </w:pPr>
            <w:r>
              <w:rPr>
                <w:rFonts w:ascii="Calibri" w:hAnsi="Calibri"/>
                <w:color w:val="000000"/>
                <w:sz w:val="19"/>
              </w:rPr>
              <w:t>Authentication, RBAC, provider profiles, contacts, form template engine, reporting period setup, and expected submission generation.</w:t>
            </w:r>
          </w:p>
        </w:tc>
        <w:tc>
          <w:tcPr>
            <w:tcW w:type="dxa" w:w="2880"/>
            <w:tcMar>
              <w:top w:w="80" w:type="dxa"/>
              <w:bottom w:w="80" w:type="dxa"/>
              <w:start w:w="120" w:type="dxa"/>
              <w:end w:w="120" w:type="dxa"/>
            </w:tcMar>
            <w:vAlign w:val="center"/>
          </w:tcPr>
          <w:p>
            <w:pPr>
              <w:spacing w:before="0" w:after="0" w:line="259" w:lineRule="auto"/>
            </w:pPr>
            <w:r>
              <w:rPr>
                <w:rFonts w:ascii="Calibri" w:hAnsi="Calibri"/>
                <w:color w:val="000000"/>
                <w:sz w:val="19"/>
              </w:rPr>
              <w:t>Admin can configure a reporting period and assign forms to providers.</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2. Provider submission workflow</w:t>
            </w:r>
          </w:p>
        </w:tc>
        <w:tc>
          <w:tcPr>
            <w:tcW w:type="dxa" w:w="4464"/>
            <w:tcMar>
              <w:top w:w="80" w:type="dxa"/>
              <w:bottom w:w="80" w:type="dxa"/>
              <w:start w:w="120" w:type="dxa"/>
              <w:end w:w="120" w:type="dxa"/>
            </w:tcMar>
            <w:vAlign w:val="center"/>
          </w:tcPr>
          <w:p>
            <w:pPr>
              <w:spacing w:after="0"/>
            </w:pPr>
            <w:r>
              <w:t>Explicit provider state machine, targeted correction/resubmission, tenant-isolated approver queue, full validation and immutable provider workflow events/notifications.</w:t>
            </w:r>
          </w:p>
        </w:tc>
        <w:tc>
          <w:tcPr>
            <w:tcW w:type="dxa" w:w="2880"/>
            <w:tcMar>
              <w:top w:w="80" w:type="dxa"/>
              <w:bottom w:w="80" w:type="dxa"/>
              <w:start w:w="120" w:type="dxa"/>
              <w:end w:w="120" w:type="dxa"/>
            </w:tcMar>
            <w:vAlign w:val="center"/>
          </w:tcPr>
          <w:p>
            <w:pPr>
              <w:spacing w:after="0" w:line="259" w:lineRule="auto"/>
            </w:pPr>
            <w:r>
              <w:rPr>
                <w:rFonts w:ascii="Calibri" w:hAnsi="Calibri"/>
                <w:b w:val="0"/>
                <w:sz w:val="19"/>
              </w:rPr>
              <w:t>Provider can manually submit one annual and one monthly pilot form end to end.</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3. NCA review workflow</w:t>
            </w:r>
          </w:p>
        </w:tc>
        <w:tc>
          <w:tcPr>
            <w:tcW w:type="dxa" w:w="4464"/>
            <w:tcMar>
              <w:top w:w="80" w:type="dxa"/>
              <w:bottom w:w="80" w:type="dxa"/>
              <w:start w:w="120" w:type="dxa"/>
              <w:end w:w="120" w:type="dxa"/>
            </w:tcMar>
            <w:vAlign w:val="center"/>
          </w:tcPr>
          <w:p>
            <w:pPr>
              <w:spacing w:after="0"/>
            </w:pPr>
            <w:r>
              <w:t>Exact-version NCA review, cloned regulatory corrections, unaffected-content locks, non-filled dispositions, receipts and approval blockers.</w:t>
            </w:r>
          </w:p>
        </w:tc>
        <w:tc>
          <w:tcPr>
            <w:tcW w:type="dxa" w:w="2880"/>
            <w:tcMar>
              <w:top w:w="80" w:type="dxa"/>
              <w:bottom w:w="80" w:type="dxa"/>
              <w:start w:w="120" w:type="dxa"/>
              <w:end w:w="120" w:type="dxa"/>
            </w:tcMar>
            <w:vAlign w:val="center"/>
          </w:tcPr>
          <w:p>
            <w:pPr>
              <w:spacing w:after="0" w:line="259" w:lineRule="auto"/>
            </w:pPr>
            <w:r>
              <w:rPr>
                <w:rFonts w:ascii="Calibri" w:hAnsi="Calibri"/>
                <w:b w:val="0"/>
                <w:sz w:val="19"/>
              </w:rPr>
              <w:t>NCA can review and close pilot submissions with full audit trail.</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4. Compliance and email trail</w:t>
            </w:r>
          </w:p>
        </w:tc>
        <w:tc>
          <w:tcPr>
            <w:tcW w:type="dxa" w:w="4464"/>
            <w:tcMar>
              <w:top w:w="80" w:type="dxa"/>
              <w:bottom w:w="80" w:type="dxa"/>
              <w:start w:w="120" w:type="dxa"/>
              <w:end w:w="120" w:type="dxa"/>
            </w:tcMar>
            <w:vAlign w:val="center"/>
          </w:tcPr>
          <w:p>
            <w:pPr>
              <w:spacing w:after="0"/>
            </w:pPr>
            <w:r>
              <w:t>Portal compliance workflow plus provider-neutral message drafts/queue. Manual Sent controls are removed; live delivery remains disabled without credentials/evidence.</w:t>
            </w:r>
          </w:p>
        </w:tc>
        <w:tc>
          <w:tcPr>
            <w:tcW w:type="dxa" w:w="2880"/>
            <w:tcMar>
              <w:top w:w="80" w:type="dxa"/>
              <w:bottom w:w="80" w:type="dxa"/>
              <w:start w:w="120" w:type="dxa"/>
              <w:end w:w="120" w:type="dxa"/>
            </w:tcMar>
            <w:vAlign w:val="center"/>
          </w:tcPr>
          <w:p>
            <w:pPr>
              <w:spacing w:before="0" w:after="0" w:line="259" w:lineRule="auto"/>
            </w:pPr>
            <w:r>
              <w:t>NCA Officer can identify overdue providers and preserve follow-up history.</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5. Exports and launch hardening</w:t>
            </w:r>
          </w:p>
        </w:tc>
        <w:tc>
          <w:tcPr>
            <w:tcW w:type="dxa" w:w="4464"/>
            <w:tcMar>
              <w:top w:w="80" w:type="dxa"/>
              <w:bottom w:w="80" w:type="dxa"/>
              <w:start w:w="120" w:type="dxa"/>
              <w:end w:w="120" w:type="dxa"/>
            </w:tcMar>
            <w:vAlign w:val="center"/>
          </w:tcPr>
          <w:p>
            <w:pPr>
              <w:spacing w:after="0"/>
            </w:pPr>
            <w:r>
              <w:t>Approved-only operational CSV/PDF, aggregate dashboard XLSX, private file scan/download controls, cookie/CSRF authentication, audits, recovery tooling and publication evidence.</w:t>
            </w:r>
          </w:p>
        </w:tc>
        <w:tc>
          <w:tcPr>
            <w:tcW w:type="dxa" w:w="2880"/>
            <w:tcMar>
              <w:top w:w="80" w:type="dxa"/>
              <w:bottom w:w="80" w:type="dxa"/>
              <w:start w:w="120" w:type="dxa"/>
              <w:end w:w="120" w:type="dxa"/>
            </w:tcMar>
            <w:vAlign w:val="center"/>
          </w:tcPr>
          <w:p>
            <w:pPr>
              <w:spacing w:after="0" w:line="259" w:lineRule="auto"/>
            </w:pPr>
            <w:r>
              <w:rPr>
                <w:rFonts w:ascii="Calibri" w:hAnsi="Calibri"/>
                <w:b w:val="0"/>
                <w:sz w:val="19"/>
              </w:rPr>
              <w:t>Authorized staff can export clean pilot data and launch readiness checks pass.</w:t>
            </w:r>
          </w:p>
        </w:tc>
      </w:tr>
    </w:tbl>
    <w:p/>
    <w:p>
      <w:pPr>
        <w:pStyle w:val="Heading1"/>
        <w:spacing w:before="320" w:after="160" w:line="264" w:lineRule="auto"/>
      </w:pPr>
      <w:r>
        <w:t>15. Initial Development Backlog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800"/>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Epic</w:t>
            </w:r>
          </w:p>
        </w:tc>
        <w:tc>
          <w:tcPr>
            <w:tcW w:type="dxa" w:w="460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MVP stories</w:t>
            </w:r>
          </w:p>
        </w:tc>
        <w:tc>
          <w:tcPr>
            <w:tcW w:type="dxa" w:w="2736"/>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Acceptance signal</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Identity and RBAC</w:t>
            </w:r>
          </w:p>
        </w:tc>
        <w:tc>
          <w:tcPr>
            <w:tcW w:type="dxa" w:w="4608"/>
            <w:tcMar>
              <w:top w:w="80" w:type="dxa"/>
              <w:bottom w:w="80" w:type="dxa"/>
              <w:start w:w="120" w:type="dxa"/>
              <w:end w:w="120" w:type="dxa"/>
            </w:tcMar>
            <w:vAlign w:val="center"/>
          </w:tcPr>
          <w:p>
            <w:pPr>
              <w:spacing w:after="0"/>
            </w:pPr>
            <w:r>
              <w:t>Five-role login/logout, HttpOnly cookie JWT, CSRF, rotation/revocation, lockout, Admin temporary-password reset, mandatory password change and provider/requester isolation. MFA is deferred.</w:t>
            </w:r>
          </w:p>
        </w:tc>
        <w:tc>
          <w:tcPr>
            <w:tcW w:type="dxa" w:w="2736"/>
            <w:tcMar>
              <w:top w:w="80" w:type="dxa"/>
              <w:bottom w:w="80" w:type="dxa"/>
              <w:start w:w="120" w:type="dxa"/>
              <w:end w:w="120" w:type="dxa"/>
            </w:tcMar>
            <w:vAlign w:val="center"/>
          </w:tcPr>
          <w:p>
            <w:pPr>
              <w:spacing w:before="0" w:after="0" w:line="259" w:lineRule="auto"/>
            </w:pPr>
            <w:r>
              <w:rPr>
                <w:rFonts w:ascii="Calibri" w:hAnsi="Calibri"/>
                <w:color w:val="000000"/>
                <w:sz w:val="19"/>
              </w:rPr>
              <w:t>Provider A cannot see Provider B data; deactivated user cannot log in.</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Provider registry</w:t>
            </w:r>
          </w:p>
        </w:tc>
        <w:tc>
          <w:tcPr>
            <w:tcW w:type="dxa" w:w="4608"/>
            <w:tcMar>
              <w:top w:w="80" w:type="dxa"/>
              <w:bottom w:w="80" w:type="dxa"/>
              <w:start w:w="120" w:type="dxa"/>
              <w:end w:w="120" w:type="dxa"/>
            </w:tcMar>
            <w:vAlign w:val="center"/>
          </w:tcPr>
          <w:p>
            <w:pPr>
              <w:spacing w:before="0" w:after="0" w:line="259" w:lineRule="auto"/>
            </w:pPr>
            <w:r>
              <w:rPr>
                <w:rFonts w:ascii="Calibri" w:hAnsi="Calibri"/>
                <w:color w:val="000000"/>
                <w:sz w:val="19"/>
              </w:rPr>
              <w:t>Create provider, contacts, licence details, category, status, reporting obligations, assigned forms.</w:t>
            </w:r>
          </w:p>
        </w:tc>
        <w:tc>
          <w:tcPr>
            <w:tcW w:type="dxa" w:w="2736"/>
            <w:tcMar>
              <w:top w:w="80" w:type="dxa"/>
              <w:bottom w:w="80" w:type="dxa"/>
              <w:start w:w="120" w:type="dxa"/>
              <w:end w:w="120" w:type="dxa"/>
            </w:tcMar>
            <w:vAlign w:val="center"/>
          </w:tcPr>
          <w:p>
            <w:pPr>
              <w:spacing w:before="0" w:after="0" w:line="259" w:lineRule="auto"/>
            </w:pPr>
            <w:r>
              <w:rPr>
                <w:rFonts w:ascii="Calibri" w:hAnsi="Calibri"/>
                <w:color w:val="000000"/>
                <w:sz w:val="19"/>
              </w:rPr>
              <w:t>Provider profile can pre-fill company/contact details in assigned forms.</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Form builder</w:t>
            </w:r>
          </w:p>
        </w:tc>
        <w:tc>
          <w:tcPr>
            <w:tcW w:type="dxa" w:w="4608"/>
            <w:tcMar>
              <w:top w:w="80" w:type="dxa"/>
              <w:bottom w:w="80" w:type="dxa"/>
              <w:start w:w="120" w:type="dxa"/>
              <w:end w:w="120" w:type="dxa"/>
            </w:tcMar>
            <w:vAlign w:val="center"/>
          </w:tcPr>
          <w:p>
            <w:pPr>
              <w:spacing w:after="0"/>
            </w:pPr>
            <w:r>
              <w:t>Immutable family/version management, source map, preview, grid columns/fixed rows/options/conditions/formulas/validated rules, DBS05 KMZ, strict gaps and publication gates.</w:t>
            </w:r>
          </w:p>
        </w:tc>
        <w:tc>
          <w:tcPr>
            <w:tcW w:type="dxa" w:w="2736"/>
            <w:tcMar>
              <w:top w:w="80" w:type="dxa"/>
              <w:bottom w:w="80" w:type="dxa"/>
              <w:start w:w="120" w:type="dxa"/>
              <w:end w:w="120" w:type="dxa"/>
            </w:tcMar>
            <w:vAlign w:val="center"/>
          </w:tcPr>
          <w:p>
            <w:pPr>
              <w:spacing w:after="0" w:line="259" w:lineRule="auto"/>
            </w:pPr>
            <w:r>
              <w:rPr>
                <w:rFonts w:ascii="Calibri" w:hAnsi="Calibri"/>
                <w:b w:val="0"/>
                <w:sz w:val="19"/>
              </w:rPr>
              <w:t>Admin can model DC-SUB03 and one monthly MNO section without code changes.</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Reporting periods</w:t>
            </w:r>
          </w:p>
        </w:tc>
        <w:tc>
          <w:tcPr>
            <w:tcW w:type="dxa" w:w="4608"/>
            <w:tcMar>
              <w:top w:w="80" w:type="dxa"/>
              <w:bottom w:w="80" w:type="dxa"/>
              <w:start w:w="120" w:type="dxa"/>
              <w:end w:w="120" w:type="dxa"/>
            </w:tcMar>
            <w:vAlign w:val="center"/>
          </w:tcPr>
          <w:p>
            <w:pPr>
              <w:spacing w:before="0" w:after="0" w:line="259" w:lineRule="auto"/>
            </w:pPr>
            <w:r>
              <w:rPr>
                <w:rFonts w:ascii="Calibri" w:hAnsi="Calibri"/>
                <w:color w:val="000000"/>
                <w:sz w:val="19"/>
              </w:rPr>
              <w:t>Create annual/monthly periods, due dates, reminder schedules, and expected submissions.</w:t>
            </w:r>
          </w:p>
        </w:tc>
        <w:tc>
          <w:tcPr>
            <w:tcW w:type="dxa" w:w="2736"/>
            <w:tcMar>
              <w:top w:w="80" w:type="dxa"/>
              <w:bottom w:w="80" w:type="dxa"/>
              <w:start w:w="120" w:type="dxa"/>
              <w:end w:w="120" w:type="dxa"/>
            </w:tcMar>
            <w:vAlign w:val="center"/>
          </w:tcPr>
          <w:p>
            <w:pPr>
              <w:spacing w:before="0" w:after="0" w:line="259" w:lineRule="auto"/>
            </w:pPr>
            <w:r>
              <w:rPr>
                <w:rFonts w:ascii="Calibri" w:hAnsi="Calibri"/>
                <w:color w:val="000000"/>
                <w:sz w:val="19"/>
              </w:rPr>
              <w:t>Activating a period generates the correct provider-form obligations.</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Provider entry</w:t>
            </w:r>
          </w:p>
        </w:tc>
        <w:tc>
          <w:tcPr>
            <w:tcW w:type="dxa" w:w="4608"/>
            <w:tcMar>
              <w:top w:w="80" w:type="dxa"/>
              <w:bottom w:w="80" w:type="dxa"/>
              <w:start w:w="120" w:type="dxa"/>
              <w:end w:w="120" w:type="dxa"/>
            </w:tcMar>
            <w:vAlign w:val="center"/>
          </w:tcPr>
          <w:p>
            <w:pPr>
              <w:spacing w:after="0" w:line="259" w:lineRule="auto"/>
            </w:pPr>
            <w:r>
              <w:rPr>
                <w:rFonts w:ascii="Calibri" w:hAnsi="Calibri"/>
                <w:b w:val="0"/>
                <w:sz w:val="19"/>
              </w:rPr>
              <w:t>Manual web-form entry, draft save, section navigation, required markers, field statuses, comments, and validation errors.</w:t>
            </w:r>
          </w:p>
        </w:tc>
        <w:tc>
          <w:tcPr>
            <w:tcW w:type="dxa" w:w="2736"/>
            <w:tcMar>
              <w:top w:w="80" w:type="dxa"/>
              <w:bottom w:w="80" w:type="dxa"/>
              <w:start w:w="120" w:type="dxa"/>
              <w:end w:w="120" w:type="dxa"/>
            </w:tcMar>
            <w:vAlign w:val="center"/>
          </w:tcPr>
          <w:p>
            <w:pPr>
              <w:spacing w:after="0" w:line="259" w:lineRule="auto"/>
            </w:pPr>
            <w:r>
              <w:rPr>
                <w:rFonts w:ascii="Calibri" w:hAnsi="Calibri"/>
                <w:b w:val="0"/>
                <w:sz w:val="19"/>
              </w:rPr>
              <w:t>Provider can save incomplete draft and return later.</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KMZ uploads</w:t>
            </w:r>
          </w:p>
        </w:tc>
        <w:tc>
          <w:tcPr>
            <w:tcW w:type="dxa" w:w="4608"/>
            <w:tcMar>
              <w:top w:w="80" w:type="dxa"/>
              <w:bottom w:w="80" w:type="dxa"/>
              <w:start w:w="120" w:type="dxa"/>
              <w:end w:w="120" w:type="dxa"/>
            </w:tcMar>
            <w:vAlign w:val="center"/>
          </w:tcPr>
          <w:p>
            <w:pPr>
              <w:spacing w:after="0"/>
            </w:pPr>
            <w:r>
              <w:t>Private, quarantined, hashed and scan-gated DBS05 topology KMZ; authenticated role-scoped download. Other corrected forms have no topology KMZ requirement.</w:t>
            </w:r>
          </w:p>
        </w:tc>
        <w:tc>
          <w:tcPr>
            <w:tcW w:type="dxa" w:w="2736"/>
            <w:tcMar>
              <w:top w:w="80" w:type="dxa"/>
              <w:bottom w:w="80" w:type="dxa"/>
              <w:start w:w="120" w:type="dxa"/>
              <w:end w:w="120" w:type="dxa"/>
            </w:tcMar>
            <w:vAlign w:val="center"/>
          </w:tcPr>
          <w:p>
            <w:pPr>
              <w:spacing w:after="0" w:line="259" w:lineRule="auto"/>
            </w:pPr>
            <w:r>
              <w:rPr>
                <w:rFonts w:ascii="Calibri" w:hAnsi="Calibri"/>
                <w:b w:val="0"/>
                <w:sz w:val="19"/>
              </w:rPr>
              <w:t>Unsupported file type is rejected; KMZ upload is visible in submission review where applicable.</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Provider approval</w:t>
            </w:r>
          </w:p>
        </w:tc>
        <w:tc>
          <w:tcPr>
            <w:tcW w:type="dxa" w:w="4608"/>
            <w:tcMar>
              <w:top w:w="80" w:type="dxa"/>
              <w:bottom w:w="80" w:type="dxa"/>
              <w:start w:w="120" w:type="dxa"/>
              <w:end w:w="120" w:type="dxa"/>
            </w:tcMar>
            <w:vAlign w:val="center"/>
          </w:tcPr>
          <w:p>
            <w:pPr>
              <w:spacing w:after="0"/>
            </w:pPr>
            <w:r>
              <w:t>Submit to Approver, targeted provider correction, resubmit and official submission with immutable events, reasons, targets, timestamps and portal notifications.</w:t>
            </w:r>
          </w:p>
        </w:tc>
        <w:tc>
          <w:tcPr>
            <w:tcW w:type="dxa" w:w="2736"/>
            <w:tcMar>
              <w:top w:w="80" w:type="dxa"/>
              <w:bottom w:w="80" w:type="dxa"/>
              <w:start w:w="120" w:type="dxa"/>
              <w:end w:w="120" w:type="dxa"/>
            </w:tcMar>
            <w:vAlign w:val="center"/>
          </w:tcPr>
          <w:p>
            <w:pPr>
              <w:spacing w:before="0" w:after="0" w:line="259" w:lineRule="auto"/>
            </w:pPr>
            <w:r>
              <w:rPr>
                <w:rFonts w:ascii="Calibri" w:hAnsi="Calibri"/>
                <w:color w:val="000000"/>
                <w:sz w:val="19"/>
              </w:rPr>
              <w:t>Data entry user cannot submit officially without approver permission.</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sz w:val="19"/>
              </w:rPr>
              <w:t>NCA review</w:t>
            </w:r>
          </w:p>
        </w:tc>
        <w:tc>
          <w:tcPr>
            <w:tcW w:type="dxa" w:w="4608"/>
            <w:tcMar>
              <w:top w:w="80" w:type="dxa"/>
              <w:bottom w:w="80" w:type="dxa"/>
              <w:start w:w="120" w:type="dxa"/>
              <w:end w:w="120" w:type="dxa"/>
            </w:tcMar>
            <w:vAlign w:val="center"/>
          </w:tcPr>
          <w:p>
            <w:pPr>
              <w:spacing w:after="0" w:line="259" w:lineRule="auto"/>
            </w:pPr>
            <w:r>
              <w:rPr>
                <w:rFonts w:ascii="Calibri" w:hAnsi="Calibri"/>
                <w:b w:val="0"/>
                <w:sz w:val="19"/>
              </w:rPr>
              <w:t>Review dashboard, values, KMZ uploads where applicable, correction request, approve/reject, comments.</w:t>
            </w:r>
          </w:p>
        </w:tc>
        <w:tc>
          <w:tcPr>
            <w:tcW w:type="dxa" w:w="2736"/>
            <w:tcMar>
              <w:top w:w="80" w:type="dxa"/>
              <w:bottom w:w="80" w:type="dxa"/>
              <w:start w:w="120" w:type="dxa"/>
              <w:end w:w="120" w:type="dxa"/>
            </w:tcMar>
            <w:vAlign w:val="center"/>
          </w:tcPr>
          <w:p>
            <w:pPr>
              <w:spacing w:after="0" w:line="259" w:lineRule="auto"/>
            </w:pPr>
            <w:r>
              <w:rPr>
                <w:rFonts w:ascii="Calibri" w:hAnsi="Calibri"/>
                <w:b w:val="0"/>
                <w:sz w:val="19"/>
              </w:rPr>
              <w:t>Correction request unlocks relevant fields and creates resubmission version.</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Compliance</w:t>
            </w:r>
          </w:p>
        </w:tc>
        <w:tc>
          <w:tcPr>
            <w:tcW w:type="dxa" w:w="4608"/>
            <w:tcMar>
              <w:top w:w="80" w:type="dxa"/>
              <w:bottom w:w="80" w:type="dxa"/>
              <w:start w:w="120" w:type="dxa"/>
              <w:end w:w="120" w:type="dxa"/>
            </w:tcMar>
            <w:vAlign w:val="center"/>
          </w:tcPr>
          <w:p>
            <w:pPr>
              <w:spacing w:before="0" w:after="0" w:line="259" w:lineRule="auto"/>
            </w:pPr>
            <w:r>
              <w:rPr>
                <w:rFonts w:ascii="Calibri" w:hAnsi="Calibri"/>
                <w:color w:val="000000"/>
                <w:sz w:val="19"/>
              </w:rPr>
              <w:t>Overdue list, reminder draft, email log, compliance notes, follow-up status.</w:t>
            </w:r>
          </w:p>
        </w:tc>
        <w:tc>
          <w:tcPr>
            <w:tcW w:type="dxa" w:w="2736"/>
            <w:tcMar>
              <w:top w:w="80" w:type="dxa"/>
              <w:bottom w:w="80" w:type="dxa"/>
              <w:start w:w="120" w:type="dxa"/>
              <w:end w:w="120" w:type="dxa"/>
            </w:tcMar>
            <w:vAlign w:val="center"/>
          </w:tcPr>
          <w:p>
            <w:pPr>
              <w:spacing w:before="0" w:after="0" w:line="259" w:lineRule="auto"/>
            </w:pPr>
            <w:r>
              <w:t>NCA Officer can see last reminder and next follow-up for a provider.</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Exports</w:t>
            </w:r>
          </w:p>
        </w:tc>
        <w:tc>
          <w:tcPr>
            <w:tcW w:type="dxa" w:w="4608"/>
            <w:tcMar>
              <w:top w:w="80" w:type="dxa"/>
              <w:bottom w:w="80" w:type="dxa"/>
              <w:start w:w="120" w:type="dxa"/>
              <w:end w:w="120" w:type="dxa"/>
            </w:tcMar>
            <w:vAlign w:val="center"/>
          </w:tcPr>
          <w:p>
            <w:pPr>
              <w:spacing w:after="0"/>
            </w:pPr>
            <w:r>
              <w:t>Approved-only canonical operational CSV/PDF, request CSV/XLSX/PDF artifacts and role-sanitized aggregate dashboard XLSX; all authenticated and audited.</w:t>
            </w:r>
          </w:p>
        </w:tc>
        <w:tc>
          <w:tcPr>
            <w:tcW w:type="dxa" w:w="2736"/>
            <w:tcMar>
              <w:top w:w="80" w:type="dxa"/>
              <w:bottom w:w="80" w:type="dxa"/>
              <w:start w:w="120" w:type="dxa"/>
              <w:end w:w="120" w:type="dxa"/>
            </w:tcMar>
            <w:vAlign w:val="center"/>
          </w:tcPr>
          <w:p>
            <w:pPr>
              <w:spacing w:before="0" w:after="0" w:line="259" w:lineRule="auto"/>
            </w:pPr>
            <w:r>
              <w:rPr>
                <w:rFonts w:ascii="Calibri" w:hAnsi="Calibri"/>
                <w:color w:val="000000"/>
                <w:sz w:val="19"/>
              </w:rPr>
              <w:t>CSV opens cleanly in Excel-compatible tools and includes field status/reason.</w:t>
            </w:r>
          </w:p>
        </w:tc>
      </w:tr>
      <w:tr>
        <w:tc>
          <w:tcPr>
            <w:tcW w:type="dxa" w:w="1800"/>
            <w:tcMar>
              <w:top w:w="80" w:type="dxa"/>
              <w:bottom w:w="80" w:type="dxa"/>
              <w:start w:w="120" w:type="dxa"/>
              <w:end w:w="120" w:type="dxa"/>
            </w:tcMar>
            <w:vAlign w:val="center"/>
          </w:tcPr>
          <w:p>
            <w:pPr>
              <w:spacing w:before="0" w:after="0" w:line="259" w:lineRule="auto"/>
            </w:pPr>
            <w:r>
              <w:rPr>
                <w:rFonts w:ascii="Calibri" w:hAnsi="Calibri"/>
                <w:color w:val="000000"/>
                <w:sz w:val="19"/>
              </w:rPr>
              <w:t>Audit</w:t>
            </w:r>
          </w:p>
        </w:tc>
        <w:tc>
          <w:tcPr>
            <w:tcW w:type="dxa" w:w="4608"/>
            <w:tcMar>
              <w:top w:w="80" w:type="dxa"/>
              <w:bottom w:w="80" w:type="dxa"/>
              <w:start w:w="120" w:type="dxa"/>
              <w:end w:w="120" w:type="dxa"/>
            </w:tcMar>
            <w:vAlign w:val="center"/>
          </w:tcPr>
          <w:p>
            <w:pPr>
              <w:spacing w:before="0" w:after="0" w:line="259" w:lineRule="auto"/>
            </w:pPr>
            <w:r>
              <w:rPr>
                <w:rFonts w:ascii="Calibri" w:hAnsi="Calibri"/>
                <w:color w:val="000000"/>
                <w:sz w:val="19"/>
              </w:rPr>
              <w:t>Immutable events for key operations.</w:t>
            </w:r>
          </w:p>
        </w:tc>
        <w:tc>
          <w:tcPr>
            <w:tcW w:type="dxa" w:w="2736"/>
            <w:tcMar>
              <w:top w:w="80" w:type="dxa"/>
              <w:bottom w:w="80" w:type="dxa"/>
              <w:start w:w="120" w:type="dxa"/>
              <w:end w:w="120" w:type="dxa"/>
            </w:tcMar>
            <w:vAlign w:val="center"/>
          </w:tcPr>
          <w:p>
            <w:pPr>
              <w:spacing w:before="0" w:after="0" w:line="259" w:lineRule="auto"/>
            </w:pPr>
            <w:r>
              <w:rPr>
                <w:rFonts w:ascii="Calibri" w:hAnsi="Calibri"/>
                <w:color w:val="000000"/>
                <w:sz w:val="19"/>
              </w:rPr>
              <w:t>Official submission, approval, rejection, reminder, and export each produce audit records.</w:t>
            </w:r>
          </w:p>
        </w:tc>
      </w:tr>
    </w:tbl>
    <w:p/>
    <w:p>
      <w:pPr>
        <w:pStyle w:val="Heading1"/>
        <w:spacing w:before="320" w:after="160" w:line="264" w:lineRule="auto"/>
      </w:pPr>
      <w:r>
        <w:t>16. Definition of Ready and Done</w:t>
      </w:r>
    </w:p>
    <w:p>
      <w:pPr>
        <w:pStyle w:val="Heading2"/>
        <w:spacing w:before="240" w:after="120" w:line="264" w:lineRule="auto"/>
      </w:pPr>
      <w:r>
        <w:t>16.1 Definition of Ready for Development</w:t>
      </w:r>
    </w:p>
    <w:p>
      <w:pPr>
        <w:pStyle w:val="ListBullet"/>
        <w:spacing w:before="0" w:after="80" w:line="280" w:lineRule="auto"/>
      </w:pPr>
      <w:r>
        <w:t>Pilot provider categories and exact pilot forms are confirmed.</w:t>
      </w:r>
    </w:p>
    <w:p>
      <w:pPr>
        <w:pStyle w:val="ListBullet"/>
        <w:spacing w:before="0" w:after="80" w:line="280" w:lineRule="auto"/>
      </w:pPr>
      <w:r>
        <w:t>The seven PRD-derived versions are structurally verified and published. TOWER-MAIN-ANNUAL remains visibly provisional pending an approved official code; a future decision creates a new family/version.</w:t>
      </w:r>
    </w:p>
    <w:p>
      <w:pPr>
        <w:pStyle w:val="ListBullet"/>
        <w:spacing w:before="0" w:after="80" w:line="280" w:lineRule="auto"/>
      </w:pPr>
      <w:r>
        <w:t>Section 11 structural maps, units, conditions, formulas, validations, declarations and DBS05-only topology KMZ are enforced. Exact source-workbook fidelity remains pending approved original forms.</w:t>
      </w:r>
    </w:p>
    <w:p>
      <w:pPr>
        <w:pStyle w:val="ListBullet"/>
        <w:spacing w:before="0" w:after="80" w:line="280" w:lineRule="auto"/>
      </w:pPr>
      <w:r>
        <w:t>MFA and live Microsoft Graph delivery are documented deferred work. Manual web entry, private Excel backup evidence and DBS05 topology KMZ are accepted release boundaries.</w:t>
      </w:r>
    </w:p>
    <w:p>
      <w:pPr>
        <w:pStyle w:val="ListBullet"/>
        <w:spacing w:before="0" w:after="80" w:line="280" w:lineRule="auto"/>
      </w:pPr>
      <w:r>
        <w:t>Security controls are implemented. Approved retention schedules, production domains/secrets, trusted ingress, immutable backup destination, RPO/RTO, restore evidence and formal UAT are external readiness gates.</w:t>
      </w:r>
    </w:p>
    <w:p>
      <w:pPr>
        <w:pStyle w:val="Heading2"/>
        <w:spacing w:before="240" w:after="120" w:line="264" w:lineRule="auto"/>
      </w:pPr>
      <w:r>
        <w:t>16.2 Definition of Done for MVP</w:t>
      </w:r>
    </w:p>
    <w:p>
      <w:pPr>
        <w:pStyle w:val="ListBullet"/>
        <w:spacing w:before="0" w:after="80" w:line="280" w:lineRule="auto"/>
      </w:pPr>
      <w:r>
        <w:t>At least one annual reporting cycle and one monthly reporting cycle can be configured end to end.</w:t>
      </w:r>
    </w:p>
    <w:p>
      <w:pPr>
        <w:pStyle w:val="ListBullet"/>
        <w:spacing w:before="0" w:after="80" w:line="280" w:lineRule="auto"/>
      </w:pPr>
      <w:r>
        <w:t>Providers can enter scalar/grid data, save optimistic snapshots, complete provider correction/resubmission and have a Provider Approver make the official submission.</w:t>
      </w:r>
    </w:p>
    <w:p>
      <w:pPr>
        <w:pStyle w:val="ListBullet"/>
        <w:spacing w:before="0" w:after="80" w:line="280" w:lineRule="auto"/>
      </w:pPr>
      <w:r>
        <w:t>NCA staff review the exact immutable schema, request targeted cloned corrections, decide non-filled explanations, inspect clean private files and approve/reject with a complete audit trail.</w:t>
      </w:r>
    </w:p>
    <w:p>
      <w:pPr>
        <w:pStyle w:val="ListBullet"/>
        <w:spacing w:before="0" w:after="80" w:line="280" w:lineRule="auto"/>
      </w:pPr>
      <w:r>
        <w:t>NCA Admin/Officer can identify overdue providers, create reminder drafts/queue records and view follow-up history; delivery is not falsely represented when no provider is configured.</w:t>
      </w:r>
    </w:p>
    <w:p>
      <w:pPr>
        <w:pStyle w:val="ListBullet"/>
        <w:spacing w:before="0" w:after="80" w:line="280" w:lineRule="auto"/>
      </w:pPr>
      <w:r>
        <w:t>Approved-only operational CSV/PDF, governed request artifacts and role-sanitized aggregate dashboard XLSX work with server-side permissions and audit records.</w:t>
      </w:r>
    </w:p>
    <w:p>
      <w:pPr>
        <w:pStyle w:val="ListBullet"/>
        <w:spacing w:before="0" w:after="80" w:line="280" w:lineRule="auto"/>
      </w:pPr>
      <w:r>
        <w:t>The system distinguishes missing data from accepted non-filled field statuses.</w:t>
      </w:r>
    </w:p>
    <w:p>
      <w:pPr>
        <w:pStyle w:val="ListBullet"/>
        <w:spacing w:before="0" w:after="80" w:line="280" w:lineRule="auto"/>
      </w:pPr>
      <w:r>
        <w:t>Key actions are auditable and provider data is isolated by organization.</w:t>
      </w:r>
    </w:p>
    <w:p>
      <w:pPr>
        <w:pStyle w:val="Heading1"/>
        <w:spacing w:before="320" w:after="160" w:line="264" w:lineRule="auto"/>
      </w:pPr>
      <w:r>
        <w:t>17. Success Metrics</w:t>
      </w:r>
    </w:p>
    <w:p>
      <w:pPr>
        <w:pStyle w:val="ListBullet"/>
        <w:spacing w:before="0" w:after="80" w:line="280" w:lineRule="auto"/>
      </w:pPr>
      <w:r>
        <w:t>100 percent of expected submissions for a pilot period are generated correctly from provider obligations.</w:t>
      </w:r>
    </w:p>
    <w:p>
      <w:pPr>
        <w:pStyle w:val="ListBullet"/>
        <w:spacing w:before="0" w:after="80" w:line="280" w:lineRule="auto"/>
      </w:pPr>
      <w:r>
        <w:t>Providers can complete pilot forms without email-based primary submission.</w:t>
      </w:r>
    </w:p>
    <w:p>
      <w:pPr>
        <w:pStyle w:val="ListBullet"/>
        <w:spacing w:before="0" w:after="80" w:line="280" w:lineRule="auto"/>
      </w:pPr>
      <w:r>
        <w:t>NCA can identify not started, draft, submitted, approved, correction-requested, and overdue records in one dashboard.</w:t>
      </w:r>
    </w:p>
    <w:p>
      <w:pPr>
        <w:pStyle w:val="ListBullet"/>
        <w:spacing w:before="0" w:after="80" w:line="280" w:lineRule="auto"/>
      </w:pPr>
      <w:r>
        <w:t>Required DBS05 topology KMZ and optional private Excel backups can be uploaded, quarantined, scanned, reviewed, downloaded by authorized roles and represented in metadata/audit evidence.</w:t>
      </w:r>
    </w:p>
    <w:p>
      <w:pPr>
        <w:pStyle w:val="ListBullet"/>
        <w:spacing w:before="0" w:after="80" w:line="280" w:lineRule="auto"/>
      </w:pPr>
      <w:r>
        <w:t>CSV export includes provider, period, form, section, field, value, unit, field status, review status, and compliance status.</w:t>
      </w:r>
    </w:p>
    <w:p>
      <w:pPr>
        <w:pStyle w:val="ListBullet"/>
        <w:spacing w:before="0" w:after="80" w:line="280" w:lineRule="auto"/>
      </w:pPr>
      <w:r>
        <w:t>Every official submission, correction request, approval/rejection, reminder, and export is present in audit logs.</w:t>
      </w:r>
    </w:p>
    <w:p>
      <w:pPr>
        <w:pStyle w:val="Heading1"/>
        <w:spacing w:before="320" w:after="160" w:line="264" w:lineRule="auto"/>
      </w:pPr>
      <w:r>
        <w:t>18. Open Questions and Decisions Needed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6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Question</w:t>
            </w:r>
          </w:p>
        </w:tc>
        <w:tc>
          <w:tcPr>
            <w:tcW w:type="dxa" w:w="388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Why it matters</w:t>
            </w:r>
          </w:p>
        </w:tc>
        <w:tc>
          <w:tcPr>
            <w:tcW w:type="dxa" w:w="2088"/>
            <w:shd w:fill="F2F4F7"/>
            <w:tcMar>
              <w:top w:w="80" w:type="dxa"/>
              <w:bottom w:w="80" w:type="dxa"/>
              <w:start w:w="120" w:type="dxa"/>
              <w:end w:w="120" w:type="dxa"/>
            </w:tcMar>
            <w:vAlign w:val="center"/>
          </w:tcPr>
          <w:p>
            <w:pPr>
              <w:spacing w:before="0" w:after="0" w:line="264" w:lineRule="auto"/>
            </w:pPr>
            <w:r>
              <w:rPr>
                <w:rFonts w:ascii="Calibri" w:hAnsi="Calibri"/>
                <w:b/>
                <w:color w:val="000000"/>
                <w:sz w:val="20"/>
              </w:rPr>
              <w:t>Recommended owner</w:t>
            </w:r>
          </w:p>
        </w:tc>
      </w:tr>
      <w:tr>
        <w:tc>
          <w:tcPr>
            <w:tcW w:type="dxa" w:w="3168"/>
            <w:tcMar>
              <w:top w:w="80" w:type="dxa"/>
              <w:bottom w:w="80" w:type="dxa"/>
              <w:start w:w="120" w:type="dxa"/>
              <w:end w:w="120" w:type="dxa"/>
            </w:tcMar>
            <w:vAlign w:val="center"/>
          </w:tcPr>
          <w:p>
            <w:pPr>
              <w:spacing w:after="0"/>
            </w:pPr>
            <w:r>
              <w:t>What is the official form code for Infrastructure Main Companies annual workbook?</w:t>
            </w:r>
          </w:p>
        </w:tc>
        <w:tc>
          <w:tcPr>
            <w:tcW w:type="dxa" w:w="3888"/>
            <w:tcMar>
              <w:top w:w="80" w:type="dxa"/>
              <w:bottom w:w="80" w:type="dxa"/>
              <w:start w:w="120" w:type="dxa"/>
              <w:end w:w="120" w:type="dxa"/>
            </w:tcMar>
            <w:vAlign w:val="center"/>
          </w:tcPr>
          <w:p>
            <w:pPr>
              <w:spacing w:after="0"/>
            </w:pPr>
            <w:r>
              <w:t>TOWER-MAIN-ANNUAL remains visibly provisional. An approved code creates a new family/version; historical references are not rewritten.</w:t>
            </w:r>
          </w:p>
        </w:tc>
        <w:tc>
          <w:tcPr>
            <w:tcW w:type="dxa" w:w="2088"/>
            <w:tcMar>
              <w:top w:w="80" w:type="dxa"/>
              <w:bottom w:w="80" w:type="dxa"/>
              <w:start w:w="120" w:type="dxa"/>
              <w:end w:w="120" w:type="dxa"/>
            </w:tcMar>
            <w:vAlign w:val="center"/>
          </w:tcPr>
          <w:p>
            <w:pPr>
              <w:spacing w:after="0"/>
            </w:pPr>
            <w:r>
              <w:t>NCA data owner - external release decision</w:t>
            </w:r>
          </w:p>
        </w:tc>
      </w:tr>
      <w:tr>
        <w:tc>
          <w:tcPr>
            <w:tcW w:type="dxa" w:w="3168"/>
            <w:tcMar>
              <w:top w:w="80" w:type="dxa"/>
              <w:bottom w:w="80" w:type="dxa"/>
              <w:start w:w="120" w:type="dxa"/>
              <w:end w:w="120" w:type="dxa"/>
            </w:tcMar>
            <w:vAlign w:val="center"/>
          </w:tcPr>
          <w:p>
            <w:pPr>
              <w:spacing w:after="0"/>
            </w:pPr>
            <w:r>
              <w:t>Should operational exports include submitted-but-unapproved records?</w:t>
            </w:r>
          </w:p>
        </w:tc>
        <w:tc>
          <w:tcPr>
            <w:tcW w:type="dxa" w:w="3888"/>
            <w:tcMar>
              <w:top w:w="80" w:type="dxa"/>
              <w:bottom w:w="80" w:type="dxa"/>
              <w:start w:w="120" w:type="dxa"/>
              <w:end w:w="120" w:type="dxa"/>
            </w:tcMar>
            <w:vAlign w:val="center"/>
          </w:tcPr>
          <w:p>
            <w:pPr>
              <w:spacing w:after="0"/>
            </w:pPr>
            <w:r>
              <w:t>Resolved: operational exports include only NCA-approved submission versions.</w:t>
            </w:r>
          </w:p>
        </w:tc>
        <w:tc>
          <w:tcPr>
            <w:tcW w:type="dxa" w:w="2088"/>
            <w:tcMar>
              <w:top w:w="80" w:type="dxa"/>
              <w:bottom w:w="80" w:type="dxa"/>
              <w:start w:w="120" w:type="dxa"/>
              <w:end w:w="120" w:type="dxa"/>
            </w:tcMar>
            <w:vAlign w:val="center"/>
          </w:tcPr>
          <w:p>
            <w:pPr>
              <w:spacing w:after="0"/>
            </w:pPr>
            <w:r>
              <w:t>Resolved in delivered system</w:t>
            </w:r>
          </w:p>
        </w:tc>
      </w:tr>
      <w:tr>
        <w:tc>
          <w:tcPr>
            <w:tcW w:type="dxa" w:w="3168"/>
            <w:tcMar>
              <w:top w:w="80" w:type="dxa"/>
              <w:bottom w:w="80" w:type="dxa"/>
              <w:start w:w="120" w:type="dxa"/>
              <w:end w:w="120" w:type="dxa"/>
            </w:tcMar>
            <w:vAlign w:val="center"/>
          </w:tcPr>
          <w:p>
            <w:pPr>
              <w:spacing w:after="0"/>
            </w:pPr>
            <w:r>
              <w:t>Should provider users be able to download official receipts?</w:t>
            </w:r>
          </w:p>
        </w:tc>
        <w:tc>
          <w:tcPr>
            <w:tcW w:type="dxa" w:w="3888"/>
            <w:tcMar>
              <w:top w:w="80" w:type="dxa"/>
              <w:bottom w:w="80" w:type="dxa"/>
              <w:start w:w="120" w:type="dxa"/>
              <w:end w:w="120" w:type="dxa"/>
            </w:tcMar>
            <w:vAlign w:val="center"/>
          </w:tcPr>
          <w:p>
            <w:pPr>
              <w:spacing w:after="0"/>
            </w:pPr>
            <w:r>
              <w:t>Resolved: authenticated provider receipt download is supported and audited when the receipt is available.</w:t>
            </w:r>
          </w:p>
        </w:tc>
        <w:tc>
          <w:tcPr>
            <w:tcW w:type="dxa" w:w="2088"/>
            <w:tcMar>
              <w:top w:w="80" w:type="dxa"/>
              <w:bottom w:w="80" w:type="dxa"/>
              <w:start w:w="120" w:type="dxa"/>
              <w:end w:w="120" w:type="dxa"/>
            </w:tcMar>
            <w:vAlign w:val="center"/>
          </w:tcPr>
          <w:p>
            <w:pPr>
              <w:spacing w:after="0"/>
            </w:pPr>
            <w:r>
              <w:t>Resolved in delivered system</w:t>
            </w:r>
          </w:p>
        </w:tc>
      </w:tr>
      <w:tr>
        <w:tc>
          <w:tcPr>
            <w:tcW w:type="dxa" w:w="3168"/>
            <w:tcMar>
              <w:top w:w="80" w:type="dxa"/>
              <w:bottom w:w="80" w:type="dxa"/>
              <w:start w:w="120" w:type="dxa"/>
              <w:end w:w="120" w:type="dxa"/>
            </w:tcMar>
            <w:vAlign w:val="center"/>
          </w:tcPr>
          <w:p>
            <w:pPr>
              <w:spacing w:after="0"/>
            </w:pPr>
            <w:r>
              <w:t>What is the approved penalty/escalation wording?</w:t>
            </w:r>
          </w:p>
        </w:tc>
        <w:tc>
          <w:tcPr>
            <w:tcW w:type="dxa" w:w="3888"/>
            <w:tcMar>
              <w:top w:w="80" w:type="dxa"/>
              <w:bottom w:w="80" w:type="dxa"/>
              <w:start w:w="120" w:type="dxa"/>
              <w:end w:w="120" w:type="dxa"/>
            </w:tcMar>
            <w:vAlign w:val="center"/>
          </w:tcPr>
          <w:p>
            <w:pPr>
              <w:spacing w:after="0"/>
            </w:pPr>
            <w:r>
              <w:t>Still required before penalty wording is enabled in approved templates.</w:t>
            </w:r>
          </w:p>
        </w:tc>
        <w:tc>
          <w:tcPr>
            <w:tcW w:type="dxa" w:w="2088"/>
            <w:tcMar>
              <w:top w:w="80" w:type="dxa"/>
              <w:bottom w:w="80" w:type="dxa"/>
              <w:start w:w="120" w:type="dxa"/>
              <w:end w:w="120" w:type="dxa"/>
            </w:tcMar>
            <w:vAlign w:val="center"/>
          </w:tcPr>
          <w:p>
            <w:pPr>
              <w:spacing w:after="0"/>
            </w:pPr>
            <w:r>
              <w:t>NCA Legal/compliance - external input</w:t>
            </w:r>
          </w:p>
        </w:tc>
      </w:tr>
      <w:tr>
        <w:tc>
          <w:tcPr>
            <w:tcW w:type="dxa" w:w="3168"/>
            <w:tcMar>
              <w:top w:w="80" w:type="dxa"/>
              <w:bottom w:w="80" w:type="dxa"/>
              <w:start w:w="120" w:type="dxa"/>
              <w:end w:w="120" w:type="dxa"/>
            </w:tcMar>
            <w:vAlign w:val="center"/>
          </w:tcPr>
          <w:p>
            <w:pPr>
              <w:spacing w:after="0"/>
            </w:pPr>
            <w:r>
              <w:t>What NCA operational scope applies?</w:t>
            </w:r>
          </w:p>
        </w:tc>
        <w:tc>
          <w:tcPr>
            <w:tcW w:type="dxa" w:w="3888"/>
            <w:tcMar>
              <w:top w:w="80" w:type="dxa"/>
              <w:bottom w:w="80" w:type="dxa"/>
              <w:start w:w="120" w:type="dxa"/>
              <w:end w:w="120" w:type="dxa"/>
            </w:tcMar>
            <w:vAlign w:val="center"/>
          </w:tcPr>
          <w:p>
            <w:pPr>
              <w:spacing w:after="0"/>
            </w:pPr>
            <w:r>
              <w:t>Resolved for this release: NCA Officer has operational parity, with explicit Users/divisions and Data Request exclusions.</w:t>
            </w:r>
          </w:p>
        </w:tc>
        <w:tc>
          <w:tcPr>
            <w:tcW w:type="dxa" w:w="2088"/>
            <w:tcMar>
              <w:top w:w="80" w:type="dxa"/>
              <w:bottom w:w="80" w:type="dxa"/>
              <w:start w:w="120" w:type="dxa"/>
              <w:end w:w="120" w:type="dxa"/>
            </w:tcMar>
            <w:vAlign w:val="center"/>
          </w:tcPr>
          <w:p>
            <w:pPr>
              <w:spacing w:after="0"/>
            </w:pPr>
            <w:r>
              <w:t>Resolved in delivered system</w:t>
            </w:r>
          </w:p>
        </w:tc>
      </w:tr>
      <w:tr>
        <w:tc>
          <w:tcPr>
            <w:tcW w:type="dxa" w:w="3168"/>
            <w:tcMar>
              <w:top w:w="80" w:type="dxa"/>
              <w:bottom w:w="80" w:type="dxa"/>
              <w:start w:w="120" w:type="dxa"/>
              <w:end w:w="120" w:type="dxa"/>
            </w:tcMar>
            <w:vAlign w:val="center"/>
          </w:tcPr>
          <w:p>
            <w:pPr>
              <w:spacing w:after="0"/>
            </w:pPr>
            <w:r>
              <w:t>What are the approved retention schedules and recovery targets?</w:t>
            </w:r>
          </w:p>
        </w:tc>
        <w:tc>
          <w:tcPr>
            <w:tcW w:type="dxa" w:w="3888"/>
            <w:tcMar>
              <w:top w:w="80" w:type="dxa"/>
              <w:bottom w:w="80" w:type="dxa"/>
              <w:start w:w="120" w:type="dxa"/>
              <w:end w:w="120" w:type="dxa"/>
            </w:tcMar>
            <w:vAlign w:val="center"/>
          </w:tcPr>
          <w:p>
            <w:pPr>
              <w:spacing w:after="0"/>
            </w:pPr>
            <w:r>
              <w:t>Still required. Automated disposition remains globally disabled; production requires approved RPO/RTO and verified restore evidence.</w:t>
            </w:r>
          </w:p>
        </w:tc>
        <w:tc>
          <w:tcPr>
            <w:tcW w:type="dxa" w:w="2088"/>
            <w:tcMar>
              <w:top w:w="80" w:type="dxa"/>
              <w:bottom w:w="80" w:type="dxa"/>
              <w:start w:w="120" w:type="dxa"/>
              <w:end w:w="120" w:type="dxa"/>
            </w:tcMar>
            <w:vAlign w:val="center"/>
          </w:tcPr>
          <w:p>
            <w:pPr>
              <w:spacing w:after="0"/>
            </w:pPr>
            <w:r>
              <w:t>NCA IT/security/legal - release gate</w:t>
            </w:r>
          </w:p>
        </w:tc>
      </w:tr>
      <w:tr>
        <w:tc>
          <w:tcPr>
            <w:tcW w:type="dxa" w:w="3168"/>
            <w:tcMar>
              <w:top w:w="80" w:type="dxa"/>
              <w:bottom w:w="80" w:type="dxa"/>
              <w:start w:w="120" w:type="dxa"/>
              <w:end w:w="120" w:type="dxa"/>
            </w:tcMar>
            <w:vAlign w:val="center"/>
          </w:tcPr>
          <w:p>
            <w:pPr>
              <w:spacing w:after="0"/>
            </w:pPr>
            <w:r>
              <w:t>Is live Microsoft Graph/shared-mailbox delivery required for launch?</w:t>
            </w:r>
          </w:p>
        </w:tc>
        <w:tc>
          <w:tcPr>
            <w:tcW w:type="dxa" w:w="3888"/>
            <w:tcMar>
              <w:top w:w="80" w:type="dxa"/>
              <w:bottom w:w="80" w:type="dxa"/>
              <w:start w:w="120" w:type="dxa"/>
              <w:end w:w="120" w:type="dxa"/>
            </w:tcMar>
            <w:vAlign w:val="center"/>
          </w:tcPr>
          <w:p>
            <w:pPr>
              <w:spacing w:after="0"/>
            </w:pPr>
            <w:r>
              <w:t>Advisory/deferred. Without credentials and delivery evidence, messages remain DRAFT or QUEUED and are never represented as sent.</w:t>
            </w:r>
          </w:p>
        </w:tc>
        <w:tc>
          <w:tcPr>
            <w:tcW w:type="dxa" w:w="2088"/>
            <w:tcMar>
              <w:top w:w="80" w:type="dxa"/>
              <w:bottom w:w="80" w:type="dxa"/>
              <w:start w:w="120" w:type="dxa"/>
              <w:end w:w="120" w:type="dxa"/>
            </w:tcMar>
            <w:vAlign w:val="center"/>
          </w:tcPr>
          <w:p>
            <w:pPr>
              <w:spacing w:after="0"/>
            </w:pPr>
            <w:r>
              <w:t>Product owner and IT - deferred integration</w:t>
            </w:r>
          </w:p>
        </w:tc>
      </w:tr>
      <w:tr>
        <w:tc>
          <w:tcPr>
            <w:tcW w:type="dxa" w:w="3120"/>
            <w:vAlign w:val="center"/>
          </w:tcPr>
          <w:p>
            <w:pPr>
              <w:spacing w:after="0"/>
            </w:pPr>
            <w:r>
              <w:t>Which corrected forms require topology KMZ?</w:t>
            </w:r>
          </w:p>
        </w:tc>
        <w:tc>
          <w:tcPr>
            <w:tcW w:type="dxa" w:w="3120"/>
            <w:vAlign w:val="center"/>
          </w:tcPr>
          <w:p>
            <w:pPr>
              <w:spacing w:after="0"/>
            </w:pPr>
            <w:r>
              <w:t>Resolved: DC-DBS05 only. File-size and malware policies remain configuration-controlled.</w:t>
            </w:r>
          </w:p>
        </w:tc>
        <w:tc>
          <w:tcPr>
            <w:tcW w:type="dxa" w:w="3120"/>
            <w:vAlign w:val="center"/>
          </w:tcPr>
          <w:p>
            <w:pPr>
              <w:spacing w:after="0"/>
            </w:pPr>
            <w:r>
              <w:t>Resolved in delivered system</w:t>
            </w:r>
          </w:p>
        </w:tc>
      </w:tr>
    </w:tbl>
    <w:p/>
    <w:p>
      <w:pPr>
        <w:pStyle w:val="Heading1"/>
        <w:spacing w:before="320" w:after="160" w:line="264" w:lineRule="auto"/>
      </w:pPr>
      <w:r>
        <w:t>19. Final MVP Direction</w:t>
      </w:r>
    </w:p>
    <w:p>
      <w:pPr>
        <w:spacing w:before="0" w:after="120" w:line="264" w:lineRule="auto"/>
      </w:pPr>
      <w:r>
        <w:t>Publication acceptance is based on reliable seven-form structured collection, explicit Provider Data Entry-to-Approver and NCA correction workflows, immutable history, exact-version review, approved-only exports, governed data requests, aggregate dashboard controls, private scanned files, cookie/CSRF authentication, portal notifications, audit evidence and verified recovery. MFA, live email delivery, automated retention deletion, production credentials/targets, official Tower code and formal NCA/provider UAT remain explicit deferred or external gates; none is represented as complete without evidence.</w:t>
      </w:r>
    </w:p>
    <w:p>
      <w:r>
        <w:br w:type="page"/>
      </w:r>
    </w:p>
    <w:p>
      <w:pPr>
        <w:pStyle w:val="Heading1"/>
      </w:pPr>
      <w:r>
        <w:t>20. Delivered System Alignment (August 2026)</w:t>
      </w:r>
    </w:p>
    <w:p>
      <w:r>
        <w:t>This section records the delivered behaviour that supersedes earlier planning assumptions. It does not alter historical submission/form records, and it does not claim exact source-workbook fidelity without the approved original regulatory forms.</w:t>
      </w:r>
    </w:p>
    <w:p>
      <w:pPr>
        <w:pStyle w:val="Heading2"/>
      </w:pPr>
      <w:r>
        <w:t>20.1 Roles and isolation</w:t>
      </w:r>
    </w:p>
    <w:p>
      <w:pPr>
        <w:pStyle w:val="ListBullet"/>
      </w:pPr>
      <w:r>
        <w:t>The five stored roles and their exclusions are enforced at both API and navigation layers.</w:t>
      </w:r>
    </w:p>
    <w:p>
      <w:pPr>
        <w:pStyle w:val="ListBullet"/>
      </w:pPr>
      <w:r>
        <w:t>Every NCA Data Requester is a named individual with unique email, managed active division and required grade; request snapshots preserve name, email, division and grade.</w:t>
      </w:r>
    </w:p>
    <w:p>
      <w:pPr>
        <w:pStyle w:val="ListBullet"/>
      </w:pPr>
      <w:r>
        <w:t>Provider tenancy applies to obligations, drafts, values, grids, files, approver queues, correction actions, history and notifications.</w:t>
      </w:r>
    </w:p>
    <w:p>
      <w:pPr>
        <w:pStyle w:val="Heading2"/>
      </w:pPr>
      <w:r>
        <w:t>20.2 Corrected immutable forms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t>Family</w:t>
            </w:r>
          </w:p>
        </w:tc>
        <w:tc>
          <w:tcPr>
            <w:tcW w:type="dxa" w:w="2340"/>
          </w:tcPr>
          <w:p>
            <w:r>
              <w:t>Version</w:t>
            </w:r>
          </w:p>
        </w:tc>
        <w:tc>
          <w:tcPr>
            <w:tcW w:type="dxa" w:w="2340"/>
          </w:tcPr>
          <w:p>
            <w:r>
              <w:t>Frequency</w:t>
            </w:r>
          </w:p>
        </w:tc>
        <w:tc>
          <w:tcPr>
            <w:tcW w:type="dxa" w:w="2340"/>
          </w:tcPr>
          <w:p>
            <w:r>
              <w:t>Publication note</w:t>
            </w:r>
          </w:p>
        </w:tc>
      </w:tr>
      <w:tr>
        <w:tc>
          <w:tcPr>
            <w:tcW w:type="dxa" w:w="2340"/>
          </w:tcPr>
          <w:p>
            <w:pPr>
              <w:spacing w:after="0"/>
            </w:pPr>
            <w:r>
              <w:t>MNO-MONTHLY</w:t>
            </w:r>
          </w:p>
        </w:tc>
        <w:tc>
          <w:tcPr>
            <w:tcW w:type="dxa" w:w="2340"/>
          </w:tcPr>
          <w:p>
            <w:pPr>
              <w:spacing w:after="0"/>
            </w:pPr>
            <w:r>
              <w:t>3.0</w:t>
            </w:r>
          </w:p>
        </w:tc>
        <w:tc>
          <w:tcPr>
            <w:tcW w:type="dxa" w:w="2340"/>
          </w:tcPr>
          <w:p>
            <w:pPr>
              <w:spacing w:after="0"/>
            </w:pPr>
            <w:r>
              <w:t>Monthly</w:t>
            </w:r>
          </w:p>
        </w:tc>
        <w:tc>
          <w:tcPr>
            <w:tcW w:type="dxa" w:w="2340"/>
          </w:tcPr>
          <w:p>
            <w:pPr>
              <w:spacing w:after="0"/>
            </w:pPr>
            <w:r>
              <w:t>Thirteen PRD sections, fixed dictionaries, traffic distinctions, mobile money and calculated totals.</w:t>
            </w:r>
          </w:p>
        </w:tc>
      </w:tr>
      <w:tr>
        <w:tc>
          <w:tcPr>
            <w:tcW w:type="dxa" w:w="2340"/>
          </w:tcPr>
          <w:p>
            <w:pPr>
              <w:spacing w:after="0"/>
            </w:pPr>
            <w:r>
              <w:t>DC-ISP06</w:t>
            </w:r>
          </w:p>
        </w:tc>
        <w:tc>
          <w:tcPr>
            <w:tcW w:type="dxa" w:w="2340"/>
          </w:tcPr>
          <w:p>
            <w:pPr>
              <w:spacing w:after="0"/>
            </w:pPr>
            <w:r>
              <w:t>3.0</w:t>
            </w:r>
          </w:p>
        </w:tc>
        <w:tc>
          <w:tcPr>
            <w:tcW w:type="dxa" w:w="2340"/>
          </w:tcPr>
          <w:p>
            <w:pPr>
              <w:spacing w:after="0"/>
            </w:pPr>
            <w:r>
              <w:t>Annual</w:t>
            </w:r>
          </w:p>
        </w:tc>
        <w:tc>
          <w:tcPr>
            <w:tcW w:type="dxa" w:w="2340"/>
          </w:tcPr>
          <w:p>
            <w:pPr>
              <w:spacing w:after="0"/>
            </w:pPr>
            <w:r>
              <w:t>Supplier/package/PoP/backhaul/coordinate grids and IRU/GIX/VSAT conditions.</w:t>
            </w:r>
          </w:p>
        </w:tc>
      </w:tr>
      <w:tr>
        <w:tc>
          <w:tcPr>
            <w:tcW w:type="dxa" w:w="2340"/>
          </w:tcPr>
          <w:p>
            <w:pPr>
              <w:spacing w:after="0"/>
            </w:pPr>
            <w:r>
              <w:t>DC-ITC04</w:t>
            </w:r>
          </w:p>
        </w:tc>
        <w:tc>
          <w:tcPr>
            <w:tcW w:type="dxa" w:w="2340"/>
          </w:tcPr>
          <w:p>
            <w:pPr>
              <w:spacing w:after="0"/>
            </w:pPr>
            <w:r>
              <w:t>3.0</w:t>
            </w:r>
          </w:p>
        </w:tc>
        <w:tc>
          <w:tcPr>
            <w:tcW w:type="dxa" w:w="2340"/>
          </w:tcPr>
          <w:p>
            <w:pPr>
              <w:spacing w:after="0"/>
            </w:pPr>
            <w:r>
              <w:t>Annual</w:t>
            </w:r>
          </w:p>
        </w:tc>
        <w:tc>
          <w:tcPr>
            <w:tcW w:type="dxa" w:w="2340"/>
          </w:tcPr>
          <w:p>
            <w:pPr>
              <w:spacing w:after="0"/>
            </w:pPr>
            <w:r>
              <w:t>Regional distribution, tenant/permit/addition/decommission/acquisition and coordinate structures.</w:t>
            </w:r>
          </w:p>
        </w:tc>
      </w:tr>
      <w:tr>
        <w:tc>
          <w:tcPr>
            <w:tcW w:type="dxa" w:w="2340"/>
          </w:tcPr>
          <w:p>
            <w:pPr>
              <w:spacing w:after="0"/>
            </w:pPr>
            <w:r>
              <w:t>DC-TB02</w:t>
            </w:r>
          </w:p>
        </w:tc>
        <w:tc>
          <w:tcPr>
            <w:tcW w:type="dxa" w:w="2340"/>
          </w:tcPr>
          <w:p>
            <w:pPr>
              <w:spacing w:after="0"/>
            </w:pPr>
            <w:r>
              <w:t>3.0</w:t>
            </w:r>
          </w:p>
        </w:tc>
        <w:tc>
          <w:tcPr>
            <w:tcW w:type="dxa" w:w="2340"/>
          </w:tcPr>
          <w:p>
            <w:pPr>
              <w:spacing w:after="0"/>
            </w:pPr>
            <w:r>
              <w:t>Annual</w:t>
            </w:r>
          </w:p>
        </w:tc>
        <w:tc>
          <w:tcPr>
            <w:tcW w:type="dxa" w:w="2340"/>
          </w:tcPr>
          <w:p>
            <w:pPr>
              <w:spacing w:after="0"/>
            </w:pPr>
            <w:r>
              <w:t>Service selections, regional dealers, bouquet/tariff/channel and satellite grids, declaration.</w:t>
            </w:r>
          </w:p>
        </w:tc>
      </w:tr>
      <w:tr>
        <w:tc>
          <w:tcPr>
            <w:tcW w:type="dxa" w:w="2340"/>
          </w:tcPr>
          <w:p>
            <w:pPr>
              <w:spacing w:after="0"/>
            </w:pPr>
            <w:r>
              <w:t>TOWER-MAIN-ANNUAL</w:t>
            </w:r>
          </w:p>
        </w:tc>
        <w:tc>
          <w:tcPr>
            <w:tcW w:type="dxa" w:w="2340"/>
          </w:tcPr>
          <w:p>
            <w:pPr>
              <w:spacing w:after="0"/>
            </w:pPr>
            <w:r>
              <w:t>2.0</w:t>
            </w:r>
          </w:p>
        </w:tc>
        <w:tc>
          <w:tcPr>
            <w:tcW w:type="dxa" w:w="2340"/>
          </w:tcPr>
          <w:p>
            <w:pPr>
              <w:spacing w:after="0"/>
            </w:pPr>
            <w:r>
              <w:t>Annual</w:t>
            </w:r>
          </w:p>
        </w:tc>
        <w:tc>
          <w:tcPr>
            <w:tcW w:type="dxa" w:w="2340"/>
          </w:tcPr>
          <w:p>
            <w:pPr>
              <w:spacing w:after="0"/>
            </w:pPr>
            <w:r>
              <w:t>Five regional grids and totals; form code remains visibly provisional.</w:t>
            </w:r>
          </w:p>
        </w:tc>
      </w:tr>
      <w:tr>
        <w:tc>
          <w:tcPr>
            <w:tcW w:type="dxa" w:w="2340"/>
          </w:tcPr>
          <w:p>
            <w:pPr>
              <w:spacing w:after="0"/>
            </w:pPr>
            <w:r>
              <w:t>DC-DBS05</w:t>
            </w:r>
          </w:p>
        </w:tc>
        <w:tc>
          <w:tcPr>
            <w:tcW w:type="dxa" w:w="2340"/>
          </w:tcPr>
          <w:p>
            <w:pPr>
              <w:spacing w:after="0"/>
            </w:pPr>
            <w:r>
              <w:t>2.0</w:t>
            </w:r>
          </w:p>
        </w:tc>
        <w:tc>
          <w:tcPr>
            <w:tcW w:type="dxa" w:w="2340"/>
          </w:tcPr>
          <w:p>
            <w:pPr>
              <w:spacing w:after="0"/>
            </w:pPr>
            <w:r>
              <w:t>Annual</w:t>
            </w:r>
          </w:p>
        </w:tc>
        <w:tc>
          <w:tcPr>
            <w:tcW w:type="dxa" w:w="2340"/>
          </w:tcPr>
          <w:p>
            <w:pPr>
              <w:spacing w:after="0"/>
            </w:pPr>
            <w:r>
              <w:t>Fibre/capacity/coverage, Ghana regions and the only required topology KMZ.</w:t>
            </w:r>
          </w:p>
        </w:tc>
      </w:tr>
      <w:tr>
        <w:tc>
          <w:tcPr>
            <w:tcW w:type="dxa" w:w="2340"/>
          </w:tcPr>
          <w:p>
            <w:pPr>
              <w:spacing w:after="0"/>
            </w:pPr>
            <w:r>
              <w:t>DC-SUB03</w:t>
            </w:r>
          </w:p>
        </w:tc>
        <w:tc>
          <w:tcPr>
            <w:tcW w:type="dxa" w:w="2340"/>
          </w:tcPr>
          <w:p>
            <w:pPr>
              <w:spacing w:after="0"/>
            </w:pPr>
            <w:r>
              <w:t>2.0</w:t>
            </w:r>
          </w:p>
        </w:tc>
        <w:tc>
          <w:tcPr>
            <w:tcW w:type="dxa" w:w="2340"/>
          </w:tcPr>
          <w:p>
            <w:pPr>
              <w:spacing w:after="0"/>
            </w:pPr>
            <w:r>
              <w:t>Annual</w:t>
            </w:r>
          </w:p>
        </w:tc>
        <w:tc>
          <w:tcPr>
            <w:tcW w:type="dxa" w:w="2340"/>
          </w:tcPr>
          <w:p>
            <w:pPr>
              <w:spacing w:after="0"/>
            </w:pPr>
            <w:r>
              <w:t>Separate global/Ghana metrics and fibre cuts; no topology KMZ.</w:t>
            </w:r>
          </w:p>
        </w:tc>
      </w:tr>
    </w:tbl>
    <w:p>
      <w:pPr>
        <w:pStyle w:val="Heading2"/>
      </w:pPr>
      <w:r>
        <w:t>20.3 Provider and regulatory state machines</w:t>
      </w:r>
    </w:p>
    <w:p>
      <w:r>
        <w:t>Provider stage: DRAFT → PENDING_APPROVAL → PROVIDER_CHANGES_REQUESTED → PROVIDER_RESUBMITTED → SUBMITTED.</w:t>
      </w:r>
    </w:p>
    <w:p>
      <w:r>
        <w:t>Regulatory stage: SUBMITTED → UNDER_REVIEW → CORRECTION_REQUESTED → RESUBMITTED → APPROVED or REJECTED.</w:t>
      </w:r>
    </w:p>
    <w:p>
      <w:pPr>
        <w:pStyle w:val="ListBullet"/>
      </w:pPr>
      <w:r>
        <w:t>Provider workspaces use provider-scoped server summaries and paginated/filterable queues, so counts and actions are not derived from the first browser page. History records the actual submitted timestamp, latest editor/time, correction count and receipt availability.</w:t>
      </w:r>
    </w:p>
    <w:p>
      <w:pPr>
        <w:pStyle w:val="ListBullet"/>
      </w:pPr>
      <w:r>
        <w:t>Section saves are transactional authoritative snapshots with debounced autosave, save-on-blur/manual save, optimistic revision checks, exact scalar/grid targets, fixed-row preservation and omitted editable-repeatable-row deletion. Conflicts retain unsaved browser values and identify the latest editor/time.</w:t>
      </w:r>
    </w:p>
    <w:p>
      <w:pPr>
        <w:pStyle w:val="ListBullet"/>
      </w:pPr>
      <w:r>
        <w:t>Non-filled status clears a prior value and requires an explanation; conditional visibility reads the complete submission; allow-listed formulas and rules are recalculated on save/transitions.</w:t>
      </w:r>
    </w:p>
    <w:p>
      <w:pPr>
        <w:pStyle w:val="ListBullet"/>
      </w:pPr>
      <w:r>
        <w:t>Provider and NCA correction instructions require reasons and one or more section/field/grid-cell targets. Regulatory correction clones the official version, belongs initially to the Provider Approver and locks unaffected content. The Approver can correct directly or return targeted work to Data Entry.</w:t>
      </w:r>
    </w:p>
    <w:p>
      <w:pPr>
        <w:pStyle w:val="ListBullet"/>
      </w:pPr>
      <w:r>
        <w:t>Approver edits produce immutable sensitive before/after batches visible only to the same provider and privileged NCA staff. The general audit stores target identifiers, counts and SHA-256 digests, not duplicate raw values. Official submission stores attestation, decision, Approver and conditionally required change summary.</w:t>
      </w:r>
    </w:p>
    <w:p>
      <w:pPr>
        <w:pStyle w:val="Heading2"/>
      </w:pPr>
      <w:r>
        <w:t>20.4 Data delivery, dashboard and private files</w:t>
      </w:r>
    </w:p>
    <w:p>
      <w:pPr>
        <w:pStyle w:val="ListBullet"/>
      </w:pPr>
      <w:r>
        <w:t>NCA Admin can download exactly the READY, unexpired artifact released to a requester; owning requester access is isolated and NCA Officer remains excluded from Data Requests.</w:t>
      </w:r>
    </w:p>
    <w:p>
      <w:pPr>
        <w:pStyle w:val="ListBullet"/>
      </w:pPr>
      <w:r>
        <w:t>All authenticated roles may view/filter Industry Dashboard aggregates and generate aggregate XLSX. Source workbooks, provider rows and configuration controls remain NCA Admin/Officer only.</w:t>
      </w:r>
    </w:p>
    <w:p>
      <w:pPr>
        <w:pStyle w:val="ListBullet"/>
      </w:pPr>
      <w:r>
        <w:t>Operational CSV/PDF uses only NCA-approved submission versions and one canonical scalar/grid row shape with status, explanation, review and compliance context.</w:t>
      </w:r>
    </w:p>
    <w:p>
      <w:pPr>
        <w:pStyle w:val="ListBullet"/>
      </w:pPr>
      <w:r>
        <w:t>DBS05 KMZ and optional Excel backups remain outside public media, are SHA-256 hashed, quarantined and scan-gated, and use authenticated audited streaming downloads.</w:t>
      </w:r>
    </w:p>
    <w:p>
      <w:pPr>
        <w:pStyle w:val="Heading2"/>
      </w:pPr>
      <w:r>
        <w:t>20.5 Authentication, notifications and audit</w:t>
      </w:r>
    </w:p>
    <w:p>
      <w:pPr>
        <w:pStyle w:val="ListBullet"/>
      </w:pPr>
      <w:r>
        <w:t>Rotating/revoked JWT sessions are stored in Secure, HttpOnly, SameSite cookies; unsafe browser requests require CSRF. Failed-login counting, throttling, lockout and Admin-mediated temporary-password reset are implemented.</w:t>
      </w:r>
    </w:p>
    <w:p>
      <w:pPr>
        <w:pStyle w:val="ListBullet"/>
      </w:pPr>
      <w:r>
        <w:t>MFA routes/claims are removed for this release and MFA remains deferred.</w:t>
      </w:r>
    </w:p>
    <w:p>
      <w:pPr>
        <w:pStyle w:val="ListBullet"/>
      </w:pPr>
      <w:r>
        <w:t>Submission notifications are separate from Data Request notifications and are visible only to intended users; timeline audiences prevent internal NCA notes from leaking to providers.</w:t>
      </w:r>
    </w:p>
    <w:p>
      <w:pPr>
        <w:pStyle w:val="ListBullet"/>
      </w:pPr>
      <w:r>
        <w:t>Provider navigation shows server-calculated unread and pending-approval counts. Notification links open the relevant provider return, and users can mark one or all read. Technical-support users can view their own ticket status, SLA, resolution and event history.</w:t>
      </w:r>
    </w:p>
    <w:p>
      <w:pPr>
        <w:pStyle w:val="ListBullet"/>
      </w:pPr>
      <w:r>
        <w:t>Audit events are immutable and hash linked; daily signed anchors and governance readiness evidence support tamper detection and release review.</w:t>
      </w:r>
    </w:p>
    <w:p>
      <w:pPr>
        <w:pStyle w:val="Heading2"/>
      </w:pPr>
      <w:r>
        <w:t>20.6 External release gates and genuinely deferred work</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t>Item</w:t>
            </w:r>
          </w:p>
        </w:tc>
        <w:tc>
          <w:tcPr>
            <w:tcW w:type="dxa" w:w="3120"/>
          </w:tcPr>
          <w:p>
            <w:r>
              <w:t>Current classification</w:t>
            </w:r>
          </w:p>
        </w:tc>
        <w:tc>
          <w:tcPr>
            <w:tcW w:type="dxa" w:w="3120"/>
          </w:tcPr>
          <w:p>
            <w:r>
              <w:t>Required evidence</w:t>
            </w:r>
          </w:p>
        </w:tc>
      </w:tr>
      <w:tr>
        <w:tc>
          <w:tcPr>
            <w:tcW w:type="dxa" w:w="3120"/>
          </w:tcPr>
          <w:p>
            <w:pPr>
              <w:spacing w:after="0"/>
            </w:pPr>
            <w:r>
              <w:t>Managed TLS ingress and production configuration</w:t>
            </w:r>
          </w:p>
        </w:tc>
        <w:tc>
          <w:tcPr>
            <w:tcW w:type="dxa" w:w="3120"/>
          </w:tcPr>
          <w:p>
            <w:pPr>
              <w:spacing w:after="0"/>
            </w:pPr>
            <w:r>
              <w:t>External release gate</w:t>
            </w:r>
          </w:p>
        </w:tc>
        <w:tc>
          <w:tcPr>
            <w:tcW w:type="dxa" w:w="3120"/>
          </w:tcPr>
          <w:p>
            <w:pPr>
              <w:spacing w:after="0"/>
            </w:pPr>
            <w:r>
              <w:t>Approved domains, secrets, HTTPS origins and trusted proxy CIDRs.</w:t>
            </w:r>
          </w:p>
        </w:tc>
      </w:tr>
      <w:tr>
        <w:tc>
          <w:tcPr>
            <w:tcW w:type="dxa" w:w="3120"/>
          </w:tcPr>
          <w:p>
            <w:pPr>
              <w:spacing w:after="0"/>
            </w:pPr>
            <w:r>
              <w:t>Backup and recovery</w:t>
            </w:r>
          </w:p>
        </w:tc>
        <w:tc>
          <w:tcPr>
            <w:tcW w:type="dxa" w:w="3120"/>
          </w:tcPr>
          <w:p>
            <w:pPr>
              <w:spacing w:after="0"/>
            </w:pPr>
            <w:r>
              <w:t>External release gate</w:t>
            </w:r>
          </w:p>
        </w:tc>
        <w:tc>
          <w:tcPr>
            <w:tcW w:type="dxa" w:w="3120"/>
          </w:tcPr>
          <w:p>
            <w:pPr>
              <w:spacing w:after="0"/>
            </w:pPr>
            <w:r>
              <w:t>Immutable destination/credentials, approved RPO/RTO and successful isolated restore.</w:t>
            </w:r>
          </w:p>
        </w:tc>
      </w:tr>
      <w:tr>
        <w:tc>
          <w:tcPr>
            <w:tcW w:type="dxa" w:w="3120"/>
          </w:tcPr>
          <w:p>
            <w:pPr>
              <w:spacing w:after="0"/>
            </w:pPr>
            <w:r>
              <w:t>Retention disposition</w:t>
            </w:r>
          </w:p>
        </w:tc>
        <w:tc>
          <w:tcPr>
            <w:tcW w:type="dxa" w:w="3120"/>
          </w:tcPr>
          <w:p>
            <w:pPr>
              <w:spacing w:after="0"/>
            </w:pPr>
            <w:r>
              <w:t>Disabled</w:t>
            </w:r>
          </w:p>
        </w:tc>
        <w:tc>
          <w:tcPr>
            <w:tcW w:type="dxa" w:w="3120"/>
          </w:tcPr>
          <w:p>
            <w:pPr>
              <w:spacing w:after="0"/>
            </w:pPr>
            <w:r>
              <w:t>Approved record-class schedules, maker/checker approvals and legal-hold validation.</w:t>
            </w:r>
          </w:p>
        </w:tc>
      </w:tr>
      <w:tr>
        <w:tc>
          <w:tcPr>
            <w:tcW w:type="dxa" w:w="3120"/>
          </w:tcPr>
          <w:p>
            <w:pPr>
              <w:spacing w:after="0"/>
            </w:pPr>
            <w:r>
              <w:t>Tower official form code</w:t>
            </w:r>
          </w:p>
        </w:tc>
        <w:tc>
          <w:tcPr>
            <w:tcW w:type="dxa" w:w="3120"/>
          </w:tcPr>
          <w:p>
            <w:pPr>
              <w:spacing w:after="0"/>
            </w:pPr>
            <w:r>
              <w:t>Provisional</w:t>
            </w:r>
          </w:p>
        </w:tc>
        <w:tc>
          <w:tcPr>
            <w:tcW w:type="dxa" w:w="3120"/>
          </w:tcPr>
          <w:p>
            <w:pPr>
              <w:spacing w:after="0"/>
            </w:pPr>
            <w:r>
              <w:t>Approved NCA source-owner decision; replacement is a new family/version.</w:t>
            </w:r>
          </w:p>
        </w:tc>
      </w:tr>
      <w:tr>
        <w:tc>
          <w:tcPr>
            <w:tcW w:type="dxa" w:w="3120"/>
          </w:tcPr>
          <w:p>
            <w:pPr>
              <w:spacing w:after="0"/>
            </w:pPr>
            <w:r>
              <w:t>Microsoft Graph/shared mailbox</w:t>
            </w:r>
          </w:p>
        </w:tc>
        <w:tc>
          <w:tcPr>
            <w:tcW w:type="dxa" w:w="3120"/>
          </w:tcPr>
          <w:p>
            <w:pPr>
              <w:spacing w:after="0"/>
            </w:pPr>
            <w:r>
              <w:t>Advisory/deferred</w:t>
            </w:r>
          </w:p>
        </w:tc>
        <w:tc>
          <w:tcPr>
            <w:tcW w:type="dxa" w:w="3120"/>
          </w:tcPr>
          <w:p>
            <w:pPr>
              <w:spacing w:after="0"/>
            </w:pPr>
            <w:r>
              <w:t>Tenant credentials, approved mailbox/template governance and delivery-event UAT.</w:t>
            </w:r>
          </w:p>
        </w:tc>
      </w:tr>
      <w:tr>
        <w:tc>
          <w:tcPr>
            <w:tcW w:type="dxa" w:w="3120"/>
          </w:tcPr>
          <w:p>
            <w:pPr>
              <w:spacing w:after="0"/>
            </w:pPr>
            <w:r>
              <w:t>MFA</w:t>
            </w:r>
          </w:p>
        </w:tc>
        <w:tc>
          <w:tcPr>
            <w:tcW w:type="dxa" w:w="3120"/>
          </w:tcPr>
          <w:p>
            <w:pPr>
              <w:spacing w:after="0"/>
            </w:pPr>
            <w:r>
              <w:t>Deferred</w:t>
            </w:r>
          </w:p>
        </w:tc>
        <w:tc>
          <w:tcPr>
            <w:tcW w:type="dxa" w:w="3120"/>
          </w:tcPr>
          <w:p>
            <w:pPr>
              <w:spacing w:after="0"/>
            </w:pPr>
            <w:r>
              <w:t>Approved policy, method, recovery flow and security/UAT evidence.</w:t>
            </w:r>
          </w:p>
        </w:tc>
      </w:tr>
      <w:tr>
        <w:tc>
          <w:tcPr>
            <w:tcW w:type="dxa" w:w="3120"/>
          </w:tcPr>
          <w:p>
            <w:pPr>
              <w:spacing w:after="0"/>
            </w:pPr>
            <w:r>
              <w:t>Formal publication acceptance</w:t>
            </w:r>
          </w:p>
        </w:tc>
        <w:tc>
          <w:tcPr>
            <w:tcW w:type="dxa" w:w="3120"/>
          </w:tcPr>
          <w:p>
            <w:pPr>
              <w:spacing w:after="0"/>
            </w:pPr>
            <w:r>
              <w:t>External release gate</w:t>
            </w:r>
          </w:p>
        </w:tc>
        <w:tc>
          <w:tcPr>
            <w:tcW w:type="dxa" w:w="3120"/>
          </w:tcPr>
          <w:p>
            <w:pPr>
              <w:spacing w:after="0"/>
            </w:pPr>
            <w:r>
              <w:t>Named NCA/provider, browser, accessibility and spreadsheet/PDF sign-offs.</w:t>
            </w:r>
          </w:p>
        </w:tc>
      </w:tr>
    </w:tbl>
    <w:p>
      <w:pPr>
        <w:pStyle w:val="Heading2"/>
      </w:pPr>
      <w:r>
        <w:t>20.7 Acceptance evidence</w:t>
      </w:r>
    </w:p>
    <w:p>
      <w:r>
        <w:t>Publication readiness may be claimed only when forward migrations, Django checks/tests, frontend lint/type/build, dependency audits, production configuration/build, private-file and security checks, full smoke test, audit verification, recovery evidence, rendered PRD inspection and named UAT are all attached to the release record. Missing external inputs remain visible blockers and are never replaced with invented credentials, schedules, targets or approvals.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Publication remediation update | August 12,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NCA Data Collection and Compliance Management System - Development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