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rFonts w:ascii="Calibri" w:hAnsi="Calibri"/>
          <w:b/>
          <w:i w:val="0"/>
          <w:color w:val="000000"/>
          <w:sz w:val="46"/>
        </w:rPr>
        <w:t>TESTING AND REMEDIATION PLAN</w:t>
      </w:r>
    </w:p>
    <w:p>
      <w:pPr>
        <w:spacing w:after="320"/>
      </w:pPr>
      <w:r>
        <w:rPr>
          <w:rFonts w:ascii="Calibri" w:hAnsi="Calibri"/>
          <w:b w:val="0"/>
          <w:i w:val="0"/>
          <w:color w:val="667085"/>
          <w:sz w:val="28"/>
        </w:rPr>
        <w:t>NCA Statistical &amp; Provider Management Platform</w:t>
      </w:r>
    </w:p>
    <w:p>
      <w:pPr>
        <w:spacing w:after="40"/>
      </w:pPr>
      <w:r>
        <w:rPr>
          <w:rFonts w:ascii="Calibri" w:hAnsi="Calibri"/>
          <w:b/>
          <w:i w:val="0"/>
          <w:color w:val="0B2545"/>
          <w:sz w:val="22"/>
        </w:rPr>
        <w:t xml:space="preserve">Branch: </w:t>
      </w:r>
      <w:r>
        <w:rPr>
          <w:rFonts w:ascii="Calibri" w:hAnsi="Calibri"/>
          <w:b w:val="0"/>
          <w:i w:val="0"/>
          <w:color w:val="000000"/>
          <w:sz w:val="22"/>
        </w:rPr>
        <w:t>testing_fix</w:t>
      </w:r>
    </w:p>
    <w:p>
      <w:pPr>
        <w:spacing w:after="40"/>
      </w:pPr>
      <w:r>
        <w:rPr>
          <w:rFonts w:ascii="Calibri" w:hAnsi="Calibri"/>
          <w:b/>
          <w:i w:val="0"/>
          <w:color w:val="0B2545"/>
          <w:sz w:val="22"/>
        </w:rPr>
        <w:t xml:space="preserve">Prepared: </w:t>
      </w:r>
      <w:r>
        <w:rPr>
          <w:rFonts w:ascii="Calibri" w:hAnsi="Calibri"/>
          <w:b w:val="0"/>
          <w:i w:val="0"/>
          <w:color w:val="000000"/>
          <w:sz w:val="22"/>
        </w:rPr>
        <w:t>29 July 2026</w:t>
      </w:r>
    </w:p>
    <w:p>
      <w:pPr>
        <w:spacing w:after="40"/>
      </w:pPr>
      <w:r>
        <w:rPr>
          <w:rFonts w:ascii="Calibri" w:hAnsi="Calibri"/>
          <w:b/>
          <w:i w:val="0"/>
          <w:color w:val="0B2545"/>
          <w:sz w:val="22"/>
        </w:rPr>
        <w:t xml:space="preserve">Source baseline: </w:t>
      </w:r>
      <w:r>
        <w:rPr>
          <w:rFonts w:ascii="Calibri" w:hAnsi="Calibri"/>
          <w:b w:val="0"/>
          <w:i w:val="0"/>
          <w:color w:val="000000"/>
          <w:sz w:val="22"/>
        </w:rPr>
        <w:t>NCA Complete Testing Guide v1.0 (34 UAT cases)</w:t>
      </w:r>
    </w:p>
    <w:p>
      <w:pPr>
        <w:spacing w:after="40"/>
      </w:pPr>
      <w:r>
        <w:rPr>
          <w:rFonts w:ascii="Calibri" w:hAnsi="Calibri"/>
          <w:b/>
          <w:i w:val="0"/>
          <w:color w:val="0B2545"/>
          <w:sz w:val="22"/>
        </w:rPr>
        <w:t xml:space="preserve">Review feedback: </w:t>
      </w:r>
      <w:r>
        <w:rPr>
          <w:rFonts w:ascii="Calibri" w:hAnsi="Calibri"/>
          <w:b w:val="0"/>
          <w:i w:val="0"/>
          <w:color w:val="000000"/>
          <w:sz w:val="22"/>
        </w:rPr>
        <w:t>Provider workflows, CSV compatibility, viewer access, Broadcasting, rollout readiness</w:t>
      </w:r>
    </w:p>
    <w:p>
      <w:pPr>
        <w:spacing w:after="40"/>
      </w:pPr>
      <w:r>
        <w:rPr>
          <w:rFonts w:ascii="Calibri" w:hAnsi="Calibri"/>
          <w:b/>
          <w:i w:val="0"/>
          <w:color w:val="0B2545"/>
          <w:sz w:val="22"/>
        </w:rPr>
        <w:t xml:space="preserve">Change gate: </w:t>
      </w:r>
      <w:r>
        <w:rPr>
          <w:rFonts w:ascii="Calibri" w:hAnsi="Calibri"/>
          <w:b w:val="0"/>
          <w:i w:val="0"/>
          <w:color w:val="000000"/>
          <w:sz w:val="22"/>
        </w:rPr>
        <w:t>This document must exist and pass available QA before source code changes</w:t>
      </w:r>
    </w:p>
    <w:p>
      <w:pPr>
        <w:spacing w:after="240"/>
        <w:pBdr>
          <w:bottom w:val="single" w:sz="14" w:space="1" w:color="2E74B5"/>
        </w:pBdr>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shd w:fill="F4F6F9"/>
            <w:tcMar>
              <w:top w:w="80" w:type="dxa"/>
              <w:start w:w="120" w:type="dxa"/>
              <w:bottom w:w="80" w:type="dxa"/>
              <w:end w:w="120" w:type="dxa"/>
            </w:tcMar>
            <w:vAlign w:val="center"/>
          </w:tcPr>
          <w:p>
            <w:pPr>
              <w:spacing w:after="0"/>
            </w:pPr>
            <w:r>
              <w:rPr>
                <w:rFonts w:ascii="Calibri" w:hAnsi="Calibri"/>
                <w:b/>
                <w:i w:val="0"/>
                <w:color w:val="0B2545"/>
                <w:sz w:val="22"/>
              </w:rPr>
              <w:t xml:space="preserve">Decision gate. </w:t>
            </w:r>
            <w:r>
              <w:rPr>
                <w:rFonts w:ascii="Calibri" w:hAnsi="Calibri"/>
                <w:b w:val="0"/>
                <w:i w:val="0"/>
                <w:color w:val="000000"/>
                <w:sz w:val="22"/>
              </w:rPr>
              <w:t>Resolve tenant isolation and provider workflow defects before releasing feature additions. No live Hugging Face deployment is in scope; all implementation stays on testing_fix.</w:t>
            </w:r>
          </w:p>
        </w:tc>
      </w:tr>
    </w:tbl>
    <w:p/>
    <w:p>
      <w:pPr>
        <w:pStyle w:val="Heading1"/>
      </w:pPr>
      <w:r>
        <w:t>1. Executive Summary</w:t>
      </w:r>
    </w:p>
    <w:p>
      <w:r>
        <w:rPr>
          <w:rFonts w:ascii="Calibri" w:hAnsi="Calibri"/>
          <w:b w:val="0"/>
          <w:i w:val="0"/>
          <w:color w:val="000000"/>
          <w:sz w:val="22"/>
        </w:rPr>
        <w:t>Testing against the supplied guide and rollback-only API probes confirmed two release-blocking defects: provider upload requests omit authentication, and provider users can retrieve another provider's submission records. Submission readiness is also not enforced: the backend accepted a submission at 35% completion.</w:t>
      </w:r>
    </w:p>
    <w:p>
      <w:r>
        <w:rPr>
          <w:rFonts w:ascii="Calibri" w:hAnsi="Calibri"/>
          <w:b w:val="0"/>
          <w:i w:val="0"/>
          <w:color w:val="000000"/>
          <w:sz w:val="22"/>
        </w:rPr>
        <w:t>CSV generation returns data, but download compatibility and spreadsheet safety need strengthening. The proposed NCA Viewer role and sector classification are feature additions scheduled only after the critical workflow and security work.</w:t>
      </w:r>
    </w:p>
    <w:p>
      <w:pPr>
        <w:pStyle w:val="Heading1"/>
      </w:pPr>
      <w:r>
        <w:t>2. Confirmed Findings and Priorities</w:t>
      </w:r>
    </w:p>
    <w:tbl>
      <w:tblPr>
        <w:tblStyle w:val="TableGrid"/>
        <w:tblW w:type="dxa" w:w="9360"/>
        <w:jc w:val="left"/>
        <w:tblLayout w:type="fixed"/>
        <w:tblLook w:firstColumn="1" w:firstRow="1" w:lastColumn="0" w:lastRow="0" w:noHBand="0" w:noVBand="1" w:val="04A0"/>
        <w:tblInd w:w="120" w:type="dxa"/>
      </w:tblPr>
      <w:tblGrid>
        <w:gridCol w:w="750"/>
        <w:gridCol w:w="1900"/>
        <w:gridCol w:w="3010"/>
        <w:gridCol w:w="3700"/>
      </w:tblGrid>
      <w:tr>
        <w:trPr>
          <w:tblHeader w:val="true"/>
        </w:trPr>
        <w:tc>
          <w:tcPr>
            <w:tcW w:type="dxa" w:w="750"/>
            <w:shd w:fill="F2F4F7"/>
            <w:tcMar>
              <w:top w:w="80" w:type="dxa"/>
              <w:start w:w="120" w:type="dxa"/>
              <w:bottom w:w="80" w:type="dxa"/>
              <w:end w:w="120" w:type="dxa"/>
            </w:tcMar>
            <w:vAlign w:val="center"/>
          </w:tcPr>
          <w:p>
            <w:pPr>
              <w:spacing w:after="0"/>
              <w:jc w:val="left"/>
            </w:pPr>
            <w:r>
              <w:rPr>
                <w:rFonts w:ascii="Calibri" w:hAnsi="Calibri"/>
                <w:b/>
                <w:i w:val="0"/>
                <w:color w:val="0B2545"/>
                <w:sz w:val="17"/>
              </w:rPr>
              <w:t>Priority</w:t>
            </w:r>
          </w:p>
        </w:tc>
        <w:tc>
          <w:tcPr>
            <w:tcW w:type="dxa" w:w="1900"/>
            <w:shd w:fill="F2F4F7"/>
            <w:tcMar>
              <w:top w:w="80" w:type="dxa"/>
              <w:start w:w="120" w:type="dxa"/>
              <w:bottom w:w="80" w:type="dxa"/>
              <w:end w:w="120" w:type="dxa"/>
            </w:tcMar>
            <w:vAlign w:val="center"/>
          </w:tcPr>
          <w:p>
            <w:pPr>
              <w:spacing w:after="0"/>
              <w:jc w:val="left"/>
            </w:pPr>
            <w:r>
              <w:rPr>
                <w:rFonts w:ascii="Calibri" w:hAnsi="Calibri"/>
                <w:b/>
                <w:i w:val="0"/>
                <w:color w:val="0B2545"/>
                <w:sz w:val="17"/>
              </w:rPr>
              <w:t>Finding</w:t>
            </w:r>
          </w:p>
        </w:tc>
        <w:tc>
          <w:tcPr>
            <w:tcW w:type="dxa" w:w="3010"/>
            <w:shd w:fill="F2F4F7"/>
            <w:tcMar>
              <w:top w:w="80" w:type="dxa"/>
              <w:start w:w="120" w:type="dxa"/>
              <w:bottom w:w="80" w:type="dxa"/>
              <w:end w:w="120" w:type="dxa"/>
            </w:tcMar>
            <w:vAlign w:val="center"/>
          </w:tcPr>
          <w:p>
            <w:pPr>
              <w:spacing w:after="0"/>
              <w:jc w:val="left"/>
            </w:pPr>
            <w:r>
              <w:rPr>
                <w:rFonts w:ascii="Calibri" w:hAnsi="Calibri"/>
                <w:b/>
                <w:i w:val="0"/>
                <w:color w:val="0B2545"/>
                <w:sz w:val="17"/>
              </w:rPr>
              <w:t>Evidence</w:t>
            </w:r>
          </w:p>
        </w:tc>
        <w:tc>
          <w:tcPr>
            <w:tcW w:type="dxa" w:w="3700"/>
            <w:shd w:fill="F2F4F7"/>
            <w:tcMar>
              <w:top w:w="80" w:type="dxa"/>
              <w:start w:w="120" w:type="dxa"/>
              <w:bottom w:w="80" w:type="dxa"/>
              <w:end w:w="120" w:type="dxa"/>
            </w:tcMar>
            <w:vAlign w:val="center"/>
          </w:tcPr>
          <w:p>
            <w:pPr>
              <w:spacing w:after="0"/>
              <w:jc w:val="left"/>
            </w:pPr>
            <w:r>
              <w:rPr>
                <w:rFonts w:ascii="Calibri" w:hAnsi="Calibri"/>
                <w:b/>
                <w:i w:val="0"/>
                <w:color w:val="0B2545"/>
                <w:sz w:val="17"/>
              </w:rPr>
              <w:t>Required outcome</w:t>
            </w:r>
          </w:p>
        </w:tc>
      </w:tr>
      <w:tr>
        <w:tc>
          <w:tcPr>
            <w:tcW w:type="dxa" w:w="750"/>
            <w:tcMar>
              <w:top w:w="80" w:type="dxa"/>
              <w:start w:w="120" w:type="dxa"/>
              <w:bottom w:w="80" w:type="dxa"/>
              <w:end w:w="120" w:type="dxa"/>
            </w:tcMar>
            <w:vAlign w:val="center"/>
          </w:tcPr>
          <w:p>
            <w:pPr>
              <w:spacing w:after="0"/>
            </w:pPr>
            <w:r>
              <w:rPr>
                <w:rFonts w:ascii="Calibri" w:hAnsi="Calibri"/>
                <w:b w:val="0"/>
                <w:i w:val="0"/>
                <w:color w:val="000000"/>
                <w:sz w:val="17"/>
              </w:rPr>
              <w:t>P0</w:t>
            </w:r>
          </w:p>
        </w:tc>
        <w:tc>
          <w:tcPr>
            <w:tcW w:type="dxa" w:w="1900"/>
            <w:tcMar>
              <w:top w:w="80" w:type="dxa"/>
              <w:start w:w="120" w:type="dxa"/>
              <w:bottom w:w="80" w:type="dxa"/>
              <w:end w:w="120" w:type="dxa"/>
            </w:tcMar>
            <w:vAlign w:val="center"/>
          </w:tcPr>
          <w:p>
            <w:pPr>
              <w:spacing w:after="0"/>
            </w:pPr>
            <w:r>
              <w:rPr>
                <w:rFonts w:ascii="Calibri" w:hAnsi="Calibri"/>
                <w:b w:val="0"/>
                <w:i w:val="0"/>
                <w:color w:val="000000"/>
                <w:sz w:val="17"/>
              </w:rPr>
              <w:t>Cross-provider data exposure</w:t>
            </w:r>
          </w:p>
        </w:tc>
        <w:tc>
          <w:tcPr>
            <w:tcW w:type="dxa" w:w="3010"/>
            <w:tcMar>
              <w:top w:w="80" w:type="dxa"/>
              <w:start w:w="120" w:type="dxa"/>
              <w:bottom w:w="80" w:type="dxa"/>
              <w:end w:w="120" w:type="dxa"/>
            </w:tcMar>
            <w:vAlign w:val="center"/>
          </w:tcPr>
          <w:p>
            <w:pPr>
              <w:spacing w:after="0"/>
            </w:pPr>
            <w:r>
              <w:rPr>
                <w:rFonts w:ascii="Calibri" w:hAnsi="Calibri"/>
                <w:b w:val="0"/>
                <w:i w:val="0"/>
                <w:color w:val="000000"/>
                <w:sz w:val="17"/>
              </w:rPr>
              <w:t>Provider received HTTP 200 for MTN expected-submission and submission detail.</w:t>
            </w:r>
          </w:p>
        </w:tc>
        <w:tc>
          <w:tcPr>
            <w:tcW w:type="dxa" w:w="3700"/>
            <w:tcMar>
              <w:top w:w="80" w:type="dxa"/>
              <w:start w:w="120" w:type="dxa"/>
              <w:bottom w:w="80" w:type="dxa"/>
              <w:end w:w="120" w:type="dxa"/>
            </w:tcMar>
            <w:vAlign w:val="center"/>
          </w:tcPr>
          <w:p>
            <w:pPr>
              <w:spacing w:after="0"/>
            </w:pPr>
            <w:r>
              <w:rPr>
                <w:rFonts w:ascii="Calibri" w:hAnsi="Calibri"/>
                <w:b w:val="0"/>
                <w:i w:val="0"/>
                <w:color w:val="000000"/>
                <w:sz w:val="17"/>
              </w:rPr>
              <w:t>Return 404 outside the user's organization; cover every related endpoint.</w:t>
            </w:r>
          </w:p>
        </w:tc>
      </w:tr>
      <w:tr>
        <w:tc>
          <w:tcPr>
            <w:tcW w:type="dxa" w:w="750"/>
            <w:tcMar>
              <w:top w:w="80" w:type="dxa"/>
              <w:start w:w="120" w:type="dxa"/>
              <w:bottom w:w="80" w:type="dxa"/>
              <w:end w:w="120" w:type="dxa"/>
            </w:tcMar>
            <w:vAlign w:val="center"/>
          </w:tcPr>
          <w:p>
            <w:pPr>
              <w:spacing w:after="0"/>
            </w:pPr>
            <w:r>
              <w:rPr>
                <w:rFonts w:ascii="Calibri" w:hAnsi="Calibri"/>
                <w:b w:val="0"/>
                <w:i w:val="0"/>
                <w:color w:val="000000"/>
                <w:sz w:val="17"/>
              </w:rPr>
              <w:t>P0</w:t>
            </w:r>
          </w:p>
        </w:tc>
        <w:tc>
          <w:tcPr>
            <w:tcW w:type="dxa" w:w="1900"/>
            <w:tcMar>
              <w:top w:w="80" w:type="dxa"/>
              <w:start w:w="120" w:type="dxa"/>
              <w:bottom w:w="80" w:type="dxa"/>
              <w:end w:w="120" w:type="dxa"/>
            </w:tcMar>
            <w:vAlign w:val="center"/>
          </w:tcPr>
          <w:p>
            <w:pPr>
              <w:spacing w:after="0"/>
            </w:pPr>
            <w:r>
              <w:rPr>
                <w:rFonts w:ascii="Calibri" w:hAnsi="Calibri"/>
                <w:b w:val="0"/>
                <w:i w:val="0"/>
                <w:color w:val="000000"/>
                <w:sz w:val="17"/>
              </w:rPr>
              <w:t>Unauthenticated provider uploads</w:t>
            </w:r>
          </w:p>
        </w:tc>
        <w:tc>
          <w:tcPr>
            <w:tcW w:type="dxa" w:w="3010"/>
            <w:tcMar>
              <w:top w:w="80" w:type="dxa"/>
              <w:start w:w="120" w:type="dxa"/>
              <w:bottom w:w="80" w:type="dxa"/>
              <w:end w:w="120" w:type="dxa"/>
            </w:tcMar>
            <w:vAlign w:val="center"/>
          </w:tcPr>
          <w:p>
            <w:pPr>
              <w:spacing w:after="0"/>
            </w:pPr>
            <w:r>
              <w:rPr>
                <w:rFonts w:ascii="Calibri" w:hAnsi="Calibri"/>
                <w:b w:val="0"/>
                <w:i w:val="0"/>
                <w:color w:val="000000"/>
                <w:sz w:val="17"/>
              </w:rPr>
              <w:t>Authenticated Excel upload returned 201; the frontend-equivalent request returned 401.</w:t>
            </w:r>
          </w:p>
        </w:tc>
        <w:tc>
          <w:tcPr>
            <w:tcW w:type="dxa" w:w="3700"/>
            <w:tcMar>
              <w:top w:w="80" w:type="dxa"/>
              <w:start w:w="120" w:type="dxa"/>
              <w:bottom w:w="80" w:type="dxa"/>
              <w:end w:w="120" w:type="dxa"/>
            </w:tcMar>
            <w:vAlign w:val="center"/>
          </w:tcPr>
          <w:p>
            <w:pPr>
              <w:spacing w:after="0"/>
            </w:pPr>
            <w:r>
              <w:rPr>
                <w:rFonts w:ascii="Calibri" w:hAnsi="Calibri"/>
                <w:b w:val="0"/>
                <w:i w:val="0"/>
                <w:color w:val="000000"/>
                <w:sz w:val="17"/>
              </w:rPr>
              <w:t>Authenticated multipart client, refresh support, server error display.</w:t>
            </w:r>
          </w:p>
        </w:tc>
      </w:tr>
      <w:tr>
        <w:tc>
          <w:tcPr>
            <w:tcW w:type="dxa" w:w="750"/>
            <w:tcMar>
              <w:top w:w="80" w:type="dxa"/>
              <w:start w:w="120" w:type="dxa"/>
              <w:bottom w:w="80" w:type="dxa"/>
              <w:end w:w="120" w:type="dxa"/>
            </w:tcMar>
            <w:vAlign w:val="center"/>
          </w:tcPr>
          <w:p>
            <w:pPr>
              <w:spacing w:after="0"/>
            </w:pPr>
            <w:r>
              <w:rPr>
                <w:rFonts w:ascii="Calibri" w:hAnsi="Calibri"/>
                <w:b w:val="0"/>
                <w:i w:val="0"/>
                <w:color w:val="000000"/>
                <w:sz w:val="17"/>
              </w:rPr>
              <w:t>P1</w:t>
            </w:r>
          </w:p>
        </w:tc>
        <w:tc>
          <w:tcPr>
            <w:tcW w:type="dxa" w:w="1900"/>
            <w:tcMar>
              <w:top w:w="80" w:type="dxa"/>
              <w:start w:w="120" w:type="dxa"/>
              <w:bottom w:w="80" w:type="dxa"/>
              <w:end w:w="120" w:type="dxa"/>
            </w:tcMar>
            <w:vAlign w:val="center"/>
          </w:tcPr>
          <w:p>
            <w:pPr>
              <w:spacing w:after="0"/>
            </w:pPr>
            <w:r>
              <w:rPr>
                <w:rFonts w:ascii="Calibri" w:hAnsi="Calibri"/>
                <w:b w:val="0"/>
                <w:i w:val="0"/>
                <w:color w:val="000000"/>
                <w:sz w:val="17"/>
              </w:rPr>
              <w:t>Submission completeness bypass</w:t>
            </w:r>
          </w:p>
        </w:tc>
        <w:tc>
          <w:tcPr>
            <w:tcW w:type="dxa" w:w="3010"/>
            <w:tcMar>
              <w:top w:w="80" w:type="dxa"/>
              <w:start w:w="120" w:type="dxa"/>
              <w:bottom w:w="80" w:type="dxa"/>
              <w:end w:w="120" w:type="dxa"/>
            </w:tcMar>
            <w:vAlign w:val="center"/>
          </w:tcPr>
          <w:p>
            <w:pPr>
              <w:spacing w:after="0"/>
            </w:pPr>
            <w:r>
              <w:rPr>
                <w:rFonts w:ascii="Calibri" w:hAnsi="Calibri"/>
                <w:b w:val="0"/>
                <w:i w:val="0"/>
                <w:color w:val="000000"/>
                <w:sz w:val="17"/>
              </w:rPr>
              <w:t>Submit-to-approver succeeded at 35% completion.</w:t>
            </w:r>
          </w:p>
        </w:tc>
        <w:tc>
          <w:tcPr>
            <w:tcW w:type="dxa" w:w="3700"/>
            <w:tcMar>
              <w:top w:w="80" w:type="dxa"/>
              <w:start w:w="120" w:type="dxa"/>
              <w:bottom w:w="80" w:type="dxa"/>
              <w:end w:w="120" w:type="dxa"/>
            </w:tcMar>
            <w:vAlign w:val="center"/>
          </w:tcPr>
          <w:p>
            <w:pPr>
              <w:spacing w:after="0"/>
            </w:pPr>
            <w:r>
              <w:rPr>
                <w:rFonts w:ascii="Calibri" w:hAnsi="Calibri"/>
                <w:b w:val="0"/>
                <w:i w:val="0"/>
                <w:color w:val="000000"/>
                <w:sz w:val="17"/>
              </w:rPr>
              <w:t>Central readiness service enforced by API and UI.</w:t>
            </w:r>
          </w:p>
        </w:tc>
      </w:tr>
      <w:tr>
        <w:tc>
          <w:tcPr>
            <w:tcW w:type="dxa" w:w="750"/>
            <w:tcMar>
              <w:top w:w="80" w:type="dxa"/>
              <w:start w:w="120" w:type="dxa"/>
              <w:bottom w:w="80" w:type="dxa"/>
              <w:end w:w="120" w:type="dxa"/>
            </w:tcMar>
            <w:vAlign w:val="center"/>
          </w:tcPr>
          <w:p>
            <w:pPr>
              <w:spacing w:after="0"/>
            </w:pPr>
            <w:r>
              <w:rPr>
                <w:rFonts w:ascii="Calibri" w:hAnsi="Calibri"/>
                <w:b w:val="0"/>
                <w:i w:val="0"/>
                <w:color w:val="000000"/>
                <w:sz w:val="17"/>
              </w:rPr>
              <w:t>P1</w:t>
            </w:r>
          </w:p>
        </w:tc>
        <w:tc>
          <w:tcPr>
            <w:tcW w:type="dxa" w:w="1900"/>
            <w:tcMar>
              <w:top w:w="80" w:type="dxa"/>
              <w:start w:w="120" w:type="dxa"/>
              <w:bottom w:w="80" w:type="dxa"/>
              <w:end w:w="120" w:type="dxa"/>
            </w:tcMar>
            <w:vAlign w:val="center"/>
          </w:tcPr>
          <w:p>
            <w:pPr>
              <w:spacing w:after="0"/>
            </w:pPr>
            <w:r>
              <w:rPr>
                <w:rFonts w:ascii="Calibri" w:hAnsi="Calibri"/>
                <w:b w:val="0"/>
                <w:i w:val="0"/>
                <w:color w:val="000000"/>
                <w:sz w:val="17"/>
              </w:rPr>
              <w:t>KMZ requirement mismatch</w:t>
            </w:r>
          </w:p>
        </w:tc>
        <w:tc>
          <w:tcPr>
            <w:tcW w:type="dxa" w:w="3010"/>
            <w:tcMar>
              <w:top w:w="80" w:type="dxa"/>
              <w:start w:w="120" w:type="dxa"/>
              <w:bottom w:w="80" w:type="dxa"/>
              <w:end w:w="120" w:type="dxa"/>
            </w:tcMar>
            <w:vAlign w:val="center"/>
          </w:tcPr>
          <w:p>
            <w:pPr>
              <w:spacing w:after="0"/>
            </w:pPr>
            <w:r>
              <w:rPr>
                <w:rFonts w:ascii="Calibri" w:hAnsi="Calibri"/>
                <w:b w:val="0"/>
                <w:i w:val="0"/>
                <w:color w:val="000000"/>
                <w:sz w:val="17"/>
              </w:rPr>
              <w:t>Frontend hardcodes requirement ID 1 and never loads real uploads.</w:t>
            </w:r>
          </w:p>
        </w:tc>
        <w:tc>
          <w:tcPr>
            <w:tcW w:type="dxa" w:w="3700"/>
            <w:tcMar>
              <w:top w:w="80" w:type="dxa"/>
              <w:start w:w="120" w:type="dxa"/>
              <w:bottom w:w="80" w:type="dxa"/>
              <w:end w:w="120" w:type="dxa"/>
            </w:tcMar>
            <w:vAlign w:val="center"/>
          </w:tcPr>
          <w:p>
            <w:pPr>
              <w:spacing w:after="0"/>
            </w:pPr>
            <w:r>
              <w:rPr>
                <w:rFonts w:ascii="Calibri" w:hAnsi="Calibri"/>
                <w:b w:val="0"/>
                <w:i w:val="0"/>
                <w:color w:val="000000"/>
                <w:sz w:val="17"/>
              </w:rPr>
              <w:t>Expose section requirements and use returned identifiers.</w:t>
            </w:r>
          </w:p>
        </w:tc>
      </w:tr>
      <w:tr>
        <w:tc>
          <w:tcPr>
            <w:tcW w:type="dxa" w:w="750"/>
            <w:tcMar>
              <w:top w:w="80" w:type="dxa"/>
              <w:start w:w="120" w:type="dxa"/>
              <w:bottom w:w="80" w:type="dxa"/>
              <w:end w:w="120" w:type="dxa"/>
            </w:tcMar>
            <w:vAlign w:val="center"/>
          </w:tcPr>
          <w:p>
            <w:pPr>
              <w:spacing w:after="0"/>
            </w:pPr>
            <w:r>
              <w:rPr>
                <w:rFonts w:ascii="Calibri" w:hAnsi="Calibri"/>
                <w:b w:val="0"/>
                <w:i w:val="0"/>
                <w:color w:val="000000"/>
                <w:sz w:val="17"/>
              </w:rPr>
              <w:t>P1</w:t>
            </w:r>
          </w:p>
        </w:tc>
        <w:tc>
          <w:tcPr>
            <w:tcW w:type="dxa" w:w="1900"/>
            <w:tcMar>
              <w:top w:w="80" w:type="dxa"/>
              <w:start w:w="120" w:type="dxa"/>
              <w:bottom w:w="80" w:type="dxa"/>
              <w:end w:w="120" w:type="dxa"/>
            </w:tcMar>
            <w:vAlign w:val="center"/>
          </w:tcPr>
          <w:p>
            <w:pPr>
              <w:spacing w:after="0"/>
            </w:pPr>
            <w:r>
              <w:rPr>
                <w:rFonts w:ascii="Calibri" w:hAnsi="Calibri"/>
                <w:b w:val="0"/>
                <w:i w:val="0"/>
                <w:color w:val="000000"/>
                <w:sz w:val="17"/>
              </w:rPr>
              <w:t>CSV compatibility risk</w:t>
            </w:r>
          </w:p>
        </w:tc>
        <w:tc>
          <w:tcPr>
            <w:tcW w:type="dxa" w:w="3010"/>
            <w:tcMar>
              <w:top w:w="80" w:type="dxa"/>
              <w:start w:w="120" w:type="dxa"/>
              <w:bottom w:w="80" w:type="dxa"/>
              <w:end w:w="120" w:type="dxa"/>
            </w:tcMar>
            <w:vAlign w:val="center"/>
          </w:tcPr>
          <w:p>
            <w:pPr>
              <w:spacing w:after="0"/>
            </w:pPr>
            <w:r>
              <w:rPr>
                <w:rFonts w:ascii="Calibri" w:hAnsi="Calibri"/>
                <w:b w:val="0"/>
                <w:i w:val="0"/>
                <w:color w:val="000000"/>
                <w:sz w:val="17"/>
              </w:rPr>
              <w:t>CSV returned without UTF-8 BOM/charset; URL is revoked immediately.</w:t>
            </w:r>
          </w:p>
        </w:tc>
        <w:tc>
          <w:tcPr>
            <w:tcW w:type="dxa" w:w="3700"/>
            <w:tcMar>
              <w:top w:w="80" w:type="dxa"/>
              <w:start w:w="120" w:type="dxa"/>
              <w:bottom w:w="80" w:type="dxa"/>
              <w:end w:w="120" w:type="dxa"/>
            </w:tcMar>
            <w:vAlign w:val="center"/>
          </w:tcPr>
          <w:p>
            <w:pPr>
              <w:spacing w:after="0"/>
            </w:pPr>
            <w:r>
              <w:rPr>
                <w:rFonts w:ascii="Calibri" w:hAnsi="Calibri"/>
                <w:b w:val="0"/>
                <w:i w:val="0"/>
                <w:color w:val="000000"/>
                <w:sz w:val="17"/>
              </w:rPr>
              <w:t>BOM, safe headers, formula protection, delayed cleanup.</w:t>
            </w:r>
          </w:p>
        </w:tc>
      </w:tr>
      <w:tr>
        <w:tc>
          <w:tcPr>
            <w:tcW w:type="dxa" w:w="750"/>
            <w:tcMar>
              <w:top w:w="80" w:type="dxa"/>
              <w:start w:w="120" w:type="dxa"/>
              <w:bottom w:w="80" w:type="dxa"/>
              <w:end w:w="120" w:type="dxa"/>
            </w:tcMar>
            <w:vAlign w:val="center"/>
          </w:tcPr>
          <w:p>
            <w:pPr>
              <w:spacing w:after="0"/>
            </w:pPr>
            <w:r>
              <w:rPr>
                <w:rFonts w:ascii="Calibri" w:hAnsi="Calibri"/>
                <w:b w:val="0"/>
                <w:i w:val="0"/>
                <w:color w:val="000000"/>
                <w:sz w:val="17"/>
              </w:rPr>
              <w:t>P1</w:t>
            </w:r>
          </w:p>
        </w:tc>
        <w:tc>
          <w:tcPr>
            <w:tcW w:type="dxa" w:w="1900"/>
            <w:tcMar>
              <w:top w:w="80" w:type="dxa"/>
              <w:start w:w="120" w:type="dxa"/>
              <w:bottom w:w="80" w:type="dxa"/>
              <w:end w:w="120" w:type="dxa"/>
            </w:tcMar>
            <w:vAlign w:val="center"/>
          </w:tcPr>
          <w:p>
            <w:pPr>
              <w:spacing w:after="0"/>
            </w:pPr>
            <w:r>
              <w:rPr>
                <w:rFonts w:ascii="Calibri" w:hAnsi="Calibri"/>
                <w:b w:val="0"/>
                <w:i w:val="0"/>
                <w:color w:val="000000"/>
                <w:sz w:val="17"/>
              </w:rPr>
              <w:t>Smoke-test coverage defect</w:t>
            </w:r>
          </w:p>
        </w:tc>
        <w:tc>
          <w:tcPr>
            <w:tcW w:type="dxa" w:w="3010"/>
            <w:tcMar>
              <w:top w:w="80" w:type="dxa"/>
              <w:start w:w="120" w:type="dxa"/>
              <w:bottom w:w="80" w:type="dxa"/>
              <w:end w:w="120" w:type="dxa"/>
            </w:tcMar>
            <w:vAlign w:val="center"/>
          </w:tcPr>
          <w:p>
            <w:pPr>
              <w:spacing w:after="0"/>
            </w:pPr>
            <w:r>
              <w:rPr>
                <w:rFonts w:ascii="Calibri" w:hAnsi="Calibri"/>
                <w:b w:val="0"/>
                <w:i w:val="0"/>
                <w:color w:val="000000"/>
                <w:sz w:val="17"/>
              </w:rPr>
              <w:t>CSV smoke test depends on undefined PERIOD_ID and sends the wrong payload.</w:t>
            </w:r>
          </w:p>
        </w:tc>
        <w:tc>
          <w:tcPr>
            <w:tcW w:type="dxa" w:w="3700"/>
            <w:tcMar>
              <w:top w:w="80" w:type="dxa"/>
              <w:start w:w="120" w:type="dxa"/>
              <w:bottom w:w="80" w:type="dxa"/>
              <w:end w:w="120" w:type="dxa"/>
            </w:tcMar>
            <w:vAlign w:val="center"/>
          </w:tcPr>
          <w:p>
            <w:pPr>
              <w:spacing w:after="0"/>
            </w:pPr>
            <w:r>
              <w:rPr>
                <w:rFonts w:ascii="Calibri" w:hAnsi="Calibri"/>
                <w:b w:val="0"/>
                <w:i w:val="0"/>
                <w:color w:val="000000"/>
                <w:sz w:val="17"/>
              </w:rPr>
              <w:t>Use the actual filters contract and always execute the test.</w:t>
            </w:r>
          </w:p>
        </w:tc>
      </w:tr>
      <w:tr>
        <w:tc>
          <w:tcPr>
            <w:tcW w:type="dxa" w:w="750"/>
            <w:tcMar>
              <w:top w:w="80" w:type="dxa"/>
              <w:start w:w="120" w:type="dxa"/>
              <w:bottom w:w="80" w:type="dxa"/>
              <w:end w:w="120" w:type="dxa"/>
            </w:tcMar>
            <w:vAlign w:val="center"/>
          </w:tcPr>
          <w:p>
            <w:pPr>
              <w:spacing w:after="0"/>
            </w:pPr>
            <w:r>
              <w:rPr>
                <w:rFonts w:ascii="Calibri" w:hAnsi="Calibri"/>
                <w:b w:val="0"/>
                <w:i w:val="0"/>
                <w:color w:val="000000"/>
                <w:sz w:val="17"/>
              </w:rPr>
              <w:t>P2</w:t>
            </w:r>
          </w:p>
        </w:tc>
        <w:tc>
          <w:tcPr>
            <w:tcW w:type="dxa" w:w="1900"/>
            <w:tcMar>
              <w:top w:w="80" w:type="dxa"/>
              <w:start w:w="120" w:type="dxa"/>
              <w:bottom w:w="80" w:type="dxa"/>
              <w:end w:w="120" w:type="dxa"/>
            </w:tcMar>
            <w:vAlign w:val="center"/>
          </w:tcPr>
          <w:p>
            <w:pPr>
              <w:spacing w:after="0"/>
            </w:pPr>
            <w:r>
              <w:rPr>
                <w:rFonts w:ascii="Calibri" w:hAnsi="Calibri"/>
                <w:b w:val="0"/>
                <w:i w:val="0"/>
                <w:color w:val="000000"/>
                <w:sz w:val="17"/>
              </w:rPr>
              <w:t>View-only role missing</w:t>
            </w:r>
          </w:p>
        </w:tc>
        <w:tc>
          <w:tcPr>
            <w:tcW w:type="dxa" w:w="3010"/>
            <w:tcMar>
              <w:top w:w="80" w:type="dxa"/>
              <w:start w:w="120" w:type="dxa"/>
              <w:bottom w:w="80" w:type="dxa"/>
              <w:end w:w="120" w:type="dxa"/>
            </w:tcMar>
            <w:vAlign w:val="center"/>
          </w:tcPr>
          <w:p>
            <w:pPr>
              <w:spacing w:after="0"/>
            </w:pPr>
            <w:r>
              <w:rPr>
                <w:rFonts w:ascii="Calibri" w:hAnsi="Calibri"/>
                <w:b w:val="0"/>
                <w:i w:val="0"/>
                <w:color w:val="000000"/>
                <w:sz w:val="17"/>
              </w:rPr>
              <w:t>Only four roles exist.</w:t>
            </w:r>
          </w:p>
        </w:tc>
        <w:tc>
          <w:tcPr>
            <w:tcW w:type="dxa" w:w="3700"/>
            <w:tcMar>
              <w:top w:w="80" w:type="dxa"/>
              <w:start w:w="120" w:type="dxa"/>
              <w:bottom w:w="80" w:type="dxa"/>
              <w:end w:w="120" w:type="dxa"/>
            </w:tcMar>
            <w:vAlign w:val="center"/>
          </w:tcPr>
          <w:p>
            <w:pPr>
              <w:spacing w:after="0"/>
            </w:pPr>
            <w:r>
              <w:rPr>
                <w:rFonts w:ascii="Calibri" w:hAnsi="Calibri"/>
                <w:b w:val="0"/>
                <w:i w:val="0"/>
                <w:color w:val="000000"/>
                <w:sz w:val="17"/>
              </w:rPr>
              <w:t>Add NCA_VIEWER plus method-aware permissions and capabilities.</w:t>
            </w:r>
          </w:p>
        </w:tc>
      </w:tr>
      <w:tr>
        <w:tc>
          <w:tcPr>
            <w:tcW w:type="dxa" w:w="750"/>
            <w:tcMar>
              <w:top w:w="80" w:type="dxa"/>
              <w:start w:w="120" w:type="dxa"/>
              <w:bottom w:w="80" w:type="dxa"/>
              <w:end w:w="120" w:type="dxa"/>
            </w:tcMar>
            <w:vAlign w:val="center"/>
          </w:tcPr>
          <w:p>
            <w:pPr>
              <w:spacing w:after="0"/>
            </w:pPr>
            <w:r>
              <w:rPr>
                <w:rFonts w:ascii="Calibri" w:hAnsi="Calibri"/>
                <w:b w:val="0"/>
                <w:i w:val="0"/>
                <w:color w:val="000000"/>
                <w:sz w:val="17"/>
              </w:rPr>
              <w:t>P2</w:t>
            </w:r>
          </w:p>
        </w:tc>
        <w:tc>
          <w:tcPr>
            <w:tcW w:type="dxa" w:w="1900"/>
            <w:tcMar>
              <w:top w:w="80" w:type="dxa"/>
              <w:start w:w="120" w:type="dxa"/>
              <w:bottom w:w="80" w:type="dxa"/>
              <w:end w:w="120" w:type="dxa"/>
            </w:tcMar>
            <w:vAlign w:val="center"/>
          </w:tcPr>
          <w:p>
            <w:pPr>
              <w:spacing w:after="0"/>
            </w:pPr>
            <w:r>
              <w:rPr>
                <w:rFonts w:ascii="Calibri" w:hAnsi="Calibri"/>
                <w:b w:val="0"/>
                <w:i w:val="0"/>
                <w:color w:val="000000"/>
                <w:sz w:val="17"/>
              </w:rPr>
              <w:t>Broadcasting hidden in seeded flows</w:t>
            </w:r>
          </w:p>
        </w:tc>
        <w:tc>
          <w:tcPr>
            <w:tcW w:type="dxa" w:w="3010"/>
            <w:tcMar>
              <w:top w:w="80" w:type="dxa"/>
              <w:start w:w="120" w:type="dxa"/>
              <w:bottom w:w="80" w:type="dxa"/>
              <w:end w:w="120" w:type="dxa"/>
            </w:tcMar>
            <w:vAlign w:val="center"/>
          </w:tcPr>
          <w:p>
            <w:pPr>
              <w:spacing w:after="0"/>
            </w:pPr>
            <w:r>
              <w:rPr>
                <w:rFonts w:ascii="Calibri" w:hAnsi="Calibri"/>
                <w:b w:val="0"/>
                <w:i w:val="0"/>
                <w:color w:val="000000"/>
                <w:sz w:val="17"/>
              </w:rPr>
              <w:t>PAY_TV/DC-TB02 exist, but StarTimes and Broadcasting submissions are excluded by seed slicing.</w:t>
            </w:r>
          </w:p>
        </w:tc>
        <w:tc>
          <w:tcPr>
            <w:tcW w:type="dxa" w:w="3700"/>
            <w:tcMar>
              <w:top w:w="80" w:type="dxa"/>
              <w:start w:w="120" w:type="dxa"/>
              <w:bottom w:w="80" w:type="dxa"/>
              <w:end w:w="120" w:type="dxa"/>
            </w:tcMar>
            <w:vAlign w:val="center"/>
          </w:tcPr>
          <w:p>
            <w:pPr>
              <w:spacing w:after="0"/>
            </w:pPr>
            <w:r>
              <w:rPr>
                <w:rFonts w:ascii="Calibri" w:hAnsi="Calibri"/>
                <w:b w:val="0"/>
                <w:i w:val="0"/>
                <w:color w:val="000000"/>
                <w:sz w:val="17"/>
              </w:rPr>
              <w:t>Add sector classification and category-matched seed coverage.</w:t>
            </w:r>
          </w:p>
        </w:tc>
      </w:tr>
      <w:tr>
        <w:tc>
          <w:tcPr>
            <w:tcW w:type="dxa" w:w="750"/>
            <w:tcMar>
              <w:top w:w="80" w:type="dxa"/>
              <w:start w:w="120" w:type="dxa"/>
              <w:bottom w:w="80" w:type="dxa"/>
              <w:end w:w="120" w:type="dxa"/>
            </w:tcMar>
            <w:vAlign w:val="center"/>
          </w:tcPr>
          <w:p>
            <w:pPr>
              <w:spacing w:after="0"/>
            </w:pPr>
            <w:r>
              <w:rPr>
                <w:rFonts w:ascii="Calibri" w:hAnsi="Calibri"/>
                <w:b w:val="0"/>
                <w:i w:val="0"/>
                <w:color w:val="000000"/>
                <w:sz w:val="17"/>
              </w:rPr>
              <w:t>P2</w:t>
            </w:r>
          </w:p>
        </w:tc>
        <w:tc>
          <w:tcPr>
            <w:tcW w:type="dxa" w:w="1900"/>
            <w:tcMar>
              <w:top w:w="80" w:type="dxa"/>
              <w:start w:w="120" w:type="dxa"/>
              <w:bottom w:w="80" w:type="dxa"/>
              <w:end w:w="120" w:type="dxa"/>
            </w:tcMar>
            <w:vAlign w:val="center"/>
          </w:tcPr>
          <w:p>
            <w:pPr>
              <w:spacing w:after="0"/>
            </w:pPr>
            <w:r>
              <w:rPr>
                <w:rFonts w:ascii="Calibri" w:hAnsi="Calibri"/>
                <w:b w:val="0"/>
                <w:i w:val="0"/>
                <w:color w:val="000000"/>
                <w:sz w:val="17"/>
              </w:rPr>
              <w:t>No automated backend tests</w:t>
            </w:r>
          </w:p>
        </w:tc>
        <w:tc>
          <w:tcPr>
            <w:tcW w:type="dxa" w:w="3010"/>
            <w:tcMar>
              <w:top w:w="80" w:type="dxa"/>
              <w:start w:w="120" w:type="dxa"/>
              <w:bottom w:w="80" w:type="dxa"/>
              <w:end w:w="120" w:type="dxa"/>
            </w:tcMar>
            <w:vAlign w:val="center"/>
          </w:tcPr>
          <w:p>
            <w:pPr>
              <w:spacing w:after="0"/>
            </w:pPr>
            <w:r>
              <w:rPr>
                <w:rFonts w:ascii="Calibri" w:hAnsi="Calibri"/>
                <w:b w:val="0"/>
                <w:i w:val="0"/>
                <w:color w:val="000000"/>
                <w:sz w:val="17"/>
              </w:rPr>
              <w:t>Django discovered zero tests.</w:t>
            </w:r>
          </w:p>
        </w:tc>
        <w:tc>
          <w:tcPr>
            <w:tcW w:type="dxa" w:w="3700"/>
            <w:tcMar>
              <w:top w:w="80" w:type="dxa"/>
              <w:start w:w="120" w:type="dxa"/>
              <w:bottom w:w="80" w:type="dxa"/>
              <w:end w:w="120" w:type="dxa"/>
            </w:tcMar>
            <w:vAlign w:val="center"/>
          </w:tcPr>
          <w:p>
            <w:pPr>
              <w:spacing w:after="0"/>
            </w:pPr>
            <w:r>
              <w:rPr>
                <w:rFonts w:ascii="Calibri" w:hAnsi="Calibri"/>
                <w:b w:val="0"/>
                <w:i w:val="0"/>
                <w:color w:val="000000"/>
                <w:sz w:val="17"/>
              </w:rPr>
              <w:t>Add DRF regression coverage for security, workflow, roles, exports, and sectors.</w:t>
            </w:r>
          </w:p>
        </w:tc>
      </w:tr>
    </w:tbl>
    <w:p>
      <w:pPr>
        <w:spacing w:after="40"/>
      </w:pPr>
    </w:p>
    <w:p>
      <w:pPr>
        <w:pStyle w:val="Heading1"/>
      </w:pPr>
      <w:r>
        <w:t>3. Implementation Workstreams</w:t>
      </w:r>
    </w:p>
    <w:p>
      <w:pPr>
        <w:pStyle w:val="Heading2"/>
      </w:pPr>
      <w:r>
        <w:t>3.1 Provider workflow and tenant isolation</w:t>
      </w:r>
    </w:p>
    <w:p>
      <w:pPr>
        <w:pStyle w:val="ListBullet"/>
        <w:ind w:left="720" w:hanging="360"/>
      </w:pPr>
      <w:r>
        <w:rPr>
          <w:rFonts w:ascii="Calibri" w:hAnsi="Calibri"/>
          <w:b w:val="0"/>
          <w:i w:val="0"/>
          <w:color w:val="000000"/>
          <w:sz w:val="22"/>
        </w:rPr>
        <w:t>Create shared organization-scoped query helpers for expected submissions, submission versions, values, uploads, downloads, and workflow actions.</w:t>
      </w:r>
    </w:p>
    <w:p>
      <w:pPr>
        <w:pStyle w:val="ListBullet"/>
        <w:ind w:left="720" w:hanging="360"/>
      </w:pPr>
      <w:r>
        <w:rPr>
          <w:rFonts w:ascii="Calibri" w:hAnsi="Calibri"/>
          <w:b w:val="0"/>
          <w:i w:val="0"/>
          <w:color w:val="000000"/>
          <w:sz w:val="22"/>
        </w:rPr>
        <w:t>Return 404 for provider access outside the user's organization; retain authorized NCA-wide access.</w:t>
      </w:r>
    </w:p>
    <w:p>
      <w:pPr>
        <w:pStyle w:val="ListBullet"/>
        <w:ind w:left="720" w:hanging="360"/>
      </w:pPr>
      <w:r>
        <w:rPr>
          <w:rFonts w:ascii="Calibri" w:hAnsi="Calibri"/>
          <w:b w:val="0"/>
          <w:i w:val="0"/>
          <w:color w:val="000000"/>
          <w:sz w:val="22"/>
        </w:rPr>
        <w:t>Restrict start, save, upload, submit, return, and official-submit actions by organization, role, and workflow state.</w:t>
      </w:r>
    </w:p>
    <w:p>
      <w:pPr>
        <w:pStyle w:val="ListBullet"/>
        <w:ind w:left="720" w:hanging="360"/>
      </w:pPr>
      <w:r>
        <w:rPr>
          <w:rFonts w:ascii="Calibri" w:hAnsi="Calibri"/>
          <w:b w:val="0"/>
          <w:i w:val="0"/>
          <w:color w:val="000000"/>
          <w:sz w:val="22"/>
        </w:rPr>
        <w:t>Replace raw multipart requests with an authenticated upload helper that refreshes expired tokens without setting a manual Content-Type boundary.</w:t>
      </w:r>
    </w:p>
    <w:p>
      <w:pPr>
        <w:pStyle w:val="ListBullet"/>
        <w:ind w:left="720" w:hanging="360"/>
      </w:pPr>
      <w:r>
        <w:rPr>
          <w:rFonts w:ascii="Calibri" w:hAnsi="Calibri"/>
          <w:b w:val="0"/>
          <w:i w:val="0"/>
          <w:color w:val="000000"/>
          <w:sz w:val="22"/>
        </w:rPr>
        <w:t>Expose actual KMZ requirements and uploaded-file lists; remove the hardcoded requirement ID.</w:t>
      </w:r>
    </w:p>
    <w:p>
      <w:pPr>
        <w:pStyle w:val="ListBullet"/>
        <w:ind w:left="720" w:hanging="360"/>
      </w:pPr>
      <w:r>
        <w:rPr>
          <w:rFonts w:ascii="Calibri" w:hAnsi="Calibri"/>
          <w:b w:val="0"/>
          <w:i w:val="0"/>
          <w:color w:val="000000"/>
          <w:sz w:val="22"/>
        </w:rPr>
        <w:t>Centralize readiness validation for required scalar fields, fixed grids, repeatable-row cells, explanations, and required KMZ uploads.</w:t>
      </w:r>
    </w:p>
    <w:p>
      <w:pPr>
        <w:pStyle w:val="Heading2"/>
      </w:pPr>
      <w:r>
        <w:t>3.2 CSV export compatibility</w:t>
      </w:r>
    </w:p>
    <w:p>
      <w:pPr>
        <w:pStyle w:val="ListBullet"/>
        <w:ind w:left="720" w:hanging="360"/>
      </w:pPr>
      <w:r>
        <w:rPr>
          <w:rFonts w:ascii="Calibri" w:hAnsi="Calibri"/>
          <w:b w:val="0"/>
          <w:i w:val="0"/>
          <w:color w:val="000000"/>
          <w:sz w:val="22"/>
        </w:rPr>
        <w:t>Allowlist and validate export filters instead of passing arbitrary keys to the ORM.</w:t>
      </w:r>
    </w:p>
    <w:p>
      <w:pPr>
        <w:pStyle w:val="ListBullet"/>
        <w:ind w:left="720" w:hanging="360"/>
      </w:pPr>
      <w:r>
        <w:rPr>
          <w:rFonts w:ascii="Calibri" w:hAnsi="Calibri"/>
          <w:b w:val="0"/>
          <w:i w:val="0"/>
          <w:color w:val="000000"/>
          <w:sz w:val="22"/>
        </w:rPr>
        <w:t>Emit UTF-8 with BOM, charset, safe attachment filenames, consistent rows, and spreadsheet-formula neutralization.</w:t>
      </w:r>
    </w:p>
    <w:p>
      <w:pPr>
        <w:pStyle w:val="ListBullet"/>
        <w:ind w:left="720" w:hanging="360"/>
      </w:pPr>
      <w:r>
        <w:rPr>
          <w:rFonts w:ascii="Calibri" w:hAnsi="Calibri"/>
          <w:b w:val="0"/>
          <w:i w:val="0"/>
          <w:color w:val="000000"/>
          <w:sz w:val="22"/>
        </w:rPr>
        <w:t>Create an authenticated download helper that validates response type, attaches the temporary link, and revokes the object URL after the click completes.</w:t>
      </w:r>
    </w:p>
    <w:p>
      <w:pPr>
        <w:pStyle w:val="ListBullet"/>
        <w:ind w:left="720" w:hanging="360"/>
      </w:pPr>
      <w:r>
        <w:rPr>
          <w:rFonts w:ascii="Calibri" w:hAnsi="Calibri"/>
          <w:b w:val="0"/>
          <w:i w:val="0"/>
          <w:color w:val="000000"/>
          <w:sz w:val="22"/>
        </w:rPr>
        <w:t>Repair the shell smoke test to use the real filters payload and remove the undefined period condition.</w:t>
      </w:r>
    </w:p>
    <w:p>
      <w:pPr>
        <w:pStyle w:val="Heading2"/>
      </w:pPr>
      <w:r>
        <w:t>3.3 NCA Viewer</w:t>
      </w:r>
    </w:p>
    <w:p>
      <w:pPr>
        <w:pStyle w:val="ListBullet"/>
        <w:ind w:left="720" w:hanging="360"/>
      </w:pPr>
      <w:r>
        <w:rPr>
          <w:rFonts w:ascii="Calibri" w:hAnsi="Calibri"/>
          <w:b w:val="0"/>
          <w:i w:val="0"/>
          <w:color w:val="000000"/>
          <w:sz w:val="22"/>
        </w:rPr>
        <w:t>Add NCA_VIEWER to the database, serializers, type definitions, labels, administrator user creation, and login routing.</w:t>
      </w:r>
    </w:p>
    <w:p>
      <w:pPr>
        <w:pStyle w:val="ListBullet"/>
        <w:ind w:left="720" w:hanging="360"/>
      </w:pPr>
      <w:r>
        <w:rPr>
          <w:rFonts w:ascii="Calibri" w:hAnsi="Calibri"/>
          <w:b w:val="0"/>
          <w:i w:val="0"/>
          <w:color w:val="000000"/>
          <w:sz w:val="22"/>
        </w:rPr>
        <w:t>Expose explicit capabilities from /auth/me/ and use them to remove write controls.</w:t>
      </w:r>
    </w:p>
    <w:p>
      <w:pPr>
        <w:pStyle w:val="ListBullet"/>
        <w:ind w:left="720" w:hanging="360"/>
      </w:pPr>
      <w:r>
        <w:rPr>
          <w:rFonts w:ascii="Calibri" w:hAnsi="Calibri"/>
          <w:b w:val="0"/>
          <w:i w:val="0"/>
          <w:color w:val="000000"/>
          <w:sz w:val="22"/>
        </w:rPr>
        <w:t>Allow Dashboard, Providers, Submissions, Periods, Compliance, Exports, and CSV download access.</w:t>
      </w:r>
    </w:p>
    <w:p>
      <w:pPr>
        <w:pStyle w:val="ListBullet"/>
        <w:ind w:left="720" w:hanging="360"/>
      </w:pPr>
      <w:r>
        <w:rPr>
          <w:rFonts w:ascii="Calibri" w:hAnsi="Calibri"/>
          <w:b w:val="0"/>
          <w:i w:val="0"/>
          <w:color w:val="000000"/>
          <w:sz w:val="22"/>
        </w:rPr>
        <w:t>Deny review, compliance actions, configuration, uploads, user management, and form management at the backend.</w:t>
      </w:r>
    </w:p>
    <w:p>
      <w:pPr>
        <w:pStyle w:val="Heading2"/>
      </w:pPr>
      <w:r>
        <w:t>3.4 Broadcasting visibility</w:t>
      </w:r>
    </w:p>
    <w:p>
      <w:pPr>
        <w:pStyle w:val="ListBullet"/>
        <w:ind w:left="720" w:hanging="360"/>
      </w:pPr>
      <w:r>
        <w:rPr>
          <w:rFonts w:ascii="Calibri" w:hAnsi="Calibri"/>
          <w:b w:val="0"/>
          <w:i w:val="0"/>
          <w:color w:val="000000"/>
          <w:sz w:val="22"/>
        </w:rPr>
        <w:t>Add TELECOM/BROADCASTING sector fields to providers and form templates.</w:t>
      </w:r>
    </w:p>
    <w:p>
      <w:pPr>
        <w:pStyle w:val="ListBullet"/>
        <w:ind w:left="720" w:hanging="360"/>
      </w:pPr>
      <w:r>
        <w:rPr>
          <w:rFonts w:ascii="Calibri" w:hAnsi="Calibri"/>
          <w:b w:val="0"/>
          <w:i w:val="0"/>
          <w:color w:val="000000"/>
          <w:sz w:val="22"/>
        </w:rPr>
        <w:t>Data-migrate PAY_TV and DC-TB02 to Broadcasting; map existing remaining records to Telecom.</w:t>
      </w:r>
    </w:p>
    <w:p>
      <w:pPr>
        <w:pStyle w:val="ListBullet"/>
        <w:ind w:left="720" w:hanging="360"/>
      </w:pPr>
      <w:r>
        <w:rPr>
          <w:rFonts w:ascii="Calibri" w:hAnsi="Calibri"/>
          <w:b w:val="0"/>
          <w:i w:val="0"/>
          <w:color w:val="000000"/>
          <w:sz w:val="22"/>
        </w:rPr>
        <w:t>Expose sector filters and labels in operational views and CSV exports.</w:t>
      </w:r>
    </w:p>
    <w:p>
      <w:pPr>
        <w:pStyle w:val="ListBullet"/>
        <w:ind w:left="720" w:hanging="360"/>
      </w:pPr>
      <w:r>
        <w:rPr>
          <w:rFonts w:ascii="Calibri" w:hAnsi="Calibri"/>
          <w:b w:val="0"/>
          <w:i w:val="0"/>
          <w:color w:val="000000"/>
          <w:sz w:val="22"/>
        </w:rPr>
        <w:t>Repair seed assignment so StarTimes and DC-TB02 generate category-matched test submissions.</w:t>
      </w:r>
    </w:p>
    <w:p>
      <w:pPr>
        <w:pStyle w:val="ListBullet"/>
        <w:ind w:left="720" w:hanging="360"/>
      </w:pPr>
      <w:r>
        <w:rPr>
          <w:rFonts w:ascii="Calibri" w:hAnsi="Calibri"/>
          <w:b w:val="0"/>
          <w:i w:val="0"/>
          <w:color w:val="000000"/>
          <w:sz w:val="22"/>
        </w:rPr>
        <w:t>Do not fabricate additional production statistics; future templates depend on authoritative NCA data definitions.</w:t>
      </w:r>
    </w:p>
    <w:p>
      <w:pPr>
        <w:pStyle w:val="Heading1"/>
      </w:pPr>
      <w:r>
        <w:t>4. Delivery Phases and Owners</w:t>
      </w:r>
    </w:p>
    <w:tbl>
      <w:tblPr>
        <w:tblStyle w:val="TableGrid"/>
        <w:tblW w:type="dxa" w:w="9360"/>
        <w:jc w:val="left"/>
        <w:tblLayout w:type="fixed"/>
        <w:tblLook w:firstColumn="1" w:firstRow="1" w:lastColumn="0" w:lastRow="0" w:noHBand="0" w:noVBand="1" w:val="04A0"/>
        <w:tblInd w:w="120" w:type="dxa"/>
      </w:tblPr>
      <w:tblGrid>
        <w:gridCol w:w="650"/>
        <w:gridCol w:w="1800"/>
        <w:gridCol w:w="1700"/>
        <w:gridCol w:w="3710"/>
        <w:gridCol w:w="1500"/>
      </w:tblGrid>
      <w:tr>
        <w:trPr>
          <w:tblHeader w:val="true"/>
        </w:trPr>
        <w:tc>
          <w:tcPr>
            <w:tcW w:type="dxa" w:w="650"/>
            <w:shd w:fill="F2F4F7"/>
            <w:tcMar>
              <w:top w:w="80" w:type="dxa"/>
              <w:start w:w="120" w:type="dxa"/>
              <w:bottom w:w="80" w:type="dxa"/>
              <w:end w:w="120" w:type="dxa"/>
            </w:tcMar>
            <w:vAlign w:val="center"/>
          </w:tcPr>
          <w:p>
            <w:pPr>
              <w:spacing w:after="0"/>
              <w:jc w:val="left"/>
            </w:pPr>
            <w:r>
              <w:rPr>
                <w:rFonts w:ascii="Calibri" w:hAnsi="Calibri"/>
                <w:b/>
                <w:i w:val="0"/>
                <w:color w:val="0B2545"/>
                <w:sz w:val="17"/>
              </w:rPr>
              <w:t>Phase</w:t>
            </w:r>
          </w:p>
        </w:tc>
        <w:tc>
          <w:tcPr>
            <w:tcW w:type="dxa" w:w="1800"/>
            <w:shd w:fill="F2F4F7"/>
            <w:tcMar>
              <w:top w:w="80" w:type="dxa"/>
              <w:start w:w="120" w:type="dxa"/>
              <w:bottom w:w="80" w:type="dxa"/>
              <w:end w:w="120" w:type="dxa"/>
            </w:tcMar>
            <w:vAlign w:val="center"/>
          </w:tcPr>
          <w:p>
            <w:pPr>
              <w:spacing w:after="0"/>
              <w:jc w:val="left"/>
            </w:pPr>
            <w:r>
              <w:rPr>
                <w:rFonts w:ascii="Calibri" w:hAnsi="Calibri"/>
                <w:b/>
                <w:i w:val="0"/>
                <w:color w:val="0B2545"/>
                <w:sz w:val="17"/>
              </w:rPr>
              <w:t>Workstream</w:t>
            </w:r>
          </w:p>
        </w:tc>
        <w:tc>
          <w:tcPr>
            <w:tcW w:type="dxa" w:w="1700"/>
            <w:shd w:fill="F2F4F7"/>
            <w:tcMar>
              <w:top w:w="80" w:type="dxa"/>
              <w:start w:w="120" w:type="dxa"/>
              <w:bottom w:w="80" w:type="dxa"/>
              <w:end w:w="120" w:type="dxa"/>
            </w:tcMar>
            <w:vAlign w:val="center"/>
          </w:tcPr>
          <w:p>
            <w:pPr>
              <w:spacing w:after="0"/>
              <w:jc w:val="left"/>
            </w:pPr>
            <w:r>
              <w:rPr>
                <w:rFonts w:ascii="Calibri" w:hAnsi="Calibri"/>
                <w:b/>
                <w:i w:val="0"/>
                <w:color w:val="0B2545"/>
                <w:sz w:val="17"/>
              </w:rPr>
              <w:t>Owner</w:t>
            </w:r>
          </w:p>
        </w:tc>
        <w:tc>
          <w:tcPr>
            <w:tcW w:type="dxa" w:w="3710"/>
            <w:shd w:fill="F2F4F7"/>
            <w:tcMar>
              <w:top w:w="80" w:type="dxa"/>
              <w:start w:w="120" w:type="dxa"/>
              <w:bottom w:w="80" w:type="dxa"/>
              <w:end w:w="120" w:type="dxa"/>
            </w:tcMar>
            <w:vAlign w:val="center"/>
          </w:tcPr>
          <w:p>
            <w:pPr>
              <w:spacing w:after="0"/>
              <w:jc w:val="left"/>
            </w:pPr>
            <w:r>
              <w:rPr>
                <w:rFonts w:ascii="Calibri" w:hAnsi="Calibri"/>
                <w:b/>
                <w:i w:val="0"/>
                <w:color w:val="0B2545"/>
                <w:sz w:val="17"/>
              </w:rPr>
              <w:t>Exit evidence</w:t>
            </w:r>
          </w:p>
        </w:tc>
        <w:tc>
          <w:tcPr>
            <w:tcW w:type="dxa" w:w="1500"/>
            <w:shd w:fill="F2F4F7"/>
            <w:tcMar>
              <w:top w:w="80" w:type="dxa"/>
              <w:start w:w="120" w:type="dxa"/>
              <w:bottom w:w="80" w:type="dxa"/>
              <w:end w:w="120" w:type="dxa"/>
            </w:tcMar>
            <w:vAlign w:val="center"/>
          </w:tcPr>
          <w:p>
            <w:pPr>
              <w:spacing w:after="0"/>
              <w:jc w:val="left"/>
            </w:pPr>
            <w:r>
              <w:rPr>
                <w:rFonts w:ascii="Calibri" w:hAnsi="Calibri"/>
                <w:b/>
                <w:i w:val="0"/>
                <w:color w:val="0B2545"/>
                <w:sz w:val="17"/>
              </w:rPr>
              <w:t>Gate</w:t>
            </w:r>
          </w:p>
        </w:tc>
      </w:tr>
      <w:tr>
        <w:tc>
          <w:tcPr>
            <w:tcW w:type="dxa" w:w="650"/>
            <w:tcMar>
              <w:top w:w="80" w:type="dxa"/>
              <w:start w:w="120" w:type="dxa"/>
              <w:bottom w:w="80" w:type="dxa"/>
              <w:end w:w="120" w:type="dxa"/>
            </w:tcMar>
            <w:vAlign w:val="center"/>
          </w:tcPr>
          <w:p>
            <w:pPr>
              <w:spacing w:after="0"/>
            </w:pPr>
            <w:r>
              <w:rPr>
                <w:rFonts w:ascii="Calibri" w:hAnsi="Calibri"/>
                <w:b w:val="0"/>
                <w:i w:val="0"/>
                <w:color w:val="000000"/>
                <w:sz w:val="17"/>
              </w:rPr>
              <w:t>0</w:t>
            </w:r>
          </w:p>
        </w:tc>
        <w:tc>
          <w:tcPr>
            <w:tcW w:type="dxa" w:w="1800"/>
            <w:tcMar>
              <w:top w:w="80" w:type="dxa"/>
              <w:start w:w="120" w:type="dxa"/>
              <w:bottom w:w="80" w:type="dxa"/>
              <w:end w:w="120" w:type="dxa"/>
            </w:tcMar>
            <w:vAlign w:val="center"/>
          </w:tcPr>
          <w:p>
            <w:pPr>
              <w:spacing w:after="0"/>
            </w:pPr>
            <w:r>
              <w:rPr>
                <w:rFonts w:ascii="Calibri" w:hAnsi="Calibri"/>
                <w:b w:val="0"/>
                <w:i w:val="0"/>
                <w:color w:val="000000"/>
                <w:sz w:val="17"/>
              </w:rPr>
              <w:t>Document gate</w:t>
            </w:r>
          </w:p>
        </w:tc>
        <w:tc>
          <w:tcPr>
            <w:tcW w:type="dxa" w:w="1700"/>
            <w:tcMar>
              <w:top w:w="80" w:type="dxa"/>
              <w:start w:w="120" w:type="dxa"/>
              <w:bottom w:w="80" w:type="dxa"/>
              <w:end w:w="120" w:type="dxa"/>
            </w:tcMar>
            <w:vAlign w:val="center"/>
          </w:tcPr>
          <w:p>
            <w:pPr>
              <w:spacing w:after="0"/>
            </w:pPr>
            <w:r>
              <w:rPr>
                <w:rFonts w:ascii="Calibri" w:hAnsi="Calibri"/>
                <w:b w:val="0"/>
                <w:i w:val="0"/>
                <w:color w:val="000000"/>
                <w:sz w:val="17"/>
              </w:rPr>
              <w:t>Engineering lead</w:t>
            </w:r>
          </w:p>
        </w:tc>
        <w:tc>
          <w:tcPr>
            <w:tcW w:type="dxa" w:w="3710"/>
            <w:tcMar>
              <w:top w:w="80" w:type="dxa"/>
              <w:start w:w="120" w:type="dxa"/>
              <w:bottom w:w="80" w:type="dxa"/>
              <w:end w:w="120" w:type="dxa"/>
            </w:tcMar>
            <w:vAlign w:val="center"/>
          </w:tcPr>
          <w:p>
            <w:pPr>
              <w:spacing w:after="0"/>
            </w:pPr>
            <w:r>
              <w:rPr>
                <w:rFonts w:ascii="Calibri" w:hAnsi="Calibri"/>
                <w:b w:val="0"/>
                <w:i w:val="0"/>
                <w:color w:val="000000"/>
                <w:sz w:val="17"/>
              </w:rPr>
              <w:t>Plan DOCX created; render attempted; structural audit completed.</w:t>
            </w:r>
          </w:p>
        </w:tc>
        <w:tc>
          <w:tcPr>
            <w:tcW w:type="dxa" w:w="1500"/>
            <w:tcMar>
              <w:top w:w="80" w:type="dxa"/>
              <w:start w:w="120" w:type="dxa"/>
              <w:bottom w:w="80" w:type="dxa"/>
              <w:end w:w="120" w:type="dxa"/>
            </w:tcMar>
            <w:vAlign w:val="center"/>
          </w:tcPr>
          <w:p>
            <w:pPr>
              <w:spacing w:after="0"/>
            </w:pPr>
            <w:r>
              <w:rPr>
                <w:rFonts w:ascii="Calibri" w:hAnsi="Calibri"/>
                <w:b w:val="0"/>
                <w:i w:val="0"/>
                <w:color w:val="000000"/>
                <w:sz w:val="17"/>
              </w:rPr>
              <w:t>Before code</w:t>
            </w:r>
          </w:p>
        </w:tc>
      </w:tr>
      <w:tr>
        <w:tc>
          <w:tcPr>
            <w:tcW w:type="dxa" w:w="650"/>
            <w:tcMar>
              <w:top w:w="80" w:type="dxa"/>
              <w:start w:w="120" w:type="dxa"/>
              <w:bottom w:w="80" w:type="dxa"/>
              <w:end w:w="120" w:type="dxa"/>
            </w:tcMar>
            <w:vAlign w:val="center"/>
          </w:tcPr>
          <w:p>
            <w:pPr>
              <w:spacing w:after="0"/>
            </w:pPr>
            <w:r>
              <w:rPr>
                <w:rFonts w:ascii="Calibri" w:hAnsi="Calibri"/>
                <w:b w:val="0"/>
                <w:i w:val="0"/>
                <w:color w:val="000000"/>
                <w:sz w:val="17"/>
              </w:rPr>
              <w:t>1</w:t>
            </w:r>
          </w:p>
        </w:tc>
        <w:tc>
          <w:tcPr>
            <w:tcW w:type="dxa" w:w="1800"/>
            <w:tcMar>
              <w:top w:w="80" w:type="dxa"/>
              <w:start w:w="120" w:type="dxa"/>
              <w:bottom w:w="80" w:type="dxa"/>
              <w:end w:w="120" w:type="dxa"/>
            </w:tcMar>
            <w:vAlign w:val="center"/>
          </w:tcPr>
          <w:p>
            <w:pPr>
              <w:spacing w:after="0"/>
            </w:pPr>
            <w:r>
              <w:rPr>
                <w:rFonts w:ascii="Calibri" w:hAnsi="Calibri"/>
                <w:b w:val="0"/>
                <w:i w:val="0"/>
                <w:color w:val="000000"/>
                <w:sz w:val="17"/>
              </w:rPr>
              <w:t>Security and provider workflow</w:t>
            </w:r>
          </w:p>
        </w:tc>
        <w:tc>
          <w:tcPr>
            <w:tcW w:type="dxa" w:w="1700"/>
            <w:tcMar>
              <w:top w:w="80" w:type="dxa"/>
              <w:start w:w="120" w:type="dxa"/>
              <w:bottom w:w="80" w:type="dxa"/>
              <w:end w:w="120" w:type="dxa"/>
            </w:tcMar>
            <w:vAlign w:val="center"/>
          </w:tcPr>
          <w:p>
            <w:pPr>
              <w:spacing w:after="0"/>
            </w:pPr>
            <w:r>
              <w:rPr>
                <w:rFonts w:ascii="Calibri" w:hAnsi="Calibri"/>
                <w:b w:val="0"/>
                <w:i w:val="0"/>
                <w:color w:val="000000"/>
                <w:sz w:val="17"/>
              </w:rPr>
              <w:t>Backend + frontend engineering</w:t>
            </w:r>
          </w:p>
        </w:tc>
        <w:tc>
          <w:tcPr>
            <w:tcW w:type="dxa" w:w="3710"/>
            <w:tcMar>
              <w:top w:w="80" w:type="dxa"/>
              <w:start w:w="120" w:type="dxa"/>
              <w:bottom w:w="80" w:type="dxa"/>
              <w:end w:w="120" w:type="dxa"/>
            </w:tcMar>
            <w:vAlign w:val="center"/>
          </w:tcPr>
          <w:p>
            <w:pPr>
              <w:spacing w:after="0"/>
            </w:pPr>
            <w:r>
              <w:rPr>
                <w:rFonts w:ascii="Calibri" w:hAnsi="Calibri"/>
                <w:b w:val="0"/>
                <w:i w:val="0"/>
                <w:color w:val="000000"/>
                <w:sz w:val="17"/>
              </w:rPr>
              <w:t>P0/P1 workflow tests pass; no cross-tenant access.</w:t>
            </w:r>
          </w:p>
        </w:tc>
        <w:tc>
          <w:tcPr>
            <w:tcW w:type="dxa" w:w="1500"/>
            <w:tcMar>
              <w:top w:w="80" w:type="dxa"/>
              <w:start w:w="120" w:type="dxa"/>
              <w:bottom w:w="80" w:type="dxa"/>
              <w:end w:w="120" w:type="dxa"/>
            </w:tcMar>
            <w:vAlign w:val="center"/>
          </w:tcPr>
          <w:p>
            <w:pPr>
              <w:spacing w:after="0"/>
            </w:pPr>
            <w:r>
              <w:rPr>
                <w:rFonts w:ascii="Calibri" w:hAnsi="Calibri"/>
                <w:b w:val="0"/>
                <w:i w:val="0"/>
                <w:color w:val="000000"/>
                <w:sz w:val="17"/>
              </w:rPr>
              <w:t>Release blocker</w:t>
            </w:r>
          </w:p>
        </w:tc>
      </w:tr>
      <w:tr>
        <w:tc>
          <w:tcPr>
            <w:tcW w:type="dxa" w:w="650"/>
            <w:tcMar>
              <w:top w:w="80" w:type="dxa"/>
              <w:start w:w="120" w:type="dxa"/>
              <w:bottom w:w="80" w:type="dxa"/>
              <w:end w:w="120" w:type="dxa"/>
            </w:tcMar>
            <w:vAlign w:val="center"/>
          </w:tcPr>
          <w:p>
            <w:pPr>
              <w:spacing w:after="0"/>
            </w:pPr>
            <w:r>
              <w:rPr>
                <w:rFonts w:ascii="Calibri" w:hAnsi="Calibri"/>
                <w:b w:val="0"/>
                <w:i w:val="0"/>
                <w:color w:val="000000"/>
                <w:sz w:val="17"/>
              </w:rPr>
              <w:t>2</w:t>
            </w:r>
          </w:p>
        </w:tc>
        <w:tc>
          <w:tcPr>
            <w:tcW w:type="dxa" w:w="1800"/>
            <w:tcMar>
              <w:top w:w="80" w:type="dxa"/>
              <w:start w:w="120" w:type="dxa"/>
              <w:bottom w:w="80" w:type="dxa"/>
              <w:end w:w="120" w:type="dxa"/>
            </w:tcMar>
            <w:vAlign w:val="center"/>
          </w:tcPr>
          <w:p>
            <w:pPr>
              <w:spacing w:after="0"/>
            </w:pPr>
            <w:r>
              <w:rPr>
                <w:rFonts w:ascii="Calibri" w:hAnsi="Calibri"/>
                <w:b w:val="0"/>
                <w:i w:val="0"/>
                <w:color w:val="000000"/>
                <w:sz w:val="17"/>
              </w:rPr>
              <w:t>CSV compatibility</w:t>
            </w:r>
          </w:p>
        </w:tc>
        <w:tc>
          <w:tcPr>
            <w:tcW w:type="dxa" w:w="1700"/>
            <w:tcMar>
              <w:top w:w="80" w:type="dxa"/>
              <w:start w:w="120" w:type="dxa"/>
              <w:bottom w:w="80" w:type="dxa"/>
              <w:end w:w="120" w:type="dxa"/>
            </w:tcMar>
            <w:vAlign w:val="center"/>
          </w:tcPr>
          <w:p>
            <w:pPr>
              <w:spacing w:after="0"/>
            </w:pPr>
            <w:r>
              <w:rPr>
                <w:rFonts w:ascii="Calibri" w:hAnsi="Calibri"/>
                <w:b w:val="0"/>
                <w:i w:val="0"/>
                <w:color w:val="000000"/>
                <w:sz w:val="17"/>
              </w:rPr>
              <w:t>Backend + frontend engineering</w:t>
            </w:r>
          </w:p>
        </w:tc>
        <w:tc>
          <w:tcPr>
            <w:tcW w:type="dxa" w:w="3710"/>
            <w:tcMar>
              <w:top w:w="80" w:type="dxa"/>
              <w:start w:w="120" w:type="dxa"/>
              <w:bottom w:w="80" w:type="dxa"/>
              <w:end w:w="120" w:type="dxa"/>
            </w:tcMar>
            <w:vAlign w:val="center"/>
          </w:tcPr>
          <w:p>
            <w:pPr>
              <w:spacing w:after="0"/>
            </w:pPr>
            <w:r>
              <w:rPr>
                <w:rFonts w:ascii="Calibri" w:hAnsi="Calibri"/>
                <w:b w:val="0"/>
                <w:i w:val="0"/>
                <w:color w:val="000000"/>
                <w:sz w:val="17"/>
              </w:rPr>
              <w:t>Browser and spreadsheet matrix passes.</w:t>
            </w:r>
          </w:p>
        </w:tc>
        <w:tc>
          <w:tcPr>
            <w:tcW w:type="dxa" w:w="1500"/>
            <w:tcMar>
              <w:top w:w="80" w:type="dxa"/>
              <w:start w:w="120" w:type="dxa"/>
              <w:bottom w:w="80" w:type="dxa"/>
              <w:end w:w="120" w:type="dxa"/>
            </w:tcMar>
            <w:vAlign w:val="center"/>
          </w:tcPr>
          <w:p>
            <w:pPr>
              <w:spacing w:after="0"/>
            </w:pPr>
            <w:r>
              <w:rPr>
                <w:rFonts w:ascii="Calibri" w:hAnsi="Calibri"/>
                <w:b w:val="0"/>
                <w:i w:val="0"/>
                <w:color w:val="000000"/>
                <w:sz w:val="17"/>
              </w:rPr>
              <w:t>Release blocker</w:t>
            </w:r>
          </w:p>
        </w:tc>
      </w:tr>
      <w:tr>
        <w:tc>
          <w:tcPr>
            <w:tcW w:type="dxa" w:w="650"/>
            <w:tcMar>
              <w:top w:w="80" w:type="dxa"/>
              <w:start w:w="120" w:type="dxa"/>
              <w:bottom w:w="80" w:type="dxa"/>
              <w:end w:w="120" w:type="dxa"/>
            </w:tcMar>
            <w:vAlign w:val="center"/>
          </w:tcPr>
          <w:p>
            <w:pPr>
              <w:spacing w:after="0"/>
            </w:pPr>
            <w:r>
              <w:rPr>
                <w:rFonts w:ascii="Calibri" w:hAnsi="Calibri"/>
                <w:b w:val="0"/>
                <w:i w:val="0"/>
                <w:color w:val="000000"/>
                <w:sz w:val="17"/>
              </w:rPr>
              <w:t>3</w:t>
            </w:r>
          </w:p>
        </w:tc>
        <w:tc>
          <w:tcPr>
            <w:tcW w:type="dxa" w:w="1800"/>
            <w:tcMar>
              <w:top w:w="80" w:type="dxa"/>
              <w:start w:w="120" w:type="dxa"/>
              <w:bottom w:w="80" w:type="dxa"/>
              <w:end w:w="120" w:type="dxa"/>
            </w:tcMar>
            <w:vAlign w:val="center"/>
          </w:tcPr>
          <w:p>
            <w:pPr>
              <w:spacing w:after="0"/>
            </w:pPr>
            <w:r>
              <w:rPr>
                <w:rFonts w:ascii="Calibri" w:hAnsi="Calibri"/>
                <w:b w:val="0"/>
                <w:i w:val="0"/>
                <w:color w:val="000000"/>
                <w:sz w:val="17"/>
              </w:rPr>
              <w:t>Viewer and sector support</w:t>
            </w:r>
          </w:p>
        </w:tc>
        <w:tc>
          <w:tcPr>
            <w:tcW w:type="dxa" w:w="1700"/>
            <w:tcMar>
              <w:top w:w="80" w:type="dxa"/>
              <w:start w:w="120" w:type="dxa"/>
              <w:bottom w:w="80" w:type="dxa"/>
              <w:end w:w="120" w:type="dxa"/>
            </w:tcMar>
            <w:vAlign w:val="center"/>
          </w:tcPr>
          <w:p>
            <w:pPr>
              <w:spacing w:after="0"/>
            </w:pPr>
            <w:r>
              <w:rPr>
                <w:rFonts w:ascii="Calibri" w:hAnsi="Calibri"/>
                <w:b w:val="0"/>
                <w:i w:val="0"/>
                <w:color w:val="000000"/>
                <w:sz w:val="17"/>
              </w:rPr>
              <w:t>Engineering + product owner</w:t>
            </w:r>
          </w:p>
        </w:tc>
        <w:tc>
          <w:tcPr>
            <w:tcW w:type="dxa" w:w="3710"/>
            <w:tcMar>
              <w:top w:w="80" w:type="dxa"/>
              <w:start w:w="120" w:type="dxa"/>
              <w:bottom w:w="80" w:type="dxa"/>
              <w:end w:w="120" w:type="dxa"/>
            </w:tcMar>
            <w:vAlign w:val="center"/>
          </w:tcPr>
          <w:p>
            <w:pPr>
              <w:spacing w:after="0"/>
            </w:pPr>
            <w:r>
              <w:rPr>
                <w:rFonts w:ascii="Calibri" w:hAnsi="Calibri"/>
                <w:b w:val="0"/>
                <w:i w:val="0"/>
                <w:color w:val="000000"/>
                <w:sz w:val="17"/>
              </w:rPr>
              <w:t>Role/capability and Broadcasting acceptance tests pass.</w:t>
            </w:r>
          </w:p>
        </w:tc>
        <w:tc>
          <w:tcPr>
            <w:tcW w:type="dxa" w:w="1500"/>
            <w:tcMar>
              <w:top w:w="80" w:type="dxa"/>
              <w:start w:w="120" w:type="dxa"/>
              <w:bottom w:w="80" w:type="dxa"/>
              <w:end w:w="120" w:type="dxa"/>
            </w:tcMar>
            <w:vAlign w:val="center"/>
          </w:tcPr>
          <w:p>
            <w:pPr>
              <w:spacing w:after="0"/>
            </w:pPr>
            <w:r>
              <w:rPr>
                <w:rFonts w:ascii="Calibri" w:hAnsi="Calibri"/>
                <w:b w:val="0"/>
                <w:i w:val="0"/>
                <w:color w:val="000000"/>
                <w:sz w:val="17"/>
              </w:rPr>
              <w:t>Feature gate</w:t>
            </w:r>
          </w:p>
        </w:tc>
      </w:tr>
      <w:tr>
        <w:tc>
          <w:tcPr>
            <w:tcW w:type="dxa" w:w="650"/>
            <w:tcMar>
              <w:top w:w="80" w:type="dxa"/>
              <w:start w:w="120" w:type="dxa"/>
              <w:bottom w:w="80" w:type="dxa"/>
              <w:end w:w="120" w:type="dxa"/>
            </w:tcMar>
            <w:vAlign w:val="center"/>
          </w:tcPr>
          <w:p>
            <w:pPr>
              <w:spacing w:after="0"/>
            </w:pPr>
            <w:r>
              <w:rPr>
                <w:rFonts w:ascii="Calibri" w:hAnsi="Calibri"/>
                <w:b w:val="0"/>
                <w:i w:val="0"/>
                <w:color w:val="000000"/>
                <w:sz w:val="17"/>
              </w:rPr>
              <w:t>4</w:t>
            </w:r>
          </w:p>
        </w:tc>
        <w:tc>
          <w:tcPr>
            <w:tcW w:type="dxa" w:w="1800"/>
            <w:tcMar>
              <w:top w:w="80" w:type="dxa"/>
              <w:start w:w="120" w:type="dxa"/>
              <w:bottom w:w="80" w:type="dxa"/>
              <w:end w:w="120" w:type="dxa"/>
            </w:tcMar>
            <w:vAlign w:val="center"/>
          </w:tcPr>
          <w:p>
            <w:pPr>
              <w:spacing w:after="0"/>
            </w:pPr>
            <w:r>
              <w:rPr>
                <w:rFonts w:ascii="Calibri" w:hAnsi="Calibri"/>
                <w:b w:val="0"/>
                <w:i w:val="0"/>
                <w:color w:val="000000"/>
                <w:sz w:val="17"/>
              </w:rPr>
              <w:t>UAT and release readiness</w:t>
            </w:r>
          </w:p>
        </w:tc>
        <w:tc>
          <w:tcPr>
            <w:tcW w:type="dxa" w:w="1700"/>
            <w:tcMar>
              <w:top w:w="80" w:type="dxa"/>
              <w:start w:w="120" w:type="dxa"/>
              <w:bottom w:w="80" w:type="dxa"/>
              <w:end w:w="120" w:type="dxa"/>
            </w:tcMar>
            <w:vAlign w:val="center"/>
          </w:tcPr>
          <w:p>
            <w:pPr>
              <w:spacing w:after="0"/>
            </w:pPr>
            <w:r>
              <w:rPr>
                <w:rFonts w:ascii="Calibri" w:hAnsi="Calibri"/>
                <w:b w:val="0"/>
                <w:i w:val="0"/>
                <w:color w:val="000000"/>
                <w:sz w:val="17"/>
              </w:rPr>
              <w:t>QA lead</w:t>
            </w:r>
          </w:p>
        </w:tc>
        <w:tc>
          <w:tcPr>
            <w:tcW w:type="dxa" w:w="3710"/>
            <w:tcMar>
              <w:top w:w="80" w:type="dxa"/>
              <w:start w:w="120" w:type="dxa"/>
              <w:bottom w:w="80" w:type="dxa"/>
              <w:end w:w="120" w:type="dxa"/>
            </w:tcMar>
            <w:vAlign w:val="center"/>
          </w:tcPr>
          <w:p>
            <w:pPr>
              <w:spacing w:after="0"/>
            </w:pPr>
            <w:r>
              <w:rPr>
                <w:rFonts w:ascii="Calibri" w:hAnsi="Calibri"/>
                <w:b w:val="0"/>
                <w:i w:val="0"/>
                <w:color w:val="000000"/>
                <w:sz w:val="17"/>
              </w:rPr>
              <w:t>34-case matrix signed with zero critical/high failures.</w:t>
            </w:r>
          </w:p>
        </w:tc>
        <w:tc>
          <w:tcPr>
            <w:tcW w:type="dxa" w:w="1500"/>
            <w:tcMar>
              <w:top w:w="80" w:type="dxa"/>
              <w:start w:w="120" w:type="dxa"/>
              <w:bottom w:w="80" w:type="dxa"/>
              <w:end w:w="120" w:type="dxa"/>
            </w:tcMar>
            <w:vAlign w:val="center"/>
          </w:tcPr>
          <w:p>
            <w:pPr>
              <w:spacing w:after="0"/>
            </w:pPr>
            <w:r>
              <w:rPr>
                <w:rFonts w:ascii="Calibri" w:hAnsi="Calibri"/>
                <w:b w:val="0"/>
                <w:i w:val="0"/>
                <w:color w:val="000000"/>
                <w:sz w:val="17"/>
              </w:rPr>
              <w:t>Release gate</w:t>
            </w:r>
          </w:p>
        </w:tc>
      </w:tr>
      <w:tr>
        <w:tc>
          <w:tcPr>
            <w:tcW w:type="dxa" w:w="650"/>
            <w:tcMar>
              <w:top w:w="80" w:type="dxa"/>
              <w:start w:w="120" w:type="dxa"/>
              <w:bottom w:w="80" w:type="dxa"/>
              <w:end w:w="120" w:type="dxa"/>
            </w:tcMar>
            <w:vAlign w:val="center"/>
          </w:tcPr>
          <w:p>
            <w:pPr>
              <w:spacing w:after="0"/>
            </w:pPr>
            <w:r>
              <w:rPr>
                <w:rFonts w:ascii="Calibri" w:hAnsi="Calibri"/>
                <w:b w:val="0"/>
                <w:i w:val="0"/>
                <w:color w:val="000000"/>
                <w:sz w:val="17"/>
              </w:rPr>
              <w:t>5</w:t>
            </w:r>
          </w:p>
        </w:tc>
        <w:tc>
          <w:tcPr>
            <w:tcW w:type="dxa" w:w="1800"/>
            <w:tcMar>
              <w:top w:w="80" w:type="dxa"/>
              <w:start w:w="120" w:type="dxa"/>
              <w:bottom w:w="80" w:type="dxa"/>
              <w:end w:w="120" w:type="dxa"/>
            </w:tcMar>
            <w:vAlign w:val="center"/>
          </w:tcPr>
          <w:p>
            <w:pPr>
              <w:spacing w:after="0"/>
            </w:pPr>
            <w:r>
              <w:rPr>
                <w:rFonts w:ascii="Calibri" w:hAnsi="Calibri"/>
                <w:b w:val="0"/>
                <w:i w:val="0"/>
                <w:color w:val="000000"/>
                <w:sz w:val="17"/>
              </w:rPr>
              <w:t>Communications rollout</w:t>
            </w:r>
          </w:p>
        </w:tc>
        <w:tc>
          <w:tcPr>
            <w:tcW w:type="dxa" w:w="1700"/>
            <w:tcMar>
              <w:top w:w="80" w:type="dxa"/>
              <w:start w:w="120" w:type="dxa"/>
              <w:bottom w:w="80" w:type="dxa"/>
              <w:end w:w="120" w:type="dxa"/>
            </w:tcMar>
            <w:vAlign w:val="center"/>
          </w:tcPr>
          <w:p>
            <w:pPr>
              <w:spacing w:after="0"/>
            </w:pPr>
            <w:r>
              <w:rPr>
                <w:rFonts w:ascii="Calibri" w:hAnsi="Calibri"/>
                <w:b w:val="0"/>
                <w:i w:val="0"/>
                <w:color w:val="000000"/>
                <w:sz w:val="17"/>
              </w:rPr>
              <w:t>Corporate Communications lead</w:t>
            </w:r>
          </w:p>
        </w:tc>
        <w:tc>
          <w:tcPr>
            <w:tcW w:type="dxa" w:w="3710"/>
            <w:tcMar>
              <w:top w:w="80" w:type="dxa"/>
              <w:start w:w="120" w:type="dxa"/>
              <w:bottom w:w="80" w:type="dxa"/>
              <w:end w:w="120" w:type="dxa"/>
            </w:tcMar>
            <w:vAlign w:val="center"/>
          </w:tcPr>
          <w:p>
            <w:pPr>
              <w:spacing w:after="0"/>
            </w:pPr>
            <w:r>
              <w:rPr>
                <w:rFonts w:ascii="Calibri" w:hAnsi="Calibri"/>
                <w:b w:val="0"/>
                <w:i w:val="0"/>
                <w:color w:val="000000"/>
                <w:sz w:val="17"/>
              </w:rPr>
              <w:t>Release notes, publication schedule, and sign-off recorded.</w:t>
            </w:r>
          </w:p>
        </w:tc>
        <w:tc>
          <w:tcPr>
            <w:tcW w:type="dxa" w:w="1500"/>
            <w:tcMar>
              <w:top w:w="80" w:type="dxa"/>
              <w:start w:w="120" w:type="dxa"/>
              <w:bottom w:w="80" w:type="dxa"/>
              <w:end w:w="120" w:type="dxa"/>
            </w:tcMar>
            <w:vAlign w:val="center"/>
          </w:tcPr>
          <w:p>
            <w:pPr>
              <w:spacing w:after="0"/>
            </w:pPr>
            <w:r>
              <w:rPr>
                <w:rFonts w:ascii="Calibri" w:hAnsi="Calibri"/>
                <w:b w:val="0"/>
                <w:i w:val="0"/>
                <w:color w:val="000000"/>
                <w:sz w:val="17"/>
              </w:rPr>
              <w:t>Launch gate</w:t>
            </w:r>
          </w:p>
        </w:tc>
      </w:tr>
      <w:tr>
        <w:tc>
          <w:tcPr>
            <w:tcW w:type="dxa" w:w="650"/>
            <w:tcMar>
              <w:top w:w="80" w:type="dxa"/>
              <w:start w:w="120" w:type="dxa"/>
              <w:bottom w:w="80" w:type="dxa"/>
              <w:end w:w="120" w:type="dxa"/>
            </w:tcMar>
            <w:vAlign w:val="center"/>
          </w:tcPr>
          <w:p>
            <w:pPr>
              <w:spacing w:after="0"/>
            </w:pPr>
            <w:r>
              <w:rPr>
                <w:rFonts w:ascii="Calibri" w:hAnsi="Calibri"/>
                <w:b w:val="0"/>
                <w:i w:val="0"/>
                <w:color w:val="000000"/>
                <w:sz w:val="17"/>
              </w:rPr>
              <w:t>6</w:t>
            </w:r>
          </w:p>
        </w:tc>
        <w:tc>
          <w:tcPr>
            <w:tcW w:type="dxa" w:w="1800"/>
            <w:tcMar>
              <w:top w:w="80" w:type="dxa"/>
              <w:start w:w="120" w:type="dxa"/>
              <w:bottom w:w="80" w:type="dxa"/>
              <w:end w:w="120" w:type="dxa"/>
            </w:tcMar>
            <w:vAlign w:val="center"/>
          </w:tcPr>
          <w:p>
            <w:pPr>
              <w:spacing w:after="0"/>
            </w:pPr>
            <w:r>
              <w:rPr>
                <w:rFonts w:ascii="Calibri" w:hAnsi="Calibri"/>
                <w:b w:val="0"/>
                <w:i w:val="0"/>
                <w:color w:val="000000"/>
                <w:sz w:val="17"/>
              </w:rPr>
              <w:t>Remote-test readiness</w:t>
            </w:r>
          </w:p>
        </w:tc>
        <w:tc>
          <w:tcPr>
            <w:tcW w:type="dxa" w:w="1700"/>
            <w:tcMar>
              <w:top w:w="80" w:type="dxa"/>
              <w:start w:w="120" w:type="dxa"/>
              <w:bottom w:w="80" w:type="dxa"/>
              <w:end w:w="120" w:type="dxa"/>
            </w:tcMar>
            <w:vAlign w:val="center"/>
          </w:tcPr>
          <w:p>
            <w:pPr>
              <w:spacing w:after="0"/>
            </w:pPr>
            <w:r>
              <w:rPr>
                <w:rFonts w:ascii="Calibri" w:hAnsi="Calibri"/>
                <w:b w:val="0"/>
                <w:i w:val="0"/>
                <w:color w:val="000000"/>
                <w:sz w:val="17"/>
              </w:rPr>
              <w:t>NCA IT/Network Support</w:t>
            </w:r>
          </w:p>
        </w:tc>
        <w:tc>
          <w:tcPr>
            <w:tcW w:type="dxa" w:w="3710"/>
            <w:tcMar>
              <w:top w:w="80" w:type="dxa"/>
              <w:start w:w="120" w:type="dxa"/>
              <w:bottom w:w="80" w:type="dxa"/>
              <w:end w:w="120" w:type="dxa"/>
            </w:tcMar>
            <w:vAlign w:val="center"/>
          </w:tcPr>
          <w:p>
            <w:pPr>
              <w:spacing w:after="0"/>
            </w:pPr>
            <w:r>
              <w:rPr>
                <w:rFonts w:ascii="Calibri" w:hAnsi="Calibri"/>
                <w:b w:val="0"/>
                <w:i w:val="0"/>
                <w:color w:val="000000"/>
                <w:sz w:val="17"/>
              </w:rPr>
              <w:t>Connectivity preflight, fallback channel, recording, and incident log ready.</w:t>
            </w:r>
          </w:p>
        </w:tc>
        <w:tc>
          <w:tcPr>
            <w:tcW w:type="dxa" w:w="1500"/>
            <w:tcMar>
              <w:top w:w="80" w:type="dxa"/>
              <w:start w:w="120" w:type="dxa"/>
              <w:bottom w:w="80" w:type="dxa"/>
              <w:end w:w="120" w:type="dxa"/>
            </w:tcMar>
            <w:vAlign w:val="center"/>
          </w:tcPr>
          <w:p>
            <w:pPr>
              <w:spacing w:after="0"/>
            </w:pPr>
            <w:r>
              <w:rPr>
                <w:rFonts w:ascii="Calibri" w:hAnsi="Calibri"/>
                <w:b w:val="0"/>
                <w:i w:val="0"/>
                <w:color w:val="000000"/>
                <w:sz w:val="17"/>
              </w:rPr>
              <w:t>Test-session gate</w:t>
            </w:r>
          </w:p>
        </w:tc>
      </w:tr>
    </w:tbl>
    <w:p>
      <w:pPr>
        <w:spacing w:after="40"/>
      </w:pPr>
    </w:p>
    <w:p>
      <w:pPr>
        <w:pStyle w:val="Heading1"/>
      </w:pPr>
      <w:r>
        <w:t>5. Acceptance Criteria</w:t>
      </w:r>
    </w:p>
    <w:p>
      <w:pPr>
        <w:pStyle w:val="ListBullet"/>
        <w:ind w:left="720" w:hanging="360"/>
      </w:pPr>
      <w:r>
        <w:rPr>
          <w:rFonts w:ascii="Calibri" w:hAnsi="Calibri"/>
          <w:b w:val="0"/>
          <w:i w:val="0"/>
          <w:color w:val="000000"/>
          <w:sz w:val="22"/>
        </w:rPr>
        <w:t>Provider users cannot enumerate or access another provider's submissions, values, or files.</w:t>
      </w:r>
    </w:p>
    <w:p>
      <w:pPr>
        <w:pStyle w:val="ListBullet"/>
        <w:ind w:left="720" w:hanging="360"/>
      </w:pPr>
      <w:r>
        <w:rPr>
          <w:rFonts w:ascii="Calibri" w:hAnsi="Calibri"/>
          <w:b w:val="0"/>
          <w:i w:val="0"/>
          <w:color w:val="000000"/>
          <w:sz w:val="22"/>
        </w:rPr>
        <w:t>Valid provider uploads succeed and appear immediately; expired tokens refresh; invalid files show actionable errors.</w:t>
      </w:r>
    </w:p>
    <w:p>
      <w:pPr>
        <w:pStyle w:val="ListBullet"/>
        <w:ind w:left="720" w:hanging="360"/>
      </w:pPr>
      <w:r>
        <w:rPr>
          <w:rFonts w:ascii="Calibri" w:hAnsi="Calibri"/>
          <w:b w:val="0"/>
          <w:i w:val="0"/>
          <w:color w:val="000000"/>
          <w:sz w:val="22"/>
        </w:rPr>
        <w:t>Incomplete submissions return INCOMPLETE_SUBMISSION with structured blockers; complete submissions transition correctly.</w:t>
      </w:r>
    </w:p>
    <w:p>
      <w:pPr>
        <w:pStyle w:val="ListBullet"/>
        <w:ind w:left="720" w:hanging="360"/>
      </w:pPr>
      <w:r>
        <w:rPr>
          <w:rFonts w:ascii="Calibri" w:hAnsi="Calibri"/>
          <w:b w:val="0"/>
          <w:i w:val="0"/>
          <w:color w:val="000000"/>
          <w:sz w:val="22"/>
        </w:rPr>
        <w:t>Provider Approvers can review and submit only their organization's pending submissions.</w:t>
      </w:r>
    </w:p>
    <w:p>
      <w:pPr>
        <w:pStyle w:val="ListBullet"/>
        <w:ind w:left="720" w:hanging="360"/>
      </w:pPr>
      <w:r>
        <w:rPr>
          <w:rFonts w:ascii="Calibri" w:hAnsi="Calibri"/>
          <w:b w:val="0"/>
          <w:i w:val="0"/>
          <w:color w:val="000000"/>
          <w:sz w:val="22"/>
        </w:rPr>
        <w:t>CSV downloads open without mojibake in supported browsers, Microsoft Excel, and Google Sheets.</w:t>
      </w:r>
    </w:p>
    <w:p>
      <w:pPr>
        <w:pStyle w:val="ListBullet"/>
        <w:ind w:left="720" w:hanging="360"/>
      </w:pPr>
      <w:r>
        <w:rPr>
          <w:rFonts w:ascii="Calibri" w:hAnsi="Calibri"/>
          <w:b w:val="0"/>
          <w:i w:val="0"/>
          <w:color w:val="000000"/>
          <w:sz w:val="22"/>
        </w:rPr>
        <w:t>NCA Viewer can read operational modules and export data but cannot mutate operational or administrative records.</w:t>
      </w:r>
    </w:p>
    <w:p>
      <w:pPr>
        <w:pStyle w:val="ListBullet"/>
        <w:ind w:left="720" w:hanging="360"/>
      </w:pPr>
      <w:r>
        <w:rPr>
          <w:rFonts w:ascii="Calibri" w:hAnsi="Calibri"/>
          <w:b w:val="0"/>
          <w:i w:val="0"/>
          <w:color w:val="000000"/>
          <w:sz w:val="22"/>
        </w:rPr>
        <w:t>Broadcasting is independently filterable and the StarTimes/DC-TB02 test flow is present.</w:t>
      </w:r>
    </w:p>
    <w:p>
      <w:pPr>
        <w:pStyle w:val="ListBullet"/>
        <w:ind w:left="720" w:hanging="360"/>
      </w:pPr>
      <w:r>
        <w:rPr>
          <w:rFonts w:ascii="Calibri" w:hAnsi="Calibri"/>
          <w:b w:val="0"/>
          <w:i w:val="0"/>
          <w:color w:val="000000"/>
          <w:sz w:val="22"/>
        </w:rPr>
        <w:t>All automated checks pass and the 34-case UAT matrix has zero critical/high failures.</w:t>
      </w:r>
    </w:p>
    <w:p>
      <w:pPr>
        <w:pStyle w:val="Heading1"/>
      </w:pPr>
      <w:r>
        <w:t>6. Operational Release Checklists</w:t>
      </w:r>
    </w:p>
    <w:p>
      <w:pPr>
        <w:pStyle w:val="Heading2"/>
      </w:pPr>
      <w:r>
        <w:t>6.1 Corporate Communications</w:t>
      </w:r>
    </w:p>
    <w:p>
      <w:pPr>
        <w:pStyle w:val="ListBullet"/>
        <w:ind w:left="720" w:hanging="360"/>
      </w:pPr>
      <w:r>
        <w:rPr>
          <w:rFonts w:ascii="Calibri" w:hAnsi="Calibri"/>
          <w:b w:val="0"/>
          <w:i w:val="0"/>
          <w:color w:val="000000"/>
          <w:sz w:val="22"/>
        </w:rPr>
        <w:t>Assign a Communications owner for each release.</w:t>
      </w:r>
    </w:p>
    <w:p>
      <w:pPr>
        <w:pStyle w:val="ListBullet"/>
        <w:ind w:left="720" w:hanging="360"/>
      </w:pPr>
      <w:r>
        <w:rPr>
          <w:rFonts w:ascii="Calibri" w:hAnsi="Calibri"/>
          <w:b w:val="0"/>
          <w:i w:val="0"/>
          <w:color w:val="000000"/>
          <w:sz w:val="22"/>
        </w:rPr>
        <w:t>Prepare plain-language release notes, screenshots, key milestones, and publication dates.</w:t>
      </w:r>
    </w:p>
    <w:p>
      <w:pPr>
        <w:pStyle w:val="ListBullet"/>
        <w:ind w:left="720" w:hanging="360"/>
      </w:pPr>
      <w:r>
        <w:rPr>
          <w:rFonts w:ascii="Calibri" w:hAnsi="Calibri"/>
          <w:b w:val="0"/>
          <w:i w:val="0"/>
          <w:color w:val="000000"/>
          <w:sz w:val="22"/>
        </w:rPr>
        <w:t>Review accuracy with the product owner and record Communications sign-off.</w:t>
      </w:r>
    </w:p>
    <w:p>
      <w:pPr>
        <w:pStyle w:val="ListBullet"/>
        <w:ind w:left="720" w:hanging="360"/>
      </w:pPr>
      <w:r>
        <w:rPr>
          <w:rFonts w:ascii="Calibri" w:hAnsi="Calibri"/>
          <w:b w:val="0"/>
          <w:i w:val="0"/>
          <w:color w:val="000000"/>
          <w:sz w:val="22"/>
        </w:rPr>
        <w:t>Coordinate internal notice and public-channel publication only after QA release approval.</w:t>
      </w:r>
    </w:p>
    <w:p>
      <w:pPr>
        <w:pStyle w:val="Heading2"/>
      </w:pPr>
      <w:r>
        <w:t>6.2 IT and remote testing</w:t>
      </w:r>
    </w:p>
    <w:p>
      <w:pPr>
        <w:pStyle w:val="ListBullet"/>
        <w:ind w:left="720" w:hanging="360"/>
      </w:pPr>
      <w:r>
        <w:rPr>
          <w:rFonts w:ascii="Calibri" w:hAnsi="Calibri"/>
          <w:b w:val="0"/>
          <w:i w:val="0"/>
          <w:color w:val="000000"/>
          <w:sz w:val="22"/>
        </w:rPr>
        <w:t>Run connectivity and audio checks before remote UAT sessions.</w:t>
      </w:r>
    </w:p>
    <w:p>
      <w:pPr>
        <w:pStyle w:val="ListBullet"/>
        <w:ind w:left="720" w:hanging="360"/>
      </w:pPr>
      <w:r>
        <w:rPr>
          <w:rFonts w:ascii="Calibri" w:hAnsi="Calibri"/>
          <w:b w:val="0"/>
          <w:i w:val="0"/>
          <w:color w:val="000000"/>
          <w:sz w:val="22"/>
        </w:rPr>
        <w:t>Publish a fallback meeting link or dial-in route and a named support contact.</w:t>
      </w:r>
    </w:p>
    <w:p>
      <w:pPr>
        <w:pStyle w:val="ListBullet"/>
        <w:ind w:left="720" w:hanging="360"/>
      </w:pPr>
      <w:r>
        <w:rPr>
          <w:rFonts w:ascii="Calibri" w:hAnsi="Calibri"/>
          <w:b w:val="0"/>
          <w:i w:val="0"/>
          <w:color w:val="000000"/>
          <w:sz w:val="22"/>
        </w:rPr>
        <w:t>Record approved sessions and retain an incident log with interruption times and resolutions.</w:t>
      </w:r>
    </w:p>
    <w:p>
      <w:pPr>
        <w:pStyle w:val="ListBullet"/>
        <w:ind w:left="720" w:hanging="360"/>
      </w:pPr>
      <w:r>
        <w:rPr>
          <w:rFonts w:ascii="Calibri" w:hAnsi="Calibri"/>
          <w:b w:val="0"/>
          <w:i w:val="0"/>
          <w:color w:val="000000"/>
          <w:sz w:val="22"/>
        </w:rPr>
        <w:t>Reschedule affected test cases when connectivity prevents reliable evidence capture.</w:t>
      </w:r>
    </w:p>
    <w:p>
      <w:pPr>
        <w:pStyle w:val="Heading1"/>
      </w:pPr>
      <w:r>
        <w:t>7. UAT Traceability Matrix</w:t>
      </w:r>
    </w:p>
    <w:tbl>
      <w:tblPr>
        <w:tblStyle w:val="TableGrid"/>
        <w:tblW w:type="dxa" w:w="9360"/>
        <w:jc w:val="left"/>
        <w:tblLayout w:type="fixed"/>
        <w:tblLook w:firstColumn="1" w:firstRow="1" w:lastColumn="0" w:lastRow="0" w:noHBand="0" w:noVBand="1" w:val="04A0"/>
        <w:tblInd w:w="120" w:type="dxa"/>
      </w:tblPr>
      <w:tblGrid>
        <w:gridCol w:w="780"/>
        <w:gridCol w:w="1450"/>
        <w:gridCol w:w="850"/>
        <w:gridCol w:w="3000"/>
        <w:gridCol w:w="3280"/>
      </w:tblGrid>
      <w:tr>
        <w:trPr>
          <w:tblHeader w:val="true"/>
        </w:trPr>
        <w:tc>
          <w:tcPr>
            <w:tcW w:type="dxa" w:w="780"/>
            <w:shd w:fill="F2F4F7"/>
            <w:tcMar>
              <w:top w:w="80" w:type="dxa"/>
              <w:start w:w="120" w:type="dxa"/>
              <w:bottom w:w="80" w:type="dxa"/>
              <w:end w:w="120" w:type="dxa"/>
            </w:tcMar>
            <w:vAlign w:val="center"/>
          </w:tcPr>
          <w:p>
            <w:pPr>
              <w:spacing w:after="0"/>
              <w:jc w:val="left"/>
            </w:pPr>
            <w:r>
              <w:rPr>
                <w:rFonts w:ascii="Calibri" w:hAnsi="Calibri"/>
                <w:b/>
                <w:i w:val="0"/>
                <w:color w:val="0B2545"/>
                <w:sz w:val="16"/>
              </w:rPr>
              <w:t>Test ID</w:t>
            </w:r>
          </w:p>
        </w:tc>
        <w:tc>
          <w:tcPr>
            <w:tcW w:type="dxa" w:w="1450"/>
            <w:shd w:fill="F2F4F7"/>
            <w:tcMar>
              <w:top w:w="80" w:type="dxa"/>
              <w:start w:w="120" w:type="dxa"/>
              <w:bottom w:w="80" w:type="dxa"/>
              <w:end w:w="120" w:type="dxa"/>
            </w:tcMar>
            <w:vAlign w:val="center"/>
          </w:tcPr>
          <w:p>
            <w:pPr>
              <w:spacing w:after="0"/>
              <w:jc w:val="left"/>
            </w:pPr>
            <w:r>
              <w:rPr>
                <w:rFonts w:ascii="Calibri" w:hAnsi="Calibri"/>
                <w:b/>
                <w:i w:val="0"/>
                <w:color w:val="0B2545"/>
                <w:sz w:val="16"/>
              </w:rPr>
              <w:t>Module</w:t>
            </w:r>
          </w:p>
        </w:tc>
        <w:tc>
          <w:tcPr>
            <w:tcW w:type="dxa" w:w="850"/>
            <w:shd w:fill="F2F4F7"/>
            <w:tcMar>
              <w:top w:w="80" w:type="dxa"/>
              <w:start w:w="120" w:type="dxa"/>
              <w:bottom w:w="80" w:type="dxa"/>
              <w:end w:w="120" w:type="dxa"/>
            </w:tcMar>
            <w:vAlign w:val="center"/>
          </w:tcPr>
          <w:p>
            <w:pPr>
              <w:spacing w:after="0"/>
              <w:jc w:val="left"/>
            </w:pPr>
            <w:r>
              <w:rPr>
                <w:rFonts w:ascii="Calibri" w:hAnsi="Calibri"/>
                <w:b/>
                <w:i w:val="0"/>
                <w:color w:val="0B2545"/>
                <w:sz w:val="16"/>
              </w:rPr>
              <w:t>Priority</w:t>
            </w:r>
          </w:p>
        </w:tc>
        <w:tc>
          <w:tcPr>
            <w:tcW w:type="dxa" w:w="3000"/>
            <w:shd w:fill="F2F4F7"/>
            <w:tcMar>
              <w:top w:w="80" w:type="dxa"/>
              <w:start w:w="120" w:type="dxa"/>
              <w:bottom w:w="80" w:type="dxa"/>
              <w:end w:w="120" w:type="dxa"/>
            </w:tcMar>
            <w:vAlign w:val="center"/>
          </w:tcPr>
          <w:p>
            <w:pPr>
              <w:spacing w:after="0"/>
              <w:jc w:val="left"/>
            </w:pPr>
            <w:r>
              <w:rPr>
                <w:rFonts w:ascii="Calibri" w:hAnsi="Calibri"/>
                <w:b/>
                <w:i w:val="0"/>
                <w:color w:val="0B2545"/>
                <w:sz w:val="16"/>
              </w:rPr>
              <w:t>Baseline evidence</w:t>
            </w:r>
          </w:p>
        </w:tc>
        <w:tc>
          <w:tcPr>
            <w:tcW w:type="dxa" w:w="3280"/>
            <w:shd w:fill="F2F4F7"/>
            <w:tcMar>
              <w:top w:w="80" w:type="dxa"/>
              <w:start w:w="120" w:type="dxa"/>
              <w:bottom w:w="80" w:type="dxa"/>
              <w:end w:w="120" w:type="dxa"/>
            </w:tcMar>
            <w:vAlign w:val="center"/>
          </w:tcPr>
          <w:p>
            <w:pPr>
              <w:spacing w:after="0"/>
              <w:jc w:val="left"/>
            </w:pPr>
            <w:r>
              <w:rPr>
                <w:rFonts w:ascii="Calibri" w:hAnsi="Calibri"/>
                <w:b/>
                <w:i w:val="0"/>
                <w:color w:val="0B2545"/>
                <w:sz w:val="16"/>
              </w:rPr>
              <w:t>Acceptance</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UAT-001</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Authentication</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Valid login reaches role dashboard.</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UAT-002</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Authentication</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Bad credentials are rejected.</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UAT-003</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Authentication</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Logout prevents protected navigation.</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UAT-004</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Dashboard</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Dashboard counts and alerts load.</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UAT-005</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Dashboard</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Notification panel loads relevant items.</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UAT-006</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Providers</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Provider list shows required columns.</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UAT-007</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Providers</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Vodafone search filters correctly.</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UAT-008</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Providers</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MNO filter returns MNO records.</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UAT-009</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Providers</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Provider detail loads.</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UAT-010</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Providers</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Provider sees only own organization.</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UAT-011</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Submissions</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Submission list and statuses load.</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UAT-012</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Submissions</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Provider search filters results.</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UAT-013</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Submissions</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DRAFT filter returns only drafts.</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UAT-014</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Provider workflow</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P1</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Provider starts an assigned form.</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UAT-015</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Provider workflow</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P1</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Saved values persist.</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UAT-016</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Provider workflow</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P1</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Non-applicable status and explanation persist.</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UAT-017</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Provider workflow</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P1</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Section navigation and progress update.</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UAT-018</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Provider workflow</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P0</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FAIL: client omits JWT; direct authenticated API passes</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Authenticated Excel upload is listed.</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UAT-019</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Provider workflow</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P0</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FAIL: readiness not enforced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Complete form becomes PENDING_APPROVAL.</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UAT-020</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Approval workflow</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P0</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Backend transition passes; UI 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Approver submits own pending form to NCA.</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UAT-021</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Approval workflow</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P1</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NCA approval moves form to APPROVED.</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UAT-022</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Approval workflow</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P1</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Correction request reopens provider editing.</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UAT-023</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Compliance</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Compliance list loads.</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UAT-024</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Compliance</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Open flag becomes acknowledged.</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UAT-025</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Compliance</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Acknowledged flag resolves.</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UAT-026</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Compliance</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Provider email draft includes details.</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UAT-027</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Compliance</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Provider sees own compliance data only.</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UAT-028</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Users</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Admin creates a valid user.</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UAT-029</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Users</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Admin deactivates/reactivates user.</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UAT-030</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Users</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P2</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Provider user links to organization.</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UAT-031</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Exports</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P1</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API returns CSV; compatibility 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CSV downloads successfully.</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UAT-032</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Exports</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P1</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API contains rows; Excel/Sheets 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CSV contains submitted values.</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UAT-033</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Security</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P1</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Re-run required</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Provider is denied NCA routes.</w:t>
            </w:r>
          </w:p>
        </w:tc>
      </w:tr>
      <w:tr>
        <w:tc>
          <w:tcPr>
            <w:tcW w:type="dxa" w:w="780"/>
            <w:tcMar>
              <w:top w:w="80" w:type="dxa"/>
              <w:start w:w="120" w:type="dxa"/>
              <w:bottom w:w="80" w:type="dxa"/>
              <w:end w:w="120" w:type="dxa"/>
            </w:tcMar>
            <w:vAlign w:val="center"/>
          </w:tcPr>
          <w:p>
            <w:pPr>
              <w:spacing w:after="0"/>
            </w:pPr>
            <w:r>
              <w:rPr>
                <w:rFonts w:ascii="Calibri" w:hAnsi="Calibri"/>
                <w:b w:val="0"/>
                <w:i w:val="0"/>
                <w:color w:val="000000"/>
                <w:sz w:val="16"/>
              </w:rPr>
              <w:t>UAT-034</w:t>
            </w:r>
          </w:p>
        </w:tc>
        <w:tc>
          <w:tcPr>
            <w:tcW w:type="dxa" w:w="1450"/>
            <w:tcMar>
              <w:top w:w="80" w:type="dxa"/>
              <w:start w:w="120" w:type="dxa"/>
              <w:bottom w:w="80" w:type="dxa"/>
              <w:end w:w="120" w:type="dxa"/>
            </w:tcMar>
            <w:vAlign w:val="center"/>
          </w:tcPr>
          <w:p>
            <w:pPr>
              <w:spacing w:after="0"/>
            </w:pPr>
            <w:r>
              <w:rPr>
                <w:rFonts w:ascii="Calibri" w:hAnsi="Calibri"/>
                <w:b w:val="0"/>
                <w:i w:val="0"/>
                <w:color w:val="000000"/>
                <w:sz w:val="16"/>
              </w:rPr>
              <w:t>Security</w:t>
            </w:r>
          </w:p>
        </w:tc>
        <w:tc>
          <w:tcPr>
            <w:tcW w:type="dxa" w:w="850"/>
            <w:tcMar>
              <w:top w:w="80" w:type="dxa"/>
              <w:start w:w="120" w:type="dxa"/>
              <w:bottom w:w="80" w:type="dxa"/>
              <w:end w:w="120" w:type="dxa"/>
            </w:tcMar>
            <w:vAlign w:val="center"/>
          </w:tcPr>
          <w:p>
            <w:pPr>
              <w:spacing w:after="0"/>
            </w:pPr>
            <w:r>
              <w:rPr>
                <w:rFonts w:ascii="Calibri" w:hAnsi="Calibri"/>
                <w:b w:val="0"/>
                <w:i w:val="0"/>
                <w:color w:val="000000"/>
                <w:sz w:val="16"/>
              </w:rPr>
              <w:t>P0</w:t>
            </w:r>
          </w:p>
        </w:tc>
        <w:tc>
          <w:tcPr>
            <w:tcW w:type="dxa" w:w="3000"/>
            <w:tcMar>
              <w:top w:w="80" w:type="dxa"/>
              <w:start w:w="120" w:type="dxa"/>
              <w:bottom w:w="80" w:type="dxa"/>
              <w:end w:w="120" w:type="dxa"/>
            </w:tcMar>
            <w:vAlign w:val="center"/>
          </w:tcPr>
          <w:p>
            <w:pPr>
              <w:spacing w:after="0"/>
            </w:pPr>
            <w:r>
              <w:rPr>
                <w:rFonts w:ascii="Calibri" w:hAnsi="Calibri"/>
                <w:b w:val="0"/>
                <w:i w:val="0"/>
                <w:color w:val="000000"/>
                <w:sz w:val="16"/>
              </w:rPr>
              <w:t>FAIL: cross-provider detail returned HTTP 200</w:t>
            </w:r>
          </w:p>
        </w:tc>
        <w:tc>
          <w:tcPr>
            <w:tcW w:type="dxa" w:w="3280"/>
            <w:tcMar>
              <w:top w:w="80" w:type="dxa"/>
              <w:start w:w="120" w:type="dxa"/>
              <w:bottom w:w="80" w:type="dxa"/>
              <w:end w:w="120" w:type="dxa"/>
            </w:tcMar>
            <w:vAlign w:val="center"/>
          </w:tcPr>
          <w:p>
            <w:pPr>
              <w:spacing w:after="0"/>
            </w:pPr>
            <w:r>
              <w:rPr>
                <w:rFonts w:ascii="Calibri" w:hAnsi="Calibri"/>
                <w:b w:val="0"/>
                <w:i w:val="0"/>
                <w:color w:val="000000"/>
                <w:sz w:val="16"/>
              </w:rPr>
              <w:t>Changed submission ID returns 404/403.</w:t>
            </w:r>
          </w:p>
        </w:tc>
      </w:tr>
    </w:tbl>
    <w:p>
      <w:pPr>
        <w:spacing w:after="40"/>
      </w:pPr>
    </w:p>
    <w:p>
      <w:pPr>
        <w:pStyle w:val="Heading1"/>
      </w:pPr>
      <w:r>
        <w:t>8. Verification Commands and Evidence</w:t>
      </w:r>
    </w:p>
    <w:p>
      <w:pPr>
        <w:pStyle w:val="ListNumber"/>
      </w:pPr>
      <w:r>
        <w:rPr>
          <w:rFonts w:ascii="Calibri" w:hAnsi="Calibri"/>
          <w:b w:val="0"/>
          <w:i w:val="0"/>
          <w:color w:val="000000"/>
          <w:sz w:val="22"/>
        </w:rPr>
        <w:t>Django system checks and complete Django test suite.</w:t>
      </w:r>
    </w:p>
    <w:p>
      <w:pPr>
        <w:pStyle w:val="ListNumber"/>
      </w:pPr>
      <w:r>
        <w:rPr>
          <w:rFonts w:ascii="Calibri" w:hAnsi="Calibri"/>
          <w:b w:val="0"/>
          <w:i w:val="0"/>
          <w:color w:val="000000"/>
          <w:sz w:val="22"/>
        </w:rPr>
        <w:t>TypeScript compiler with --noEmit and production Next.js build.</w:t>
      </w:r>
    </w:p>
    <w:p>
      <w:pPr>
        <w:pStyle w:val="ListNumber"/>
      </w:pPr>
      <w:r>
        <w:rPr>
          <w:rFonts w:ascii="Calibri" w:hAnsi="Calibri"/>
          <w:b w:val="0"/>
          <w:i w:val="0"/>
          <w:color w:val="000000"/>
          <w:sz w:val="22"/>
        </w:rPr>
        <w:t>Corrected API smoke suite against the local testing_fix services.</w:t>
      </w:r>
    </w:p>
    <w:p>
      <w:pPr>
        <w:pStyle w:val="ListNumber"/>
      </w:pPr>
      <w:r>
        <w:rPr>
          <w:rFonts w:ascii="Calibri" w:hAnsi="Calibri"/>
          <w:b w:val="0"/>
          <w:i w:val="0"/>
          <w:color w:val="000000"/>
          <w:sz w:val="22"/>
        </w:rPr>
        <w:t>Role-by-role manual UAT with screenshots/download evidence for failed or high-risk cases.</w:t>
      </w:r>
    </w:p>
    <w:p>
      <w:pPr>
        <w:pStyle w:val="ListNumber"/>
      </w:pPr>
      <w:r>
        <w:rPr>
          <w:rFonts w:ascii="Calibri" w:hAnsi="Calibri"/>
          <w:b w:val="0"/>
          <w:i w:val="0"/>
          <w:color w:val="000000"/>
          <w:sz w:val="22"/>
        </w:rPr>
        <w:t>Final git diff review confirming no unrelated changes and no secrets or generated local data are tracked.</w:t>
      </w:r>
    </w:p>
    <w:p>
      <w:pPr>
        <w:pStyle w:val="Heading1"/>
      </w:pPr>
      <w:r>
        <w:t>9. Assumptions and Boundaries</w:t>
      </w:r>
    </w:p>
    <w:p>
      <w:pPr>
        <w:pStyle w:val="ListBullet"/>
        <w:ind w:left="720" w:hanging="360"/>
      </w:pPr>
      <w:r>
        <w:rPr>
          <w:rFonts w:ascii="Calibri" w:hAnsi="Calibri"/>
          <w:b w:val="0"/>
          <w:i w:val="0"/>
          <w:color w:val="000000"/>
          <w:sz w:val="22"/>
        </w:rPr>
        <w:t>Only testing_fix is modified; the live Hugging Face deployment is excluded.</w:t>
      </w:r>
    </w:p>
    <w:p>
      <w:pPr>
        <w:pStyle w:val="ListBullet"/>
        <w:ind w:left="720" w:hanging="360"/>
      </w:pPr>
      <w:r>
        <w:rPr>
          <w:rFonts w:ascii="Calibri" w:hAnsi="Calibri"/>
          <w:b w:val="0"/>
          <w:i w:val="0"/>
          <w:color w:val="000000"/>
          <w:sz w:val="22"/>
        </w:rPr>
        <w:t>NCA Viewer covers operational modules and CSV export but excludes Form Builder and User Management.</w:t>
      </w:r>
    </w:p>
    <w:p>
      <w:pPr>
        <w:pStyle w:val="ListBullet"/>
        <w:ind w:left="720" w:hanging="360"/>
      </w:pPr>
      <w:r>
        <w:rPr>
          <w:rFonts w:ascii="Calibri" w:hAnsi="Calibri"/>
          <w:b w:val="0"/>
          <w:i w:val="0"/>
          <w:color w:val="000000"/>
          <w:sz w:val="22"/>
        </w:rPr>
        <w:t>Broadcasting work exposes existing Pay TV foundations without inventing authoritative production statistics.</w:t>
      </w:r>
    </w:p>
    <w:p>
      <w:pPr>
        <w:pStyle w:val="ListBullet"/>
        <w:ind w:left="720" w:hanging="360"/>
      </w:pPr>
      <w:r>
        <w:rPr>
          <w:rFonts w:ascii="Calibri" w:hAnsi="Calibri"/>
          <w:b w:val="0"/>
          <w:i w:val="0"/>
          <w:color w:val="000000"/>
          <w:sz w:val="22"/>
        </w:rPr>
        <w:t>Local SQLite, dependency stores, logs, and generated test files remain untracked.</w:t>
      </w:r>
    </w:p>
    <w:p>
      <w:pPr>
        <w:pStyle w:val="ListBullet"/>
        <w:ind w:left="720" w:hanging="360"/>
      </w:pPr>
      <w:r>
        <w:rPr>
          <w:rFonts w:ascii="Calibri" w:hAnsi="Calibri"/>
          <w:b w:val="0"/>
          <w:i w:val="0"/>
          <w:color w:val="000000"/>
          <w:sz w:val="22"/>
        </w:rPr>
        <w:t>If LibreOffice remains unavailable, structural DOCX QA is the documented fallback for this plan artifact.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8"/>
      </w:rPr>
      <w:t>NCA Data Collection System</w:t>
    </w:r>
    <w:r>
      <w:t xml:space="preserve">  |  </w:t>
    </w:r>
    <w:r>
      <w:rPr>
        <w:rFonts w:ascii="Calibri" w:hAnsi="Calibri"/>
        <w:b w:val="0"/>
        <w:i w:val="0"/>
        <w:color w:val="667085"/>
        <w:sz w:val="18"/>
      </w:rPr>
      <w:t>Testing and Remediation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NCA Testing and Remediation Plan</dc:title>
  <dc:subject>Testing findings, implementation workstreams, and UAT acceptance plan</dc:subject>
  <dc:creator>NCA Data Collection System Engineering</dc:creator>
  <cp:keywords>NCA, testing, remediation, UAT, security, CSV, broadcasting</cp:keywords>
  <dc:description>generated by python-docx</dc:description>
  <cp:lastModifiedBy/>
  <cp:revision>1</cp:revision>
  <dcterms:created xsi:type="dcterms:W3CDTF">2013-12-23T23:15:00Z</dcterms:created>
  <dcterms:modified xsi:type="dcterms:W3CDTF">2013-12-23T23:15:00Z</dcterms:modified>
  <cp:category/>
</cp:coreProperties>
</file>