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Bdr>
          <w:top w:val="single" w:sz="28" w:space="0" w:color="2E74B5"/>
        </w:pBdr>
      </w:pPr>
      <w:r>
        <w:rPr>
          <w:rFonts w:ascii="Calibri" w:hAnsi="Calibri" w:eastAsia="Calibri"/>
          <w:b/>
          <w:color w:val="2E74B5"/>
          <w:sz w:val="20"/>
        </w:rPr>
        <w:t>NATIONAL COMMUNICATIONS AUTHORITY</w:t>
      </w:r>
    </w:p>
    <w:p>
      <w:pPr>
        <w:pStyle w:val="Title"/>
        <w:spacing w:after="180"/>
      </w:pPr>
      <w:r>
        <w:rPr>
          <w:rFonts w:ascii="Calibri" w:hAnsi="Calibri" w:eastAsia="Calibri"/>
          <w:b/>
          <w:color w:val="163A5F"/>
          <w:sz w:val="60"/>
        </w:rPr>
        <w:t>Email Integration for</w:t>
        <w:br/>
        <w:t>Compliance and Data Collection</w:t>
      </w:r>
    </w:p>
    <w:p>
      <w:pPr>
        <w:pStyle w:val="Subtitle"/>
        <w:spacing w:after="440"/>
      </w:pPr>
      <w:r>
        <w:rPr>
          <w:rFonts w:ascii="Calibri" w:hAnsi="Calibri" w:eastAsia="Calibri"/>
          <w:color w:val="667085"/>
          <w:sz w:val="28"/>
        </w:rPr>
        <w:t>Project review, legal and technical research, target operating model, and implementation roadmap</w:t>
      </w:r>
    </w:p>
    <w:tbl>
      <w:tblPr>
        <w:tblW w:type="dxa" w:w="9360"/>
        <w:tblLayout w:type="fixed"/>
        <w:tblLook w:firstColumn="1" w:firstRow="1" w:lastColumn="0" w:lastRow="0" w:noHBand="0" w:noVBand="1" w:val="04A0"/>
      </w:tblPr>
      <w:tblGrid>
        <w:gridCol w:w="4680"/>
        <w:gridCol w:w="4680"/>
      </w:tblGrid>
      <w:tr>
        <w:tc>
          <w:tcPr>
            <w:tcW w:type="dxa" w:w="2250"/>
            <w:tcMar>
              <w:top w:w="95" w:type="dxa"/>
              <w:start w:w="110" w:type="dxa"/>
              <w:bottom w:w="95" w:type="dxa"/>
              <w:end w:w="110" w:type="dxa"/>
            </w:tcMar>
            <w:shd w:fill="F2F4F7"/>
          </w:tcPr>
          <w:p>
            <w:pPr>
              <w:spacing w:after="0"/>
            </w:pPr>
            <w:r>
              <w:rPr>
                <w:rFonts w:ascii="Calibri" w:hAnsi="Calibri" w:eastAsia="Calibri"/>
                <w:b/>
                <w:color w:val="163A5F"/>
                <w:sz w:val="19"/>
              </w:rPr>
              <w:t>Prepared for</w:t>
            </w:r>
          </w:p>
        </w:tc>
        <w:tc>
          <w:tcPr>
            <w:tcW w:type="dxa" w:w="7110"/>
            <w:tcMar>
              <w:top w:w="95" w:type="dxa"/>
              <w:start w:w="110" w:type="dxa"/>
              <w:bottom w:w="95" w:type="dxa"/>
              <w:end w:w="110" w:type="dxa"/>
            </w:tcMar>
          </w:tcPr>
          <w:p>
            <w:pPr>
              <w:spacing w:after="0"/>
            </w:pPr>
            <w:r>
              <w:rPr>
                <w:rFonts w:ascii="Calibri" w:hAnsi="Calibri" w:eastAsia="Calibri"/>
                <w:color w:val="1D2939"/>
                <w:sz w:val="19"/>
              </w:rPr>
              <w:t>National Communications Authority (NCA), Ghana</w:t>
            </w:r>
          </w:p>
        </w:tc>
      </w:tr>
      <w:tr>
        <w:tc>
          <w:tcPr>
            <w:tcW w:type="dxa" w:w="2250"/>
            <w:tcMar>
              <w:top w:w="95" w:type="dxa"/>
              <w:start w:w="110" w:type="dxa"/>
              <w:bottom w:w="95" w:type="dxa"/>
              <w:end w:w="110" w:type="dxa"/>
            </w:tcMar>
            <w:shd w:fill="F2F4F7"/>
          </w:tcPr>
          <w:p>
            <w:pPr>
              <w:spacing w:after="0"/>
            </w:pPr>
            <w:r>
              <w:rPr>
                <w:rFonts w:ascii="Calibri" w:hAnsi="Calibri" w:eastAsia="Calibri"/>
                <w:b/>
                <w:color w:val="163A5F"/>
                <w:sz w:val="19"/>
              </w:rPr>
              <w:t>Mailbox in scope</w:t>
            </w:r>
          </w:p>
        </w:tc>
        <w:tc>
          <w:tcPr>
            <w:tcW w:type="dxa" w:w="7110"/>
            <w:tcMar>
              <w:top w:w="95" w:type="dxa"/>
              <w:start w:w="110" w:type="dxa"/>
              <w:bottom w:w="95" w:type="dxa"/>
              <w:end w:w="110" w:type="dxa"/>
            </w:tcMar>
          </w:tcPr>
          <w:p>
            <w:pPr>
              <w:spacing w:after="0"/>
            </w:pPr>
            <w:r>
              <w:rPr>
                <w:rFonts w:ascii="Calibri" w:hAnsi="Calibri" w:eastAsia="Calibri"/>
                <w:color w:val="1D2939"/>
                <w:sz w:val="19"/>
              </w:rPr>
              <w:t>datacollection@nca.org.gh</w:t>
            </w:r>
          </w:p>
        </w:tc>
      </w:tr>
      <w:tr>
        <w:tc>
          <w:tcPr>
            <w:tcW w:type="dxa" w:w="2250"/>
            <w:tcMar>
              <w:top w:w="95" w:type="dxa"/>
              <w:start w:w="110" w:type="dxa"/>
              <w:bottom w:w="95" w:type="dxa"/>
              <w:end w:w="110" w:type="dxa"/>
            </w:tcMar>
            <w:shd w:fill="F2F4F7"/>
          </w:tcPr>
          <w:p>
            <w:pPr>
              <w:spacing w:after="0"/>
            </w:pPr>
            <w:r>
              <w:rPr>
                <w:rFonts w:ascii="Calibri" w:hAnsi="Calibri" w:eastAsia="Calibri"/>
                <w:b/>
                <w:color w:val="163A5F"/>
                <w:sz w:val="19"/>
              </w:rPr>
              <w:t>Report date</w:t>
            </w:r>
          </w:p>
        </w:tc>
        <w:tc>
          <w:tcPr>
            <w:tcW w:type="dxa" w:w="7110"/>
            <w:tcMar>
              <w:top w:w="95" w:type="dxa"/>
              <w:start w:w="110" w:type="dxa"/>
              <w:bottom w:w="95" w:type="dxa"/>
              <w:end w:w="110" w:type="dxa"/>
            </w:tcMar>
          </w:tcPr>
          <w:p>
            <w:pPr>
              <w:spacing w:after="0"/>
            </w:pPr>
            <w:r>
              <w:rPr>
                <w:rFonts w:ascii="Calibri" w:hAnsi="Calibri" w:eastAsia="Calibri"/>
                <w:color w:val="1D2939"/>
                <w:sz w:val="19"/>
              </w:rPr>
              <w:t>30 July 2026</w:t>
            </w:r>
          </w:p>
        </w:tc>
      </w:tr>
      <w:tr>
        <w:tc>
          <w:tcPr>
            <w:tcW w:type="dxa" w:w="2250"/>
            <w:tcMar>
              <w:top w:w="95" w:type="dxa"/>
              <w:start w:w="110" w:type="dxa"/>
              <w:bottom w:w="95" w:type="dxa"/>
              <w:end w:w="110" w:type="dxa"/>
            </w:tcMar>
            <w:shd w:fill="F2F4F7"/>
          </w:tcPr>
          <w:p>
            <w:pPr>
              <w:spacing w:after="0"/>
            </w:pPr>
            <w:r>
              <w:rPr>
                <w:rFonts w:ascii="Calibri" w:hAnsi="Calibri" w:eastAsia="Calibri"/>
                <w:b/>
                <w:color w:val="163A5F"/>
                <w:sz w:val="19"/>
              </w:rPr>
              <w:t>Status</w:t>
            </w:r>
          </w:p>
        </w:tc>
        <w:tc>
          <w:tcPr>
            <w:tcW w:type="dxa" w:w="7110"/>
            <w:tcMar>
              <w:top w:w="95" w:type="dxa"/>
              <w:start w:w="110" w:type="dxa"/>
              <w:bottom w:w="95" w:type="dxa"/>
              <w:end w:w="110" w:type="dxa"/>
            </w:tcMar>
          </w:tcPr>
          <w:p>
            <w:pPr>
              <w:spacing w:after="0"/>
            </w:pPr>
            <w:r>
              <w:rPr>
                <w:rFonts w:ascii="Calibri" w:hAnsi="Calibri" w:eastAsia="Calibri"/>
                <w:color w:val="1D2939"/>
                <w:sz w:val="19"/>
              </w:rPr>
              <w:t>Research report — legal validation required before enforcement use</w:t>
            </w:r>
          </w:p>
        </w:tc>
      </w:tr>
    </w:tbl>
    <w:p>
      <w:pPr>
        <w:spacing w:after="360"/>
      </w:pPr>
    </w:p>
    <w:tbl>
      <w:tblPr>
        <w:tblW w:type="dxa" w:w="9360"/>
        <w:jc w:val="center"/>
        <w:tblLayout w:type="fixed"/>
        <w:tblLook w:firstColumn="1" w:firstRow="1" w:lastColumn="0" w:lastRow="0" w:noHBand="0" w:noVBand="1" w:val="04A0"/>
      </w:tblPr>
      <w:tblGrid>
        <w:gridCol w:w="9360"/>
      </w:tblGrid>
      <w:tr>
        <w:tc>
          <w:tcPr>
            <w:tcW w:type="dxa" w:w="9360"/>
            <w:shd w:fill="ECFDF3"/>
            <w:tcMar>
              <w:top w:w="130" w:type="dxa"/>
              <w:start w:w="180" w:type="dxa"/>
              <w:bottom w:w="130" w:type="dxa"/>
              <w:end w:w="180" w:type="dxa"/>
            </w:tcMar>
          </w:tcPr>
          <w:p>
            <w:pPr>
              <w:spacing w:after="60"/>
            </w:pPr>
            <w:r>
              <w:rPr>
                <w:rFonts w:ascii="Calibri" w:hAnsi="Calibri" w:eastAsia="Calibri"/>
                <w:b/>
                <w:color w:val="027A48"/>
                <w:sz w:val="21"/>
              </w:rPr>
              <w:t>Recommended direction</w:t>
            </w:r>
          </w:p>
          <w:p>
            <w:pPr>
              <w:spacing w:after="0"/>
              <w:pBdr>
                <w:left w:val="single" w:sz="16" w:space="8" w:color="027A48"/>
              </w:pBdr>
            </w:pPr>
            <w:r>
              <w:t>Use datacollection@nca.org.gh as a Microsoft 365 shared mailbox and the official correspondence channel. Integrate it through Microsoft Graph with mailbox-scoped application permissions, immutable evidence capture, human-approved drafting, and workflow linkage. Keep the portal—not the mailbox—as the authoritative record of submissions, applications, due dates, and decisions.</w:t>
            </w:r>
          </w:p>
        </w:tc>
      </w:tr>
    </w:tbl>
    <w:p>
      <w:pPr>
        <w:spacing w:after="0"/>
      </w:pPr>
    </w:p>
    <w:p>
      <w:pPr>
        <w:spacing w:before="440" w:after="0"/>
      </w:pPr>
      <w:r>
        <w:rPr>
          <w:rFonts w:ascii="Calibri" w:hAnsi="Calibri" w:eastAsia="Calibri"/>
          <w:b/>
          <w:color w:val="B42318"/>
          <w:sz w:val="18"/>
        </w:rPr>
        <w:t>CONFIDENTIAL WORKING PAPER</w:t>
      </w:r>
    </w:p>
    <w:p>
      <w:pPr>
        <w:spacing w:after="0"/>
      </w:pPr>
      <w:r>
        <w:rPr>
          <w:rFonts w:ascii="Calibri" w:hAnsi="Calibri" w:eastAsia="Calibri"/>
          <w:i/>
          <w:color w:val="667085"/>
          <w:sz w:val="19"/>
        </w:rPr>
        <w:t>This report provides implementation and governance guidance, not a legal opinion. NCA Legal, Data Protection, Records Management, Cybersecurity, and Microsoft 365 administrators should validate the controls and every penalty rule before production use.</w:t>
      </w:r>
    </w:p>
    <w:p>
      <w:r>
        <w:br w:type="page"/>
      </w:r>
    </w:p>
    <w:p>
      <w:pPr>
        <w:pStyle w:val="Heading1"/>
      </w:pPr>
      <w:r>
        <w:t>Contents and reading guide</w:t>
      </w:r>
    </w:p>
    <w:p>
      <w:pPr>
        <w:pStyle w:val="ListBullet"/>
      </w:pPr>
      <w:r>
        <w:t>Executive decision brief</w:t>
      </w:r>
    </w:p>
    <w:p>
      <w:pPr>
        <w:pStyle w:val="ListBullet"/>
      </w:pPr>
      <w:r>
        <w:t>1. Scope, method and project understanding</w:t>
      </w:r>
    </w:p>
    <w:p>
      <w:pPr>
        <w:pStyle w:val="ListBullet"/>
      </w:pPr>
      <w:r>
        <w:t>2. Direct answers to the seven email-integration goals</w:t>
      </w:r>
    </w:p>
    <w:p>
      <w:pPr>
        <w:pStyle w:val="ListBullet"/>
      </w:pPr>
      <w:r>
        <w:t>3. Legal and regulatory foundation</w:t>
      </w:r>
    </w:p>
    <w:p>
      <w:pPr>
        <w:pStyle w:val="ListBullet"/>
      </w:pPr>
      <w:r>
        <w:t>4. Target operating model</w:t>
      </w:r>
    </w:p>
    <w:p>
      <w:pPr>
        <w:pStyle w:val="ListBullet"/>
      </w:pPr>
      <w:r>
        <w:t>5. Recommended Microsoft 365 and application architecture</w:t>
      </w:r>
    </w:p>
    <w:p>
      <w:pPr>
        <w:pStyle w:val="ListBullet"/>
      </w:pPr>
      <w:r>
        <w:t>6. Breaking down email replies into structured data</w:t>
      </w:r>
    </w:p>
    <w:p>
      <w:pPr>
        <w:pStyle w:val="ListBullet"/>
      </w:pPr>
      <w:r>
        <w:t>7. Penalty information and enforcement safeguards</w:t>
      </w:r>
    </w:p>
    <w:p>
      <w:pPr>
        <w:pStyle w:val="ListBullet"/>
      </w:pPr>
      <w:r>
        <w:t>8. Security, privacy, records and evidentiary controls</w:t>
      </w:r>
    </w:p>
    <w:p>
      <w:pPr>
        <w:pStyle w:val="ListBullet"/>
      </w:pPr>
      <w:r>
        <w:t>9. Project gap assessment and required changes</w:t>
      </w:r>
    </w:p>
    <w:p>
      <w:pPr>
        <w:pStyle w:val="ListBullet"/>
      </w:pPr>
      <w:r>
        <w:t>10. Implementation roadmap</w:t>
      </w:r>
    </w:p>
    <w:p>
      <w:pPr>
        <w:pStyle w:val="ListBullet"/>
      </w:pPr>
      <w:r>
        <w:t>11. Acceptance criteria, metrics and decisions</w:t>
      </w:r>
    </w:p>
    <w:p>
      <w:pPr>
        <w:pStyle w:val="ListBullet"/>
      </w:pPr>
      <w:r>
        <w:t>Appendices: data schema, control matrix and sources</w:t>
      </w:r>
    </w:p>
    <w:tbl>
      <w:tblPr>
        <w:tblW w:type="dxa" w:w="9360"/>
        <w:jc w:val="center"/>
        <w:tblLayout w:type="fixed"/>
        <w:tblLook w:firstColumn="1" w:firstRow="1" w:lastColumn="0" w:lastRow="0" w:noHBand="0" w:noVBand="1" w:val="04A0"/>
      </w:tblPr>
      <w:tblGrid>
        <w:gridCol w:w="9360"/>
      </w:tblGrid>
      <w:tr>
        <w:tc>
          <w:tcPr>
            <w:tcW w:type="dxa" w:w="9360"/>
            <w:shd w:fill="EAF3F8"/>
            <w:tcMar>
              <w:top w:w="130" w:type="dxa"/>
              <w:start w:w="180" w:type="dxa"/>
              <w:bottom w:w="130" w:type="dxa"/>
              <w:end w:w="180" w:type="dxa"/>
            </w:tcMar>
          </w:tcPr>
          <w:p>
            <w:pPr>
              <w:spacing w:after="60"/>
            </w:pPr>
            <w:r>
              <w:rPr>
                <w:rFonts w:ascii="Calibri" w:hAnsi="Calibri" w:eastAsia="Calibri"/>
                <w:b/>
                <w:color w:val="2E74B5"/>
                <w:sz w:val="21"/>
              </w:rPr>
              <w:t>How to use this report</w:t>
            </w:r>
          </w:p>
          <w:p>
            <w:pPr>
              <w:spacing w:after="0"/>
              <w:pBdr>
                <w:left w:val="single" w:sz="16" w:space="8" w:color="2E74B5"/>
              </w:pBdr>
            </w:pPr>
            <w:r>
              <w:t>Sections 2 and 3 answer the business and legal questions. Sections 4–8 define the target operation and controls. Sections 9–11 convert the findings into a practical delivery plan for the existing Django/Next.js project.</w:t>
            </w:r>
          </w:p>
        </w:tc>
      </w:tr>
    </w:tbl>
    <w:p>
      <w:pPr>
        <w:spacing w:after="0"/>
      </w:pPr>
    </w:p>
    <w:p>
      <w:r>
        <w:br w:type="page"/>
      </w:r>
    </w:p>
    <w:p>
      <w:pPr>
        <w:pStyle w:val="Heading1"/>
      </w:pPr>
      <w:r>
        <w:t>Executive decision brief</w:t>
      </w:r>
    </w:p>
    <w:p>
      <w:r>
        <w:t>The project already contains a useful foundation: reporting periods, expected submissions, due states, compliance flags, provider contacts, email templates, draft logs, and correspondence notes. It does not yet contain a live email transport, inbound message processing, reliable delivery evidence, mailbox permissions, retention controls, structured reply extraction, penalty rules, application-case tracking, or end-to-end compliance audit events. The current implementation should therefore be treated as a prototype drafting workflow—not as an 80%-complete production email integration.</w:t>
      </w:r>
    </w:p>
    <w:tbl>
      <w:tblPr>
        <w:tblW w:type="dxa" w:w="9360"/>
        <w:jc w:val="center"/>
        <w:tblLayout w:type="fixed"/>
        <w:tblLook w:firstColumn="1" w:firstRow="1" w:lastColumn="0" w:lastRow="0" w:noHBand="0" w:noVBand="1" w:val="04A0"/>
      </w:tblPr>
      <w:tblGrid>
        <w:gridCol w:w="9360"/>
      </w:tblGrid>
      <w:tr>
        <w:tc>
          <w:tcPr>
            <w:tcW w:type="dxa" w:w="9360"/>
            <w:shd w:fill="ECFDF3"/>
            <w:tcMar>
              <w:top w:w="130" w:type="dxa"/>
              <w:start w:w="180" w:type="dxa"/>
              <w:bottom w:w="130" w:type="dxa"/>
              <w:end w:w="180" w:type="dxa"/>
            </w:tcMar>
          </w:tcPr>
          <w:p>
            <w:pPr>
              <w:spacing w:after="60"/>
            </w:pPr>
            <w:r>
              <w:rPr>
                <w:rFonts w:ascii="Calibri" w:hAnsi="Calibri" w:eastAsia="Calibri"/>
                <w:b/>
                <w:color w:val="027A48"/>
                <w:sz w:val="21"/>
              </w:rPr>
              <w:t>Decision requested</w:t>
            </w:r>
          </w:p>
          <w:p>
            <w:pPr>
              <w:spacing w:after="0"/>
              <w:pBdr>
                <w:left w:val="single" w:sz="16" w:space="8" w:color="027A48"/>
              </w:pBdr>
            </w:pPr>
            <w:r>
              <w:t>Approve a controlled Microsoft 365/Graph integration centred on datacollection@nca.org.gh; approve the portal as system of record; require human approval for external communications; and commission Legal/Records/Data Protection validation of the obligation, penalty and retention registers.</w:t>
            </w:r>
          </w:p>
        </w:tc>
      </w:tr>
    </w:tbl>
    <w:p>
      <w:pPr>
        <w:spacing w:after="0"/>
      </w:pPr>
    </w:p>
    <w:p>
      <w:pPr>
        <w:pStyle w:val="Heading2"/>
      </w:pPr>
      <w:r>
        <w:t>The six conclusions that matter most</w:t>
      </w:r>
    </w:p>
    <w:p>
      <w:pPr>
        <w:pStyle w:val="ListBullet"/>
      </w:pPr>
      <w:r>
        <w:t>Create datacollection@nca.org.gh as an Exchange Online shared mailbox (or confirm it already exists). Do not create a Gmail mailbox or use a common password. Public DNS shows nca.org.gh is already routed through Microsoft 365.</w:t>
      </w:r>
    </w:p>
    <w:p>
      <w:pPr>
        <w:pStyle w:val="ListBullet"/>
      </w:pPr>
      <w:r>
        <w:t>Use the mailbox as the official communication and evidence channel, but keep each return or application as a case in the platform. An email is evidence about a case; it is not itself the case.</w:t>
      </w:r>
    </w:p>
    <w:p>
      <w:pPr>
        <w:pStyle w:val="ListBullet"/>
      </w:pPr>
      <w:r>
        <w:t>“Copied on all matters” should be achieved primarily by sending and receiving through the shared mailbox. A narrowly scoped Exchange mail-flow rule may cover exceptional staff-originated messages, but an indiscriminate organisation-wide Bcc rule would create privacy, duplication and records risks.</w:t>
      </w:r>
    </w:p>
    <w:p>
      <w:pPr>
        <w:pStyle w:val="ListBullet"/>
      </w:pPr>
      <w:r>
        <w:t>Track four separate state dimensions: message transport, correspondence handling, submission/application workflow, and enforcement. Combining them produces dangerous conclusions such as “mail accepted by Graph = delivered” or “late reply = penalty imposed.”</w:t>
      </w:r>
    </w:p>
    <w:p>
      <w:pPr>
        <w:pStyle w:val="ListBullet"/>
      </w:pPr>
      <w:r>
        <w:t>Email replies can be converted into proposed structured data, but only through a scan → case-link → extract → validate → human-confirm pipeline. Preserve the original MIME message, headers, attachments, integrity hash and provenance for every extracted value.</w:t>
      </w:r>
    </w:p>
    <w:p>
      <w:pPr>
        <w:pStyle w:val="ListBullet"/>
      </w:pPr>
      <w:r>
        <w:t>Penalty information must come from an effective-dated, legally approved rule register. The system may calculate internal potential exposure, but it should never automatically impose a penalty or send a penalty notice.</w:t>
      </w:r>
    </w:p>
    <w:p>
      <w:pPr>
        <w:pStyle w:val="Heading2"/>
      </w:pPr>
      <w:r>
        <w:t>Recommended scope for the first production release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4680"/>
            <w:shd w:fill="F2F4F7"/>
            <w:tcMar>
              <w:top w:w="80" w:type="dxa"/>
              <w:start w:w="120" w:type="dxa"/>
              <w:bottom w:w="80" w:type="dxa"/>
              <w:end w:w="120" w:type="dxa"/>
            </w:tcMar>
            <w:vAlign w:val="center"/>
          </w:tcPr>
          <w:p>
            <w:pPr>
              <w:spacing w:after="0"/>
            </w:pPr>
            <w:r>
              <w:rPr>
                <w:rFonts w:ascii="Calibri" w:hAnsi="Calibri" w:eastAsia="Calibri"/>
                <w:b/>
                <w:color w:val="163A5F"/>
                <w:sz w:val="18"/>
              </w:rPr>
              <w:t>In scope</w:t>
            </w:r>
          </w:p>
        </w:tc>
        <w:tc>
          <w:tcPr>
            <w:tcW w:type="dxa" w:w="4680"/>
            <w:shd w:fill="F2F4F7"/>
            <w:tcMar>
              <w:top w:w="80" w:type="dxa"/>
              <w:start w:w="120" w:type="dxa"/>
              <w:bottom w:w="80" w:type="dxa"/>
              <w:end w:w="120" w:type="dxa"/>
            </w:tcMar>
            <w:vAlign w:val="center"/>
          </w:tcPr>
          <w:p>
            <w:pPr>
              <w:spacing w:after="0"/>
            </w:pPr>
            <w:r>
              <w:rPr>
                <w:rFonts w:ascii="Calibri" w:hAnsi="Calibri" w:eastAsia="Calibri"/>
                <w:b/>
                <w:color w:val="163A5F"/>
                <w:sz w:val="18"/>
              </w:rPr>
              <w:t>Out of scope until controlled</w:t>
            </w:r>
          </w:p>
        </w:tc>
      </w:tr>
      <w:tr>
        <w:trPr>
          <w:cantSplit/>
        </w:trPr>
        <w:tc>
          <w:tcPr>
            <w:tcW w:type="dxa" w:w="4680"/>
            <w:tcMar>
              <w:top w:w="80" w:type="dxa"/>
              <w:start w:w="120" w:type="dxa"/>
              <w:bottom w:w="80" w:type="dxa"/>
              <w:end w:w="120" w:type="dxa"/>
            </w:tcMar>
            <w:vAlign w:val="top"/>
          </w:tcPr>
          <w:p>
            <w:pPr>
              <w:spacing w:after="0"/>
            </w:pPr>
            <w:r>
              <w:rPr>
                <w:rFonts w:ascii="Calibri" w:hAnsi="Calibri" w:eastAsia="Calibri"/>
                <w:sz w:val="18"/>
              </w:rPr>
              <w:t>Shared mailbox; Graph send/receive; template versioning; case token; immutable evidence; bounce handling; human-approved routine drafts; reminders; SLA dashboard; audit trail.</w:t>
            </w:r>
          </w:p>
        </w:tc>
        <w:tc>
          <w:tcPr>
            <w:tcW w:type="dxa" w:w="4680"/>
            <w:tcMar>
              <w:top w:w="80" w:type="dxa"/>
              <w:start w:w="120" w:type="dxa"/>
              <w:bottom w:w="80" w:type="dxa"/>
              <w:end w:w="120" w:type="dxa"/>
            </w:tcMar>
            <w:vAlign w:val="top"/>
          </w:tcPr>
          <w:p>
            <w:pPr>
              <w:spacing w:after="0"/>
            </w:pPr>
            <w:r>
              <w:rPr>
                <w:rFonts w:ascii="Calibri" w:hAnsi="Calibri" w:eastAsia="Calibri"/>
                <w:sz w:val="18"/>
              </w:rPr>
              <w:t>Autonomous response sending; autonomous legal interpretation; automatic penalty imposition; unsupervised attachment actions; treating free-form email as a formal submission without policy authority.</w:t>
            </w:r>
          </w:p>
        </w:tc>
      </w:tr>
      <w:tr>
        <w:trPr>
          <w:cantSplit/>
        </w:trPr>
        <w:tc>
          <w:tcPr>
            <w:tcW w:type="dxa" w:w="4680"/>
            <w:tcMar>
              <w:top w:w="80" w:type="dxa"/>
              <w:start w:w="120" w:type="dxa"/>
              <w:bottom w:w="80" w:type="dxa"/>
              <w:end w:w="120" w:type="dxa"/>
            </w:tcMar>
            <w:vAlign w:val="top"/>
          </w:tcPr>
          <w:p>
            <w:pPr>
              <w:spacing w:after="0"/>
            </w:pPr>
            <w:r>
              <w:rPr>
                <w:rFonts w:ascii="Calibri" w:hAnsi="Calibri" w:eastAsia="Calibri"/>
                <w:sz w:val="18"/>
              </w:rPr>
              <w:t>Inbound acknowledgements, extension requests, correction replies, explanations, and structured attachments linked to an existing expected submission.</w:t>
            </w:r>
          </w:p>
        </w:tc>
        <w:tc>
          <w:tcPr>
            <w:tcW w:type="dxa" w:w="4680"/>
            <w:tcMar>
              <w:top w:w="80" w:type="dxa"/>
              <w:start w:w="120" w:type="dxa"/>
              <w:bottom w:w="80" w:type="dxa"/>
              <w:end w:w="120" w:type="dxa"/>
            </w:tcMar>
            <w:vAlign w:val="top"/>
          </w:tcPr>
          <w:p>
            <w:pPr>
              <w:spacing w:after="0"/>
            </w:pPr>
            <w:r>
              <w:rPr>
                <w:rFonts w:ascii="Calibri" w:hAnsi="Calibri" w:eastAsia="Calibri"/>
                <w:sz w:val="18"/>
              </w:rPr>
              <w:t>Licensing/application tracking unless a dedicated Application/RegulatoryCase domain is added—the current project has no application model.</w:t>
            </w:r>
          </w:p>
        </w:tc>
      </w:tr>
    </w:tbl>
    <w:p>
      <w:pPr>
        <w:spacing w:after="20"/>
      </w:pPr>
    </w:p>
    <w:p>
      <w:pPr>
        <w:pStyle w:val="Heading2"/>
      </w:pPr>
      <w:r>
        <w:t>Point-in-time domain observations</w:t>
      </w:r>
    </w:p>
    <w:p>
      <w:r>
        <w:t>Read-only public DNS checks were performed on 30 July 2026. These are implementation clues, not a substitute for a Microsoft 365 tenant review.</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500"/>
            <w:shd w:fill="F2F4F7"/>
            <w:tcMar>
              <w:top w:w="80" w:type="dxa"/>
              <w:start w:w="120" w:type="dxa"/>
              <w:bottom w:w="80" w:type="dxa"/>
              <w:end w:w="120" w:type="dxa"/>
            </w:tcMar>
            <w:vAlign w:val="center"/>
          </w:tcPr>
          <w:p>
            <w:pPr>
              <w:spacing w:after="0"/>
            </w:pPr>
            <w:r>
              <w:rPr>
                <w:rFonts w:ascii="Calibri" w:hAnsi="Calibri" w:eastAsia="Calibri"/>
                <w:b/>
                <w:color w:val="163A5F"/>
                <w:sz w:val="17"/>
              </w:rPr>
              <w:t>Control</w:t>
            </w:r>
          </w:p>
        </w:tc>
        <w:tc>
          <w:tcPr>
            <w:tcW w:type="dxa" w:w="3000"/>
            <w:shd w:fill="F2F4F7"/>
            <w:tcMar>
              <w:top w:w="80" w:type="dxa"/>
              <w:start w:w="120" w:type="dxa"/>
              <w:bottom w:w="80" w:type="dxa"/>
              <w:end w:w="120" w:type="dxa"/>
            </w:tcMar>
            <w:vAlign w:val="center"/>
          </w:tcPr>
          <w:p>
            <w:pPr>
              <w:spacing w:after="0"/>
            </w:pPr>
            <w:r>
              <w:rPr>
                <w:rFonts w:ascii="Calibri" w:hAnsi="Calibri" w:eastAsia="Calibri"/>
                <w:b/>
                <w:color w:val="163A5F"/>
                <w:sz w:val="17"/>
              </w:rPr>
              <w:t>Observed</w:t>
            </w:r>
          </w:p>
        </w:tc>
        <w:tc>
          <w:tcPr>
            <w:tcW w:type="dxa" w:w="4860"/>
            <w:shd w:fill="F2F4F7"/>
            <w:tcMar>
              <w:top w:w="80" w:type="dxa"/>
              <w:start w:w="120" w:type="dxa"/>
              <w:bottom w:w="80" w:type="dxa"/>
              <w:end w:w="120" w:type="dxa"/>
            </w:tcMar>
            <w:vAlign w:val="center"/>
          </w:tcPr>
          <w:p>
            <w:pPr>
              <w:spacing w:after="0"/>
            </w:pPr>
            <w:r>
              <w:rPr>
                <w:rFonts w:ascii="Calibri" w:hAnsi="Calibri" w:eastAsia="Calibri"/>
                <w:b/>
                <w:color w:val="163A5F"/>
                <w:sz w:val="17"/>
              </w:rPr>
              <w:t>Implication / action</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Mail hosting</w:t>
            </w:r>
          </w:p>
        </w:tc>
        <w:tc>
          <w:tcPr>
            <w:tcW w:type="dxa" w:w="3000"/>
            <w:tcMar>
              <w:top w:w="80" w:type="dxa"/>
              <w:start w:w="120" w:type="dxa"/>
              <w:bottom w:w="80" w:type="dxa"/>
              <w:end w:w="120" w:type="dxa"/>
            </w:tcMar>
            <w:vAlign w:val="top"/>
          </w:tcPr>
          <w:p>
            <w:pPr>
              <w:spacing w:after="0"/>
            </w:pPr>
            <w:r>
              <w:rPr>
                <w:rFonts w:ascii="Calibri" w:hAnsi="Calibri" w:eastAsia="Calibri"/>
                <w:sz w:val="17"/>
              </w:rPr>
              <w:t>MX: nca-org-gh.mail.protection.outlook.com</w:t>
            </w:r>
          </w:p>
        </w:tc>
        <w:tc>
          <w:tcPr>
            <w:tcW w:type="dxa" w:w="4860"/>
            <w:tcMar>
              <w:top w:w="80" w:type="dxa"/>
              <w:start w:w="120" w:type="dxa"/>
              <w:bottom w:w="80" w:type="dxa"/>
              <w:end w:w="120" w:type="dxa"/>
            </w:tcMar>
            <w:vAlign w:val="top"/>
          </w:tcPr>
          <w:p>
            <w:pPr>
              <w:spacing w:after="0"/>
            </w:pPr>
            <w:r>
              <w:rPr>
                <w:rFonts w:ascii="Calibri" w:hAnsi="Calibri" w:eastAsia="Calibri"/>
                <w:sz w:val="17"/>
              </w:rPr>
              <w:t>Exchange Online/Microsoft 365 is the natural integration platform.</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SPF</w:t>
            </w:r>
          </w:p>
        </w:tc>
        <w:tc>
          <w:tcPr>
            <w:tcW w:type="dxa" w:w="3000"/>
            <w:tcMar>
              <w:top w:w="80" w:type="dxa"/>
              <w:start w:w="120" w:type="dxa"/>
              <w:bottom w:w="80" w:type="dxa"/>
              <w:end w:w="120" w:type="dxa"/>
            </w:tcMar>
            <w:vAlign w:val="top"/>
          </w:tcPr>
          <w:p>
            <w:pPr>
              <w:spacing w:after="0"/>
            </w:pPr>
            <w:r>
              <w:rPr>
                <w:rFonts w:ascii="Calibri" w:hAnsi="Calibri" w:eastAsia="Calibri"/>
                <w:sz w:val="17"/>
              </w:rPr>
              <w:t>v=spf1 include:spf.protection.outlook.com -all</w:t>
            </w:r>
          </w:p>
        </w:tc>
        <w:tc>
          <w:tcPr>
            <w:tcW w:type="dxa" w:w="4860"/>
            <w:tcMar>
              <w:top w:w="80" w:type="dxa"/>
              <w:start w:w="120" w:type="dxa"/>
              <w:bottom w:w="80" w:type="dxa"/>
              <w:end w:w="120" w:type="dxa"/>
            </w:tcMar>
            <w:vAlign w:val="top"/>
          </w:tcPr>
          <w:p>
            <w:pPr>
              <w:spacing w:after="0"/>
            </w:pPr>
            <w:r>
              <w:rPr>
                <w:rFonts w:ascii="Calibri" w:hAnsi="Calibri" w:eastAsia="Calibri"/>
                <w:sz w:val="17"/>
              </w:rPr>
              <w:t>Outbound Microsoft 365 mail is authorised by SPF; preserve alignment.</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DMARC</w:t>
            </w:r>
          </w:p>
        </w:tc>
        <w:tc>
          <w:tcPr>
            <w:tcW w:type="dxa" w:w="3000"/>
            <w:tcMar>
              <w:top w:w="80" w:type="dxa"/>
              <w:start w:w="120" w:type="dxa"/>
              <w:bottom w:w="80" w:type="dxa"/>
              <w:end w:w="120" w:type="dxa"/>
            </w:tcMar>
            <w:vAlign w:val="top"/>
          </w:tcPr>
          <w:p>
            <w:pPr>
              <w:spacing w:after="0"/>
            </w:pPr>
            <w:r>
              <w:rPr>
                <w:rFonts w:ascii="Calibri" w:hAnsi="Calibri" w:eastAsia="Calibri"/>
                <w:sz w:val="17"/>
              </w:rPr>
              <w:t>No _dmarc.nca.org.gh record returned</w:t>
            </w:r>
          </w:p>
        </w:tc>
        <w:tc>
          <w:tcPr>
            <w:tcW w:type="dxa" w:w="4860"/>
            <w:tcMar>
              <w:top w:w="80" w:type="dxa"/>
              <w:start w:w="120" w:type="dxa"/>
              <w:bottom w:w="80" w:type="dxa"/>
              <w:end w:w="120" w:type="dxa"/>
            </w:tcMar>
            <w:vAlign w:val="top"/>
          </w:tcPr>
          <w:p>
            <w:pPr>
              <w:spacing w:after="0"/>
            </w:pPr>
            <w:r>
              <w:rPr>
                <w:rFonts w:ascii="Calibri" w:hAnsi="Calibri" w:eastAsia="Calibri"/>
                <w:sz w:val="17"/>
              </w:rPr>
              <w:t>Confirm with the DNS administrator; deploy monitored DMARC after DKIM.</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DKIM</w:t>
            </w:r>
          </w:p>
        </w:tc>
        <w:tc>
          <w:tcPr>
            <w:tcW w:type="dxa" w:w="3000"/>
            <w:tcMar>
              <w:top w:w="80" w:type="dxa"/>
              <w:start w:w="120" w:type="dxa"/>
              <w:bottom w:w="80" w:type="dxa"/>
              <w:end w:w="120" w:type="dxa"/>
            </w:tcMar>
            <w:vAlign w:val="top"/>
          </w:tcPr>
          <w:p>
            <w:pPr>
              <w:spacing w:after="0"/>
            </w:pPr>
            <w:r>
              <w:rPr>
                <w:rFonts w:ascii="Calibri" w:hAnsi="Calibri" w:eastAsia="Calibri"/>
                <w:sz w:val="17"/>
              </w:rPr>
              <w:t>No standard selector1/selector2 custom-domain CNAMEs returned</w:t>
            </w:r>
          </w:p>
        </w:tc>
        <w:tc>
          <w:tcPr>
            <w:tcW w:type="dxa" w:w="4860"/>
            <w:tcMar>
              <w:top w:w="80" w:type="dxa"/>
              <w:start w:w="120" w:type="dxa"/>
              <w:bottom w:w="80" w:type="dxa"/>
              <w:end w:w="120" w:type="dxa"/>
            </w:tcMar>
            <w:vAlign w:val="top"/>
          </w:tcPr>
          <w:p>
            <w:pPr>
              <w:spacing w:after="0"/>
            </w:pPr>
            <w:r>
              <w:rPr>
                <w:rFonts w:ascii="Calibri" w:hAnsi="Calibri" w:eastAsia="Calibri"/>
                <w:sz w:val="17"/>
              </w:rPr>
              <w:t>Confirm tenant configuration; publish Microsoft 365 DKIM CNAMEs and enable signing.</w:t>
            </w:r>
          </w:p>
        </w:tc>
      </w:tr>
    </w:tbl>
    <w:p>
      <w:pPr>
        <w:spacing w:after="20"/>
      </w:pPr>
    </w:p>
    <w:p>
      <w:r>
        <w:t>Microsoft documents the custom-domain DKIM and DMARC setup and recommends alignment of SPF/DKIM with the visible From domain. [26][27]</w:t>
      </w:r>
    </w:p>
    <w:p>
      <w:r>
        <w:br w:type="page"/>
      </w:r>
    </w:p>
    <w:p>
      <w:pPr>
        <w:pStyle w:val="Heading1"/>
      </w:pPr>
      <w:r>
        <w:t>1. Scope, method and project understanding</w:t>
      </w:r>
    </w:p>
    <w:p>
      <w:pPr>
        <w:pStyle w:val="Heading2"/>
      </w:pPr>
      <w:r>
        <w:t>1.1 Scope and research method</w:t>
      </w:r>
    </w:p>
    <w:p>
      <w:r>
        <w:t>This review covered the supplied product description, implementation plan, Django models/views/serializers/tasks/fixtures/tests, Next.js compliance screens and API usage, environment/configuration, deployment notes, UAT traceability and the local database structure. The external research prioritised Ghanaian statutes and NCA publications, followed by official Microsoft, NIST and OWASP documentation. Sources were checked as available on 30 July 2026.</w:t>
      </w:r>
    </w:p>
    <w:p>
      <w:r>
        <w:t>The analysis distinguishes three kinds of statement: (a) current project facts, (b) legal/regulatory requirements or authorities, and (c) recommended design controls. This matters because a statute may authorise information collection, but the exact obligation, permitted submission channel, due date, licence condition and sanction still have to be configured and legally validated for each case.</w:t>
      </w:r>
    </w:p>
    <w:p>
      <w:pPr>
        <w:pStyle w:val="Heading2"/>
      </w:pPr>
      <w:r>
        <w:t>1.2 What the project is designed to do</w:t>
      </w:r>
    </w:p>
    <w:p>
      <w:r>
        <w:t>The product is a regulatory data-collection portal intended to replace email-first returns with traceable workflows. NCA officers create reporting periods, assign forms to providers, monitor expected submissions, request corrections, send reminders, review versions and export data. Providers enter structured data and submit it through a controlled portal. That product direction is sound: email should support the workflow, not recreate the unstructured process the portal was built to replace.</w:t>
      </w:r>
    </w:p>
    <w:p>
      <w:pPr>
        <w:pStyle w:val="Heading2"/>
      </w:pPr>
      <w:r>
        <w:t>1.3 Existing capabilities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500"/>
            <w:shd w:fill="F2F4F7"/>
            <w:tcMar>
              <w:top w:w="80" w:type="dxa"/>
              <w:start w:w="120" w:type="dxa"/>
              <w:bottom w:w="80" w:type="dxa"/>
              <w:end w:w="120" w:type="dxa"/>
            </w:tcMar>
            <w:vAlign w:val="center"/>
          </w:tcPr>
          <w:p>
            <w:pPr>
              <w:spacing w:after="0"/>
            </w:pPr>
            <w:r>
              <w:rPr>
                <w:rFonts w:ascii="Calibri" w:hAnsi="Calibri" w:eastAsia="Calibri"/>
                <w:b/>
                <w:color w:val="163A5F"/>
                <w:sz w:val="17"/>
              </w:rPr>
              <w:t>Area</w:t>
            </w:r>
          </w:p>
        </w:tc>
        <w:tc>
          <w:tcPr>
            <w:tcW w:type="dxa" w:w="4650"/>
            <w:shd w:fill="F2F4F7"/>
            <w:tcMar>
              <w:top w:w="80" w:type="dxa"/>
              <w:start w:w="120" w:type="dxa"/>
              <w:bottom w:w="80" w:type="dxa"/>
              <w:end w:w="120" w:type="dxa"/>
            </w:tcMar>
            <w:vAlign w:val="center"/>
          </w:tcPr>
          <w:p>
            <w:pPr>
              <w:spacing w:after="0"/>
            </w:pPr>
            <w:r>
              <w:rPr>
                <w:rFonts w:ascii="Calibri" w:hAnsi="Calibri" w:eastAsia="Calibri"/>
                <w:b/>
                <w:color w:val="163A5F"/>
                <w:sz w:val="17"/>
              </w:rPr>
              <w:t>Current project capability</w:t>
            </w:r>
          </w:p>
        </w:tc>
        <w:tc>
          <w:tcPr>
            <w:tcW w:type="dxa" w:w="3210"/>
            <w:shd w:fill="F2F4F7"/>
            <w:tcMar>
              <w:top w:w="80" w:type="dxa"/>
              <w:start w:w="120" w:type="dxa"/>
              <w:bottom w:w="80" w:type="dxa"/>
              <w:end w:w="120" w:type="dxa"/>
            </w:tcMar>
            <w:vAlign w:val="center"/>
          </w:tcPr>
          <w:p>
            <w:pPr>
              <w:spacing w:after="0"/>
            </w:pPr>
            <w:r>
              <w:rPr>
                <w:rFonts w:ascii="Calibri" w:hAnsi="Calibri" w:eastAsia="Calibri"/>
                <w:b/>
                <w:color w:val="163A5F"/>
                <w:sz w:val="17"/>
              </w:rPr>
              <w:t>Assessment</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Workflow</w:t>
            </w:r>
          </w:p>
        </w:tc>
        <w:tc>
          <w:tcPr>
            <w:tcW w:type="dxa" w:w="4650"/>
            <w:tcMar>
              <w:top w:w="80" w:type="dxa"/>
              <w:start w:w="120" w:type="dxa"/>
              <w:bottom w:w="80" w:type="dxa"/>
              <w:end w:w="120" w:type="dxa"/>
            </w:tcMar>
            <w:vAlign w:val="top"/>
          </w:tcPr>
          <w:p>
            <w:pPr>
              <w:spacing w:after="0"/>
            </w:pPr>
            <w:r>
              <w:rPr>
                <w:rFonts w:ascii="Calibri" w:hAnsi="Calibri" w:eastAsia="Calibri"/>
                <w:sz w:val="17"/>
              </w:rPr>
              <w:t>ExpectedSubmission statuses from Not Started through Approved/Rejected/Archived; due states from Not Open through Overdue.</w:t>
            </w:r>
          </w:p>
        </w:tc>
        <w:tc>
          <w:tcPr>
            <w:tcW w:type="dxa" w:w="3210"/>
            <w:tcMar>
              <w:top w:w="80" w:type="dxa"/>
              <w:start w:w="120" w:type="dxa"/>
              <w:bottom w:w="80" w:type="dxa"/>
              <w:end w:w="120" w:type="dxa"/>
            </w:tcMar>
            <w:vAlign w:val="top"/>
          </w:tcPr>
          <w:p>
            <w:pPr>
              <w:spacing w:after="0"/>
            </w:pPr>
            <w:r>
              <w:rPr>
                <w:rFonts w:ascii="Calibri" w:hAnsi="Calibri" w:eastAsia="Calibri"/>
                <w:sz w:val="17"/>
              </w:rPr>
              <w:t>Strong starting point for data returns.</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Compliance</w:t>
            </w:r>
          </w:p>
        </w:tc>
        <w:tc>
          <w:tcPr>
            <w:tcW w:type="dxa" w:w="4650"/>
            <w:tcMar>
              <w:top w:w="80" w:type="dxa"/>
              <w:start w:w="120" w:type="dxa"/>
              <w:bottom w:w="80" w:type="dxa"/>
              <w:end w:w="120" w:type="dxa"/>
            </w:tcMar>
            <w:vAlign w:val="top"/>
          </w:tcPr>
          <w:p>
            <w:pPr>
              <w:spacing w:after="0"/>
            </w:pPr>
            <w:r>
              <w:rPr>
                <w:rFonts w:ascii="Calibri" w:hAnsi="Calibri" w:eastAsia="Calibri"/>
                <w:sz w:val="17"/>
              </w:rPr>
              <w:t>Flags for missing, overdue, incomplete and correction cases; acknowledgement/in-progress/resolved lifecycle.</w:t>
            </w:r>
          </w:p>
        </w:tc>
        <w:tc>
          <w:tcPr>
            <w:tcW w:type="dxa" w:w="3210"/>
            <w:tcMar>
              <w:top w:w="80" w:type="dxa"/>
              <w:start w:w="120" w:type="dxa"/>
              <w:bottom w:w="80" w:type="dxa"/>
              <w:end w:w="120" w:type="dxa"/>
            </w:tcMar>
            <w:vAlign w:val="top"/>
          </w:tcPr>
          <w:p>
            <w:pPr>
              <w:spacing w:after="0"/>
            </w:pPr>
            <w:r>
              <w:rPr>
                <w:rFonts w:ascii="Calibri" w:hAnsi="Calibri" w:eastAsia="Calibri"/>
                <w:sz w:val="17"/>
              </w:rPr>
              <w:t>Useful, but resolution history can be lost and evidence links are incomplete.</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Email</w:t>
            </w:r>
          </w:p>
        </w:tc>
        <w:tc>
          <w:tcPr>
            <w:tcW w:type="dxa" w:w="4650"/>
            <w:tcMar>
              <w:top w:w="80" w:type="dxa"/>
              <w:start w:w="120" w:type="dxa"/>
              <w:bottom w:w="80" w:type="dxa"/>
              <w:end w:w="120" w:type="dxa"/>
            </w:tcMar>
            <w:vAlign w:val="top"/>
          </w:tcPr>
          <w:p>
            <w:pPr>
              <w:spacing w:after="0"/>
            </w:pPr>
            <w:r>
              <w:rPr>
                <w:rFonts w:ascii="Calibri" w:hAnsi="Calibri" w:eastAsia="Calibri"/>
                <w:sz w:val="17"/>
              </w:rPr>
              <w:t>Template types, generated draft content, recipients/CC JSON, EmailLog draft/sent/failed state, manual “mark sent”.</w:t>
            </w:r>
          </w:p>
        </w:tc>
        <w:tc>
          <w:tcPr>
            <w:tcW w:type="dxa" w:w="3210"/>
            <w:tcMar>
              <w:top w:w="80" w:type="dxa"/>
              <w:start w:w="120" w:type="dxa"/>
              <w:bottom w:w="80" w:type="dxa"/>
              <w:end w:w="120" w:type="dxa"/>
            </w:tcMar>
            <w:vAlign w:val="top"/>
          </w:tcPr>
          <w:p>
            <w:pPr>
              <w:spacing w:after="0"/>
            </w:pPr>
            <w:r>
              <w:rPr>
                <w:rFonts w:ascii="Calibri" w:hAnsi="Calibri" w:eastAsia="Calibri"/>
                <w:sz w:val="17"/>
              </w:rPr>
              <w:t>Drafting prototype only; no provider transport or mailbox reconciliation.</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Correspondence</w:t>
            </w:r>
          </w:p>
        </w:tc>
        <w:tc>
          <w:tcPr>
            <w:tcW w:type="dxa" w:w="4650"/>
            <w:tcMar>
              <w:top w:w="80" w:type="dxa"/>
              <w:start w:w="120" w:type="dxa"/>
              <w:bottom w:w="80" w:type="dxa"/>
              <w:end w:w="120" w:type="dxa"/>
            </w:tcMar>
            <w:vAlign w:val="top"/>
          </w:tcPr>
          <w:p>
            <w:pPr>
              <w:spacing w:after="0"/>
            </w:pPr>
            <w:r>
              <w:rPr>
                <w:rFonts w:ascii="Calibri" w:hAnsi="Calibri" w:eastAsia="Calibri"/>
                <w:sz w:val="17"/>
              </w:rPr>
              <w:t>Notes plus email sent/received types linked to a compliance flag.</w:t>
            </w:r>
          </w:p>
        </w:tc>
        <w:tc>
          <w:tcPr>
            <w:tcW w:type="dxa" w:w="3210"/>
            <w:tcMar>
              <w:top w:w="80" w:type="dxa"/>
              <w:start w:w="120" w:type="dxa"/>
              <w:bottom w:w="80" w:type="dxa"/>
              <w:end w:w="120" w:type="dxa"/>
            </w:tcMar>
            <w:vAlign w:val="top"/>
          </w:tcPr>
          <w:p>
            <w:pPr>
              <w:spacing w:after="0"/>
            </w:pPr>
            <w:r>
              <w:rPr>
                <w:rFonts w:ascii="Calibri" w:hAnsi="Calibri" w:eastAsia="Calibri"/>
                <w:sz w:val="17"/>
              </w:rPr>
              <w:t>Basic ledger, but a draft is currently recorded as “email sent” in one path.</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Audit</w:t>
            </w:r>
          </w:p>
        </w:tc>
        <w:tc>
          <w:tcPr>
            <w:tcW w:type="dxa" w:w="4650"/>
            <w:tcMar>
              <w:top w:w="80" w:type="dxa"/>
              <w:start w:w="120" w:type="dxa"/>
              <w:bottom w:w="80" w:type="dxa"/>
              <w:end w:w="120" w:type="dxa"/>
            </w:tcMar>
            <w:vAlign w:val="top"/>
          </w:tcPr>
          <w:p>
            <w:pPr>
              <w:spacing w:after="0"/>
            </w:pPr>
            <w:r>
              <w:rPr>
                <w:rFonts w:ascii="Calibri" w:hAnsi="Calibri" w:eastAsia="Calibri"/>
                <w:sz w:val="17"/>
              </w:rPr>
              <w:t>Immutable AuditEvent model exists.</w:t>
            </w:r>
          </w:p>
        </w:tc>
        <w:tc>
          <w:tcPr>
            <w:tcW w:type="dxa" w:w="3210"/>
            <w:tcMar>
              <w:top w:w="80" w:type="dxa"/>
              <w:start w:w="120" w:type="dxa"/>
              <w:bottom w:w="80" w:type="dxa"/>
              <w:end w:w="120" w:type="dxa"/>
            </w:tcMar>
            <w:vAlign w:val="top"/>
          </w:tcPr>
          <w:p>
            <w:pPr>
              <w:spacing w:after="0"/>
            </w:pPr>
            <w:r>
              <w:rPr>
                <w:rFonts w:ascii="Calibri" w:hAnsi="Calibri" w:eastAsia="Calibri"/>
                <w:sz w:val="17"/>
              </w:rPr>
              <w:t>Compliance/email actions do not consistently write audit events.</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Providers</w:t>
            </w:r>
          </w:p>
        </w:tc>
        <w:tc>
          <w:tcPr>
            <w:tcW w:type="dxa" w:w="4650"/>
            <w:tcMar>
              <w:top w:w="80" w:type="dxa"/>
              <w:start w:w="120" w:type="dxa"/>
              <w:bottom w:w="80" w:type="dxa"/>
              <w:end w:w="120" w:type="dxa"/>
            </w:tcMar>
            <w:vAlign w:val="top"/>
          </w:tcPr>
          <w:p>
            <w:pPr>
              <w:spacing w:after="0"/>
            </w:pPr>
            <w:r>
              <w:rPr>
                <w:rFonts w:ascii="Calibri" w:hAnsi="Calibri" w:eastAsia="Calibri"/>
                <w:sz w:val="17"/>
              </w:rPr>
              <w:t>Primary email and contact preferences including reminder notification.</w:t>
            </w:r>
          </w:p>
        </w:tc>
        <w:tc>
          <w:tcPr>
            <w:tcW w:type="dxa" w:w="3210"/>
            <w:tcMar>
              <w:top w:w="80" w:type="dxa"/>
              <w:start w:w="120" w:type="dxa"/>
              <w:bottom w:w="80" w:type="dxa"/>
              <w:end w:w="120" w:type="dxa"/>
            </w:tcMar>
            <w:vAlign w:val="top"/>
          </w:tcPr>
          <w:p>
            <w:pPr>
              <w:spacing w:after="0"/>
            </w:pPr>
            <w:r>
              <w:rPr>
                <w:rFonts w:ascii="Calibri" w:hAnsi="Calibri" w:eastAsia="Calibri"/>
                <w:sz w:val="17"/>
              </w:rPr>
              <w:t>Good source for recipients; needs verification, role, validity and consent/authority metadata.</w:t>
            </w:r>
          </w:p>
        </w:tc>
      </w:tr>
      <w:tr>
        <w:trPr>
          <w:cantSplit/>
        </w:trPr>
        <w:tc>
          <w:tcPr>
            <w:tcW w:type="dxa" w:w="1500"/>
            <w:tcMar>
              <w:top w:w="80" w:type="dxa"/>
              <w:start w:w="120" w:type="dxa"/>
              <w:bottom w:w="80" w:type="dxa"/>
              <w:end w:w="120" w:type="dxa"/>
            </w:tcMar>
            <w:vAlign w:val="top"/>
          </w:tcPr>
          <w:p>
            <w:pPr>
              <w:spacing w:after="0"/>
            </w:pPr>
            <w:r>
              <w:rPr>
                <w:rFonts w:ascii="Calibri" w:hAnsi="Calibri" w:eastAsia="Calibri"/>
                <w:sz w:val="17"/>
              </w:rPr>
              <w:t>Readiness</w:t>
            </w:r>
          </w:p>
        </w:tc>
        <w:tc>
          <w:tcPr>
            <w:tcW w:type="dxa" w:w="4650"/>
            <w:tcMar>
              <w:top w:w="80" w:type="dxa"/>
              <w:start w:w="120" w:type="dxa"/>
              <w:bottom w:w="80" w:type="dxa"/>
              <w:end w:w="120" w:type="dxa"/>
            </w:tcMar>
            <w:vAlign w:val="top"/>
          </w:tcPr>
          <w:p>
            <w:pPr>
              <w:spacing w:after="0"/>
            </w:pPr>
            <w:r>
              <w:rPr>
                <w:rFonts w:ascii="Calibri" w:hAnsi="Calibri" w:eastAsia="Calibri"/>
                <w:sz w:val="17"/>
              </w:rPr>
              <w:t>A submission-readiness service checks required fields, grids and files.</w:t>
            </w:r>
          </w:p>
        </w:tc>
        <w:tc>
          <w:tcPr>
            <w:tcW w:type="dxa" w:w="3210"/>
            <w:tcMar>
              <w:top w:w="80" w:type="dxa"/>
              <w:start w:w="120" w:type="dxa"/>
              <w:bottom w:w="80" w:type="dxa"/>
              <w:end w:w="120" w:type="dxa"/>
            </w:tcMar>
            <w:vAlign w:val="top"/>
          </w:tcPr>
          <w:p>
            <w:pPr>
              <w:spacing w:after="0"/>
            </w:pPr>
            <w:r>
              <w:rPr>
                <w:rFonts w:ascii="Calibri" w:hAnsi="Calibri" w:eastAsia="Calibri"/>
                <w:sz w:val="17"/>
              </w:rPr>
              <w:t>Should be the single compliance basis; the flag command uses a narrower missing-value test.</w:t>
            </w:r>
          </w:p>
        </w:tc>
      </w:tr>
    </w:tbl>
    <w:p>
      <w:pPr>
        <w:spacing w:after="20"/>
      </w:pPr>
    </w:p>
    <w:p>
      <w:pPr>
        <w:pStyle w:val="Heading2"/>
      </w:pPr>
      <w:r>
        <w:t>1.4 Material findings from the code review</w:t>
      </w:r>
    </w:p>
    <w:p>
      <w:pPr>
        <w:pStyle w:val="ListBullet"/>
      </w:pPr>
      <w:r>
        <w:t>No email backend, Microsoft Graph configuration, mailbox subscription, inbound processing service or scheduled Graph subscription renewal exists.</w:t>
      </w:r>
    </w:p>
    <w:p>
      <w:pPr>
        <w:pStyle w:val="ListBullet"/>
      </w:pPr>
      <w:r>
        <w:t>Email generation uses simple placeholder replacement. It does not have a template version snapshot, rendering validation, approval policy, legal wording guardrails or locale/accessibility controls.</w:t>
      </w:r>
    </w:p>
    <w:p>
      <w:pPr>
        <w:pStyle w:val="ListBullet"/>
      </w:pPr>
      <w:r>
        <w:t>The “mark sent” endpoint manually changes a status. It does not prove that Exchange accepted the message, that it was delivered, or that a non-delivery report did not arrive.</w:t>
      </w:r>
    </w:p>
    <w:p>
      <w:pPr>
        <w:pStyle w:val="ListBullet"/>
      </w:pPr>
      <w:r>
        <w:t>One draft-from-flag path creates correspondence with the type EMAIL_SENT even though the message has not been sent. This undermines evidentiary reliability.</w:t>
      </w:r>
    </w:p>
    <w:p>
      <w:pPr>
        <w:pStyle w:val="ListBullet"/>
      </w:pPr>
      <w:r>
        <w:t>EmailLog stores recipients and CC but the public serializer does not expose the message body, making exact reconstruction through the API incomplete.</w:t>
      </w:r>
    </w:p>
    <w:p>
      <w:pPr>
        <w:pStyle w:val="ListBullet"/>
      </w:pPr>
      <w:r>
        <w:t>Compliance views do not consistently create immutable AuditEvent records. Resolution logic can delete flags rather than retaining a closed history.</w:t>
      </w:r>
    </w:p>
    <w:p>
      <w:pPr>
        <w:pStyle w:val="ListBullet"/>
      </w:pPr>
      <w:r>
        <w:t>The daily due-state refresh and reminder processes are not fully scheduled in deployment configuration. The presence of Celery/Redis dependencies does not mean the jobs are running.</w:t>
      </w:r>
    </w:p>
    <w:p>
      <w:pPr>
        <w:pStyle w:val="ListBullet"/>
      </w:pPr>
      <w:r>
        <w:t>Only four template fixtures are present even though the model defines penalty warning, escalation and final notice categories.</w:t>
      </w:r>
    </w:p>
    <w:p>
      <w:pPr>
        <w:pStyle w:val="ListBullet"/>
      </w:pPr>
      <w:r>
        <w:t>The compliance flag command assesses missing field values more narrowly than the readiness service, so grids and required uploads can be misclassified.</w:t>
      </w:r>
    </w:p>
    <w:p>
      <w:pPr>
        <w:pStyle w:val="ListBullet"/>
      </w:pPr>
      <w:r>
        <w:t>There is no penalty rule, assessment, approval, notice or appeal model.</w:t>
      </w:r>
    </w:p>
    <w:p>
      <w:pPr>
        <w:pStyle w:val="ListBullet"/>
      </w:pPr>
      <w:r>
        <w:t>There is no application/licensing case model. “Application progress” cannot safely be represented as an ExpectedSubmission without extending the domain.</w:t>
      </w:r>
    </w:p>
    <w:tbl>
      <w:tblPr>
        <w:tblW w:type="dxa" w:w="9360"/>
        <w:jc w:val="center"/>
        <w:tblLayout w:type="fixed"/>
        <w:tblLook w:firstColumn="1" w:firstRow="1" w:lastColumn="0" w:lastRow="0" w:noHBand="0" w:noVBand="1" w:val="04A0"/>
      </w:tblPr>
      <w:tblGrid>
        <w:gridCol w:w="9360"/>
      </w:tblGrid>
      <w:tr>
        <w:tc>
          <w:tcPr>
            <w:tcW w:type="dxa" w:w="9360"/>
            <w:shd w:fill="FEF3F2"/>
            <w:tcMar>
              <w:top w:w="130" w:type="dxa"/>
              <w:start w:w="180" w:type="dxa"/>
              <w:bottom w:w="130" w:type="dxa"/>
              <w:end w:w="180" w:type="dxa"/>
            </w:tcMar>
          </w:tcPr>
          <w:p>
            <w:pPr>
              <w:spacing w:after="60"/>
            </w:pPr>
            <w:r>
              <w:rPr>
                <w:rFonts w:ascii="Calibri" w:hAnsi="Calibri" w:eastAsia="Calibri"/>
                <w:b/>
                <w:color w:val="B42318"/>
                <w:sz w:val="21"/>
              </w:rPr>
              <w:t>Correction to the existing implementation plan</w:t>
            </w:r>
          </w:p>
          <w:p>
            <w:pPr>
              <w:spacing w:after="0"/>
              <w:pBdr>
                <w:left w:val="single" w:sz="16" w:space="8" w:color="B42318"/>
              </w:pBdr>
            </w:pPr>
            <w:r>
              <w:t>The implementation plan's suggestion to use nca.compliance@gmail.com with SMTP/app credentials should not be followed. It conflicts with the requested datacollection@nca.org.gh identity, the observed Microsoft 365 domain, least-privilege controls, shared-mailbox auditability and records retention.</w:t>
            </w:r>
          </w:p>
        </w:tc>
      </w:tr>
    </w:tbl>
    <w:p>
      <w:pPr>
        <w:spacing w:after="0"/>
      </w:pPr>
    </w:p>
    <w:p>
      <w:r>
        <w:br w:type="page"/>
      </w:r>
    </w:p>
    <w:p>
      <w:pPr>
        <w:pStyle w:val="Heading1"/>
      </w:pPr>
      <w:r>
        <w:t>2. Direct answers to the seven email-integration goals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600"/>
            <w:shd w:fill="F2F4F7"/>
            <w:tcMar>
              <w:top w:w="80" w:type="dxa"/>
              <w:start w:w="120" w:type="dxa"/>
              <w:bottom w:w="80" w:type="dxa"/>
              <w:end w:w="120" w:type="dxa"/>
            </w:tcMar>
            <w:vAlign w:val="center"/>
          </w:tcPr>
          <w:p>
            <w:pPr>
              <w:spacing w:after="0"/>
            </w:pPr>
            <w:r>
              <w:rPr>
                <w:rFonts w:ascii="Calibri" w:hAnsi="Calibri" w:eastAsia="Calibri"/>
                <w:b/>
                <w:color w:val="163A5F"/>
                <w:sz w:val="17"/>
              </w:rPr>
              <w:t>Goal</w:t>
            </w:r>
          </w:p>
        </w:tc>
        <w:tc>
          <w:tcPr>
            <w:tcW w:type="dxa" w:w="5900"/>
            <w:shd w:fill="F2F4F7"/>
            <w:tcMar>
              <w:top w:w="80" w:type="dxa"/>
              <w:start w:w="120" w:type="dxa"/>
              <w:bottom w:w="80" w:type="dxa"/>
              <w:end w:w="120" w:type="dxa"/>
            </w:tcMar>
            <w:vAlign w:val="center"/>
          </w:tcPr>
          <w:p>
            <w:pPr>
              <w:spacing w:after="0"/>
            </w:pPr>
            <w:r>
              <w:rPr>
                <w:rFonts w:ascii="Calibri" w:hAnsi="Calibri" w:eastAsia="Calibri"/>
                <w:b/>
                <w:color w:val="163A5F"/>
                <w:sz w:val="17"/>
              </w:rPr>
              <w:t>Recommended answer</w:t>
            </w:r>
          </w:p>
        </w:tc>
        <w:tc>
          <w:tcPr>
            <w:tcW w:type="dxa" w:w="1860"/>
            <w:shd w:fill="F2F4F7"/>
            <w:tcMar>
              <w:top w:w="80" w:type="dxa"/>
              <w:start w:w="120" w:type="dxa"/>
              <w:bottom w:w="80" w:type="dxa"/>
              <w:end w:w="120" w:type="dxa"/>
            </w:tcMar>
            <w:vAlign w:val="center"/>
          </w:tcPr>
          <w:p>
            <w:pPr>
              <w:spacing w:after="0"/>
            </w:pPr>
            <w:r>
              <w:rPr>
                <w:rFonts w:ascii="Calibri" w:hAnsi="Calibri" w:eastAsia="Calibri"/>
                <w:b/>
                <w:color w:val="163A5F"/>
                <w:sz w:val="17"/>
              </w:rPr>
              <w:t>Accountable owner</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1. Set email account</w:t>
            </w:r>
          </w:p>
        </w:tc>
        <w:tc>
          <w:tcPr>
            <w:tcW w:type="dxa" w:w="5900"/>
            <w:tcMar>
              <w:top w:w="80" w:type="dxa"/>
              <w:start w:w="120" w:type="dxa"/>
              <w:bottom w:w="80" w:type="dxa"/>
              <w:end w:w="120" w:type="dxa"/>
            </w:tcMar>
            <w:vAlign w:val="top"/>
          </w:tcPr>
          <w:p>
            <w:pPr>
              <w:spacing w:after="0"/>
            </w:pPr>
            <w:r>
              <w:rPr>
                <w:rFonts w:ascii="Calibri" w:hAnsi="Calibri" w:eastAsia="Calibri"/>
                <w:sz w:val="17"/>
              </w:rPr>
              <w:t>Provision or confirm datacollection@nca.org.gh as an Exchange Online shared mailbox, with named delegates, no shared password, disabled interactive sign-in for any underlying account, mailbox auditing, sent-item copying, retention, Defender protections and a documented owner.</w:t>
            </w:r>
          </w:p>
        </w:tc>
        <w:tc>
          <w:tcPr>
            <w:tcW w:type="dxa" w:w="1860"/>
            <w:tcMar>
              <w:top w:w="80" w:type="dxa"/>
              <w:start w:w="120" w:type="dxa"/>
              <w:bottom w:w="80" w:type="dxa"/>
              <w:end w:w="120" w:type="dxa"/>
            </w:tcMar>
            <w:vAlign w:val="top"/>
          </w:tcPr>
          <w:p>
            <w:pPr>
              <w:spacing w:after="0"/>
            </w:pPr>
            <w:r>
              <w:rPr>
                <w:rFonts w:ascii="Calibri" w:hAnsi="Calibri" w:eastAsia="Calibri"/>
                <w:sz w:val="17"/>
              </w:rPr>
              <w:t>M365 administrator + Records + Cybersecurity</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2. Be copied on all data-collection matters</w:t>
            </w:r>
          </w:p>
        </w:tc>
        <w:tc>
          <w:tcPr>
            <w:tcW w:type="dxa" w:w="5900"/>
            <w:tcMar>
              <w:top w:w="80" w:type="dxa"/>
              <w:start w:w="120" w:type="dxa"/>
              <w:bottom w:w="80" w:type="dxa"/>
              <w:end w:w="120" w:type="dxa"/>
            </w:tcMar>
            <w:vAlign w:val="top"/>
          </w:tcPr>
          <w:p>
            <w:pPr>
              <w:spacing w:after="0"/>
            </w:pPr>
            <w:r>
              <w:rPr>
                <w:rFonts w:ascii="Calibri" w:hAnsi="Calibri" w:eastAsia="Calibri"/>
                <w:sz w:val="17"/>
              </w:rPr>
              <w:t>Make the shared mailbox the From/Reply-To address for system messages and the published address for replies. For exceptional officer-originated messages, use a narrowly scoped mail-flow rule based on an approved sender group plus case token/header. Do not Bcc unrelated mail.</w:t>
            </w:r>
          </w:p>
        </w:tc>
        <w:tc>
          <w:tcPr>
            <w:tcW w:type="dxa" w:w="1860"/>
            <w:tcMar>
              <w:top w:w="80" w:type="dxa"/>
              <w:start w:w="120" w:type="dxa"/>
              <w:bottom w:w="80" w:type="dxa"/>
              <w:end w:w="120" w:type="dxa"/>
            </w:tcMar>
            <w:vAlign w:val="top"/>
          </w:tcPr>
          <w:p>
            <w:pPr>
              <w:spacing w:after="0"/>
            </w:pPr>
            <w:r>
              <w:rPr>
                <w:rFonts w:ascii="Calibri" w:hAnsi="Calibri" w:eastAsia="Calibri"/>
                <w:sz w:val="17"/>
              </w:rPr>
              <w:t>Service owner + M365 administrator</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3. Track collection progress</w:t>
            </w:r>
          </w:p>
        </w:tc>
        <w:tc>
          <w:tcPr>
            <w:tcW w:type="dxa" w:w="5900"/>
            <w:tcMar>
              <w:top w:w="80" w:type="dxa"/>
              <w:start w:w="120" w:type="dxa"/>
              <w:bottom w:w="80" w:type="dxa"/>
              <w:end w:w="120" w:type="dxa"/>
            </w:tcMar>
            <w:vAlign w:val="top"/>
          </w:tcPr>
          <w:p>
            <w:pPr>
              <w:spacing w:after="0"/>
            </w:pPr>
            <w:r>
              <w:rPr>
                <w:rFonts w:ascii="Calibri" w:hAnsi="Calibri" w:eastAsia="Calibri"/>
                <w:sz w:val="17"/>
              </w:rPr>
              <w:t>Link every message to a RegulatoryCase/ExpectedSubmission and record events on its timeline. Derive dashboards from workflow and due-date data, not from unread/read state. Use overdue/SLA rules and reconciliation jobs.</w:t>
            </w:r>
          </w:p>
        </w:tc>
        <w:tc>
          <w:tcPr>
            <w:tcW w:type="dxa" w:w="1860"/>
            <w:tcMar>
              <w:top w:w="80" w:type="dxa"/>
              <w:start w:w="120" w:type="dxa"/>
              <w:bottom w:w="80" w:type="dxa"/>
              <w:end w:w="120" w:type="dxa"/>
            </w:tcMar>
            <w:vAlign w:val="top"/>
          </w:tcPr>
          <w:p>
            <w:pPr>
              <w:spacing w:after="0"/>
            </w:pPr>
            <w:r>
              <w:rPr>
                <w:rFonts w:ascii="Calibri" w:hAnsi="Calibri" w:eastAsia="Calibri"/>
                <w:sz w:val="17"/>
              </w:rPr>
              <w:t>Compliance operations</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4. Draft responses</w:t>
            </w:r>
          </w:p>
        </w:tc>
        <w:tc>
          <w:tcPr>
            <w:tcW w:type="dxa" w:w="5900"/>
            <w:tcMar>
              <w:top w:w="80" w:type="dxa"/>
              <w:start w:w="120" w:type="dxa"/>
              <w:bottom w:w="80" w:type="dxa"/>
              <w:end w:w="120" w:type="dxa"/>
            </w:tcMar>
            <w:vAlign w:val="top"/>
          </w:tcPr>
          <w:p>
            <w:pPr>
              <w:spacing w:after="0"/>
            </w:pPr>
            <w:r>
              <w:rPr>
                <w:rFonts w:ascii="Calibri" w:hAnsi="Calibri" w:eastAsia="Calibri"/>
                <w:sz w:val="17"/>
              </w:rPr>
              <w:t>Generate a draft from verified case facts and a versioned template. Show source facts, legal basis, missing fields, due dates and uncertainty. Require officer approval; require supervisor/Legal approval for correction, overdue, penalty and final notices.</w:t>
            </w:r>
          </w:p>
        </w:tc>
        <w:tc>
          <w:tcPr>
            <w:tcW w:type="dxa" w:w="1860"/>
            <w:tcMar>
              <w:top w:w="80" w:type="dxa"/>
              <w:start w:w="120" w:type="dxa"/>
              <w:bottom w:w="80" w:type="dxa"/>
              <w:end w:w="120" w:type="dxa"/>
            </w:tcMar>
            <w:vAlign w:val="top"/>
          </w:tcPr>
          <w:p>
            <w:pPr>
              <w:spacing w:after="0"/>
            </w:pPr>
            <w:r>
              <w:rPr>
                <w:rFonts w:ascii="Calibri" w:hAnsi="Calibri" w:eastAsia="Calibri"/>
                <w:sz w:val="17"/>
              </w:rPr>
              <w:t>Assigned officer / approver</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5. Information on penalties</w:t>
            </w:r>
          </w:p>
        </w:tc>
        <w:tc>
          <w:tcPr>
            <w:tcW w:type="dxa" w:w="5900"/>
            <w:tcMar>
              <w:top w:w="80" w:type="dxa"/>
              <w:start w:w="120" w:type="dxa"/>
              <w:bottom w:w="80" w:type="dxa"/>
              <w:end w:w="120" w:type="dxa"/>
            </w:tcMar>
            <w:vAlign w:val="top"/>
          </w:tcPr>
          <w:p>
            <w:pPr>
              <w:spacing w:after="0"/>
            </w:pPr>
            <w:r>
              <w:rPr>
                <w:rFonts w:ascii="Calibri" w:hAnsi="Calibri" w:eastAsia="Calibri"/>
                <w:sz w:val="17"/>
              </w:rPr>
              <w:t>Create a legally approved, effective-dated PenaltyRule register. Separate rules from case-specific assessments. Display “potential exposure” internally until authorised; keep calculation evidence and the exact approved notice.</w:t>
            </w:r>
          </w:p>
        </w:tc>
        <w:tc>
          <w:tcPr>
            <w:tcW w:type="dxa" w:w="1860"/>
            <w:tcMar>
              <w:top w:w="80" w:type="dxa"/>
              <w:start w:w="120" w:type="dxa"/>
              <w:bottom w:w="80" w:type="dxa"/>
              <w:end w:w="120" w:type="dxa"/>
            </w:tcMar>
            <w:vAlign w:val="top"/>
          </w:tcPr>
          <w:p>
            <w:pPr>
              <w:spacing w:after="0"/>
            </w:pPr>
            <w:r>
              <w:rPr>
                <w:rFonts w:ascii="Calibri" w:hAnsi="Calibri" w:eastAsia="Calibri"/>
                <w:sz w:val="17"/>
              </w:rPr>
              <w:t>Legal + authorised decision-maker</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6. Track applications, done/due/penalties</w:t>
            </w:r>
          </w:p>
        </w:tc>
        <w:tc>
          <w:tcPr>
            <w:tcW w:type="dxa" w:w="5900"/>
            <w:tcMar>
              <w:top w:w="80" w:type="dxa"/>
              <w:start w:w="120" w:type="dxa"/>
              <w:bottom w:w="80" w:type="dxa"/>
              <w:end w:w="120" w:type="dxa"/>
            </w:tcMar>
            <w:vAlign w:val="top"/>
          </w:tcPr>
          <w:p>
            <w:pPr>
              <w:spacing w:after="0"/>
            </w:pPr>
            <w:r>
              <w:rPr>
                <w:rFonts w:ascii="Calibri" w:hAnsi="Calibri" w:eastAsia="Calibri"/>
                <w:sz w:val="17"/>
              </w:rPr>
              <w:t>Add a general RegulatoryCase and, if licensing is in scope, an Application subtype with stages, statutory/service deadlines, tasks, decisions and correspondence. The current data-return model is not enough for applications.</w:t>
            </w:r>
          </w:p>
        </w:tc>
        <w:tc>
          <w:tcPr>
            <w:tcW w:type="dxa" w:w="1860"/>
            <w:tcMar>
              <w:top w:w="80" w:type="dxa"/>
              <w:start w:w="120" w:type="dxa"/>
              <w:bottom w:w="80" w:type="dxa"/>
              <w:end w:w="120" w:type="dxa"/>
            </w:tcMar>
            <w:vAlign w:val="top"/>
          </w:tcPr>
          <w:p>
            <w:pPr>
              <w:spacing w:after="0"/>
            </w:pPr>
            <w:r>
              <w:rPr>
                <w:rFonts w:ascii="Calibri" w:hAnsi="Calibri" w:eastAsia="Calibri"/>
                <w:sz w:val="17"/>
              </w:rPr>
              <w:t>Product owner + Legal + Licensing</w:t>
            </w:r>
          </w:p>
        </w:tc>
      </w:tr>
      <w:tr>
        <w:trPr>
          <w:cantSplit/>
        </w:trPr>
        <w:tc>
          <w:tcPr>
            <w:tcW w:type="dxa" w:w="1600"/>
            <w:tcMar>
              <w:top w:w="80" w:type="dxa"/>
              <w:start w:w="120" w:type="dxa"/>
              <w:bottom w:w="80" w:type="dxa"/>
              <w:end w:w="120" w:type="dxa"/>
            </w:tcMar>
            <w:vAlign w:val="top"/>
          </w:tcPr>
          <w:p>
            <w:pPr>
              <w:spacing w:after="0"/>
            </w:pPr>
            <w:r>
              <w:rPr>
                <w:rFonts w:ascii="Calibri" w:hAnsi="Calibri" w:eastAsia="Calibri"/>
                <w:sz w:val="17"/>
              </w:rPr>
              <w:t>7. Break down replies into data points</w:t>
            </w:r>
          </w:p>
        </w:tc>
        <w:tc>
          <w:tcPr>
            <w:tcW w:type="dxa" w:w="5900"/>
            <w:tcMar>
              <w:top w:w="80" w:type="dxa"/>
              <w:start w:w="120" w:type="dxa"/>
              <w:bottom w:w="80" w:type="dxa"/>
              <w:end w:w="120" w:type="dxa"/>
            </w:tcMar>
            <w:vAlign w:val="top"/>
          </w:tcPr>
          <w:p>
            <w:pPr>
              <w:spacing w:after="0"/>
            </w:pPr>
            <w:r>
              <w:rPr>
                <w:rFonts w:ascii="Calibri" w:hAnsi="Calibri" w:eastAsia="Calibri"/>
                <w:sz w:val="17"/>
              </w:rPr>
              <w:t>Yes—capture raw evidence, scan it, resolve the case, parse structured formats first, extract into a fixed schema, validate, score confidence and ask an officer to confirm. Never silently overwrite submitted values.</w:t>
            </w:r>
          </w:p>
        </w:tc>
        <w:tc>
          <w:tcPr>
            <w:tcW w:type="dxa" w:w="1860"/>
            <w:tcMar>
              <w:top w:w="80" w:type="dxa"/>
              <w:start w:w="120" w:type="dxa"/>
              <w:bottom w:w="80" w:type="dxa"/>
              <w:end w:w="120" w:type="dxa"/>
            </w:tcMar>
            <w:vAlign w:val="top"/>
          </w:tcPr>
          <w:p>
            <w:pPr>
              <w:spacing w:after="0"/>
            </w:pPr>
            <w:r>
              <w:rPr>
                <w:rFonts w:ascii="Calibri" w:hAnsi="Calibri" w:eastAsia="Calibri"/>
                <w:sz w:val="17"/>
              </w:rPr>
              <w:t>Data steward + assigned officer</w:t>
            </w:r>
          </w:p>
        </w:tc>
      </w:tr>
    </w:tbl>
    <w:p>
      <w:pPr>
        <w:spacing w:after="20"/>
      </w:pPr>
    </w:p>
    <w:p>
      <w:pPr>
        <w:pStyle w:val="Heading2"/>
      </w:pPr>
      <w:r>
        <w:t>2.1 What “tracking progress” should mean</w:t>
      </w:r>
    </w:p>
    <w:p>
      <w:r>
        <w:t>A reliable dashboard must not compress every concept into one status. The following four dimensions should remain separate and be shown together:</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550"/>
            <w:shd w:fill="F2F4F7"/>
            <w:tcMar>
              <w:top w:w="80" w:type="dxa"/>
              <w:start w:w="120" w:type="dxa"/>
              <w:bottom w:w="80" w:type="dxa"/>
              <w:end w:w="120" w:type="dxa"/>
            </w:tcMar>
            <w:vAlign w:val="center"/>
          </w:tcPr>
          <w:p>
            <w:pPr>
              <w:spacing w:after="0"/>
            </w:pPr>
            <w:r>
              <w:rPr>
                <w:rFonts w:ascii="Calibri" w:hAnsi="Calibri" w:eastAsia="Calibri"/>
                <w:b/>
                <w:color w:val="163A5F"/>
                <w:sz w:val="17"/>
              </w:rPr>
              <w:t>Dimension</w:t>
            </w:r>
          </w:p>
        </w:tc>
        <w:tc>
          <w:tcPr>
            <w:tcW w:type="dxa" w:w="3650"/>
            <w:shd w:fill="F2F4F7"/>
            <w:tcMar>
              <w:top w:w="80" w:type="dxa"/>
              <w:start w:w="120" w:type="dxa"/>
              <w:bottom w:w="80" w:type="dxa"/>
              <w:end w:w="120" w:type="dxa"/>
            </w:tcMar>
            <w:vAlign w:val="center"/>
          </w:tcPr>
          <w:p>
            <w:pPr>
              <w:spacing w:after="0"/>
            </w:pPr>
            <w:r>
              <w:rPr>
                <w:rFonts w:ascii="Calibri" w:hAnsi="Calibri" w:eastAsia="Calibri"/>
                <w:b/>
                <w:color w:val="163A5F"/>
                <w:sz w:val="17"/>
              </w:rPr>
              <w:t>Example states</w:t>
            </w:r>
          </w:p>
        </w:tc>
        <w:tc>
          <w:tcPr>
            <w:tcW w:type="dxa" w:w="4160"/>
            <w:shd w:fill="F2F4F7"/>
            <w:tcMar>
              <w:top w:w="80" w:type="dxa"/>
              <w:start w:w="120" w:type="dxa"/>
              <w:bottom w:w="80" w:type="dxa"/>
              <w:end w:w="120" w:type="dxa"/>
            </w:tcMar>
            <w:vAlign w:val="center"/>
          </w:tcPr>
          <w:p>
            <w:pPr>
              <w:spacing w:after="0"/>
            </w:pPr>
            <w:r>
              <w:rPr>
                <w:rFonts w:ascii="Calibri" w:hAnsi="Calibri" w:eastAsia="Calibri"/>
                <w:b/>
                <w:color w:val="163A5F"/>
                <w:sz w:val="17"/>
              </w:rPr>
              <w:t>Why it is separate</w:t>
            </w:r>
          </w:p>
        </w:tc>
      </w:tr>
      <w:tr>
        <w:trPr>
          <w:cantSplit/>
        </w:trPr>
        <w:tc>
          <w:tcPr>
            <w:tcW w:type="dxa" w:w="1550"/>
            <w:tcMar>
              <w:top w:w="80" w:type="dxa"/>
              <w:start w:w="120" w:type="dxa"/>
              <w:bottom w:w="80" w:type="dxa"/>
              <w:end w:w="120" w:type="dxa"/>
            </w:tcMar>
            <w:vAlign w:val="top"/>
          </w:tcPr>
          <w:p>
            <w:pPr>
              <w:spacing w:after="0"/>
            </w:pPr>
            <w:r>
              <w:rPr>
                <w:rFonts w:ascii="Calibri" w:hAnsi="Calibri" w:eastAsia="Calibri"/>
                <w:sz w:val="17"/>
              </w:rPr>
              <w:t>Transport</w:t>
            </w:r>
          </w:p>
        </w:tc>
        <w:tc>
          <w:tcPr>
            <w:tcW w:type="dxa" w:w="3650"/>
            <w:tcMar>
              <w:top w:w="80" w:type="dxa"/>
              <w:start w:w="120" w:type="dxa"/>
              <w:bottom w:w="80" w:type="dxa"/>
              <w:end w:w="120" w:type="dxa"/>
            </w:tcMar>
            <w:vAlign w:val="top"/>
          </w:tcPr>
          <w:p>
            <w:pPr>
              <w:spacing w:after="0"/>
            </w:pPr>
            <w:r>
              <w:rPr>
                <w:rFonts w:ascii="Calibri" w:hAnsi="Calibri" w:eastAsia="Calibri"/>
                <w:sz w:val="17"/>
              </w:rPr>
              <w:t>Drafted; queued; Graph accepted; sent-item confirmed; bounced; delivery unknown</w:t>
            </w:r>
          </w:p>
        </w:tc>
        <w:tc>
          <w:tcPr>
            <w:tcW w:type="dxa" w:w="4160"/>
            <w:tcMar>
              <w:top w:w="80" w:type="dxa"/>
              <w:start w:w="120" w:type="dxa"/>
              <w:bottom w:w="80" w:type="dxa"/>
              <w:end w:w="120" w:type="dxa"/>
            </w:tcMar>
            <w:vAlign w:val="top"/>
          </w:tcPr>
          <w:p>
            <w:pPr>
              <w:spacing w:after="0"/>
            </w:pPr>
            <w:r>
              <w:rPr>
                <w:rFonts w:ascii="Calibri" w:hAnsi="Calibri" w:eastAsia="Calibri"/>
                <w:sz w:val="17"/>
              </w:rPr>
              <w:t>Graph sendMail returning 202 means accepted for processing, not final delivery. NDRs and message tracing must be reconciled. [12]</w:t>
            </w:r>
          </w:p>
        </w:tc>
      </w:tr>
      <w:tr>
        <w:trPr>
          <w:cantSplit/>
        </w:trPr>
        <w:tc>
          <w:tcPr>
            <w:tcW w:type="dxa" w:w="1550"/>
            <w:tcMar>
              <w:top w:w="80" w:type="dxa"/>
              <w:start w:w="120" w:type="dxa"/>
              <w:bottom w:w="80" w:type="dxa"/>
              <w:end w:w="120" w:type="dxa"/>
            </w:tcMar>
            <w:vAlign w:val="top"/>
          </w:tcPr>
          <w:p>
            <w:pPr>
              <w:spacing w:after="0"/>
            </w:pPr>
            <w:r>
              <w:rPr>
                <w:rFonts w:ascii="Calibri" w:hAnsi="Calibri" w:eastAsia="Calibri"/>
                <w:sz w:val="17"/>
              </w:rPr>
              <w:t>Correspondence</w:t>
            </w:r>
          </w:p>
        </w:tc>
        <w:tc>
          <w:tcPr>
            <w:tcW w:type="dxa" w:w="3650"/>
            <w:tcMar>
              <w:top w:w="80" w:type="dxa"/>
              <w:start w:w="120" w:type="dxa"/>
              <w:bottom w:w="80" w:type="dxa"/>
              <w:end w:w="120" w:type="dxa"/>
            </w:tcMar>
            <w:vAlign w:val="top"/>
          </w:tcPr>
          <w:p>
            <w:pPr>
              <w:spacing w:after="0"/>
            </w:pPr>
            <w:r>
              <w:rPr>
                <w:rFonts w:ascii="Calibri" w:hAnsi="Calibri" w:eastAsia="Calibri"/>
                <w:sz w:val="17"/>
              </w:rPr>
              <w:t>Untriaged; linked; needs review; responded; closed</w:t>
            </w:r>
          </w:p>
        </w:tc>
        <w:tc>
          <w:tcPr>
            <w:tcW w:type="dxa" w:w="4160"/>
            <w:tcMar>
              <w:top w:w="80" w:type="dxa"/>
              <w:start w:w="120" w:type="dxa"/>
              <w:bottom w:w="80" w:type="dxa"/>
              <w:end w:w="120" w:type="dxa"/>
            </w:tcMar>
            <w:vAlign w:val="top"/>
          </w:tcPr>
          <w:p>
            <w:pPr>
              <w:spacing w:after="0"/>
            </w:pPr>
            <w:r>
              <w:rPr>
                <w:rFonts w:ascii="Calibri" w:hAnsi="Calibri" w:eastAsia="Calibri"/>
                <w:sz w:val="17"/>
              </w:rPr>
              <w:t>Shows whether the NCA has handled the communication.</w:t>
            </w:r>
          </w:p>
        </w:tc>
      </w:tr>
      <w:tr>
        <w:trPr>
          <w:cantSplit/>
        </w:trPr>
        <w:tc>
          <w:tcPr>
            <w:tcW w:type="dxa" w:w="1550"/>
            <w:tcMar>
              <w:top w:w="80" w:type="dxa"/>
              <w:start w:w="120" w:type="dxa"/>
              <w:bottom w:w="80" w:type="dxa"/>
              <w:end w:w="120" w:type="dxa"/>
            </w:tcMar>
            <w:vAlign w:val="top"/>
          </w:tcPr>
          <w:p>
            <w:pPr>
              <w:spacing w:after="0"/>
            </w:pPr>
            <w:r>
              <w:rPr>
                <w:rFonts w:ascii="Calibri" w:hAnsi="Calibri" w:eastAsia="Calibri"/>
                <w:sz w:val="17"/>
              </w:rPr>
              <w:t>Case workflow</w:t>
            </w:r>
          </w:p>
        </w:tc>
        <w:tc>
          <w:tcPr>
            <w:tcW w:type="dxa" w:w="3650"/>
            <w:tcMar>
              <w:top w:w="80" w:type="dxa"/>
              <w:start w:w="120" w:type="dxa"/>
              <w:bottom w:w="80" w:type="dxa"/>
              <w:end w:w="120" w:type="dxa"/>
            </w:tcMar>
            <w:vAlign w:val="top"/>
          </w:tcPr>
          <w:p>
            <w:pPr>
              <w:spacing w:after="0"/>
            </w:pPr>
            <w:r>
              <w:rPr>
                <w:rFonts w:ascii="Calibri" w:hAnsi="Calibri" w:eastAsia="Calibri"/>
                <w:sz w:val="17"/>
              </w:rPr>
              <w:t>Not started; draft; submitted; under review; correction requested; approved</w:t>
            </w:r>
          </w:p>
        </w:tc>
        <w:tc>
          <w:tcPr>
            <w:tcW w:type="dxa" w:w="4160"/>
            <w:tcMar>
              <w:top w:w="80" w:type="dxa"/>
              <w:start w:w="120" w:type="dxa"/>
              <w:bottom w:w="80" w:type="dxa"/>
              <w:end w:w="120" w:type="dxa"/>
            </w:tcMar>
            <w:vAlign w:val="top"/>
          </w:tcPr>
          <w:p>
            <w:pPr>
              <w:spacing w:after="0"/>
            </w:pPr>
            <w:r>
              <w:rPr>
                <w:rFonts w:ascii="Calibri" w:hAnsi="Calibri" w:eastAsia="Calibri"/>
                <w:sz w:val="17"/>
              </w:rPr>
              <w:t>Represents the official return/application progress.</w:t>
            </w:r>
          </w:p>
        </w:tc>
      </w:tr>
      <w:tr>
        <w:trPr>
          <w:cantSplit/>
        </w:trPr>
        <w:tc>
          <w:tcPr>
            <w:tcW w:type="dxa" w:w="1550"/>
            <w:tcMar>
              <w:top w:w="80" w:type="dxa"/>
              <w:start w:w="120" w:type="dxa"/>
              <w:bottom w:w="80" w:type="dxa"/>
              <w:end w:w="120" w:type="dxa"/>
            </w:tcMar>
            <w:vAlign w:val="top"/>
          </w:tcPr>
          <w:p>
            <w:pPr>
              <w:spacing w:after="0"/>
            </w:pPr>
            <w:r>
              <w:rPr>
                <w:rFonts w:ascii="Calibri" w:hAnsi="Calibri" w:eastAsia="Calibri"/>
                <w:sz w:val="17"/>
              </w:rPr>
              <w:t>Enforcement</w:t>
            </w:r>
          </w:p>
        </w:tc>
        <w:tc>
          <w:tcPr>
            <w:tcW w:type="dxa" w:w="3650"/>
            <w:tcMar>
              <w:top w:w="80" w:type="dxa"/>
              <w:start w:w="120" w:type="dxa"/>
              <w:bottom w:w="80" w:type="dxa"/>
              <w:end w:w="120" w:type="dxa"/>
            </w:tcMar>
            <w:vAlign w:val="top"/>
          </w:tcPr>
          <w:p>
            <w:pPr>
              <w:spacing w:after="0"/>
            </w:pPr>
            <w:r>
              <w:rPr>
                <w:rFonts w:ascii="Calibri" w:hAnsi="Calibri" w:eastAsia="Calibri"/>
                <w:sz w:val="17"/>
              </w:rPr>
              <w:t>No action; warning considered; warning approved; notice issued; response due; assessment; decision; review/appeal</w:t>
            </w:r>
          </w:p>
        </w:tc>
        <w:tc>
          <w:tcPr>
            <w:tcW w:type="dxa" w:w="4160"/>
            <w:tcMar>
              <w:top w:w="80" w:type="dxa"/>
              <w:start w:w="120" w:type="dxa"/>
              <w:bottom w:w="80" w:type="dxa"/>
              <w:end w:w="120" w:type="dxa"/>
            </w:tcMar>
            <w:vAlign w:val="top"/>
          </w:tcPr>
          <w:p>
            <w:pPr>
              <w:spacing w:after="0"/>
            </w:pPr>
            <w:r>
              <w:rPr>
                <w:rFonts w:ascii="Calibri" w:hAnsi="Calibri" w:eastAsia="Calibri"/>
                <w:sz w:val="17"/>
              </w:rPr>
              <w:t>Requires different authority, evidence and procedural safeguards.</w:t>
            </w:r>
          </w:p>
        </w:tc>
      </w:tr>
    </w:tbl>
    <w:p>
      <w:pPr>
        <w:spacing w:after="20"/>
      </w:pPr>
    </w:p>
    <w:p>
      <w:pPr>
        <w:pStyle w:val="Heading2"/>
      </w:pPr>
      <w:r>
        <w:t>2.2 Recommended subject and routing convention</w:t>
      </w:r>
    </w:p>
    <w:tbl>
      <w:tblPr>
        <w:tblW w:type="dxa" w:w="9360"/>
        <w:jc w:val="center"/>
        <w:tblLayout w:type="fixed"/>
        <w:tblLook w:firstColumn="1" w:firstRow="1" w:lastColumn="0" w:lastRow="0" w:noHBand="0" w:noVBand="1" w:val="04A0"/>
      </w:tblPr>
      <w:tblGrid>
        <w:gridCol w:w="9360"/>
      </w:tblGrid>
      <w:tr>
        <w:tc>
          <w:tcPr>
            <w:tcW w:type="dxa" w:w="9360"/>
            <w:shd w:fill="EAF3F8"/>
            <w:tcMar>
              <w:top w:w="130" w:type="dxa"/>
              <w:start w:w="180" w:type="dxa"/>
              <w:bottom w:w="130" w:type="dxa"/>
              <w:end w:w="180" w:type="dxa"/>
            </w:tcMar>
          </w:tcPr>
          <w:p>
            <w:pPr>
              <w:spacing w:after="60"/>
            </w:pPr>
            <w:r>
              <w:rPr>
                <w:rFonts w:ascii="Calibri" w:hAnsi="Calibri" w:eastAsia="Calibri"/>
                <w:b/>
                <w:color w:val="2E74B5"/>
                <w:sz w:val="21"/>
              </w:rPr>
              <w:t>Stable case token</w:t>
            </w:r>
          </w:p>
          <w:p>
            <w:pPr>
              <w:spacing w:after="0"/>
              <w:pBdr>
                <w:left w:val="single" w:sz="16" w:space="8" w:color="2E74B5"/>
              </w:pBdr>
            </w:pPr>
            <w:r>
              <w:t>Use a non-secret, signed or server-validated token in every system-generated subject and Reply-To flow, for example: [NCA-DC:7F4K-82QD] Q2 2026 QoS Return — correction response due 14 August 2026. Preserve In-Reply-To and References headers as secondary threading evidence.</w:t>
            </w:r>
          </w:p>
        </w:tc>
      </w:tr>
    </w:tbl>
    <w:p>
      <w:pPr>
        <w:spacing w:after="0"/>
      </w:pPr>
    </w:p>
    <w:p>
      <w:r>
        <w:t>The case token is a routing identifier, not an authentication factor. A sender can copy it. Case linkage should also test the expected correspondent, provider domain/contact, conversation and message headers, reporting period, form and attachment structure. Ambiguous matches go to a triage queue.</w:t>
      </w:r>
    </w:p>
    <w:p>
      <w:r>
        <w:br w:type="page"/>
      </w:r>
    </w:p>
    <w:p>
      <w:pPr>
        <w:pStyle w:val="Heading1"/>
      </w:pPr>
      <w:r>
        <w:t>3. Legal and regulatory foundation</w:t>
      </w:r>
    </w:p>
    <w:tbl>
      <w:tblPr>
        <w:tblW w:type="dxa" w:w="9360"/>
        <w:jc w:val="center"/>
        <w:tblLayout w:type="fixed"/>
        <w:tblLook w:firstColumn="1" w:firstRow="1" w:lastColumn="0" w:lastRow="0" w:noHBand="0" w:noVBand="1" w:val="04A0"/>
      </w:tblPr>
      <w:tblGrid>
        <w:gridCol w:w="9360"/>
      </w:tblGrid>
      <w:tr>
        <w:tc>
          <w:tcPr>
            <w:tcW w:type="dxa" w:w="9360"/>
            <w:shd w:fill="FFF7E6"/>
            <w:tcMar>
              <w:top w:w="130" w:type="dxa"/>
              <w:start w:w="180" w:type="dxa"/>
              <w:bottom w:w="130" w:type="dxa"/>
              <w:end w:w="180" w:type="dxa"/>
            </w:tcMar>
          </w:tcPr>
          <w:p>
            <w:pPr>
              <w:spacing w:after="60"/>
            </w:pPr>
            <w:r>
              <w:rPr>
                <w:rFonts w:ascii="Calibri" w:hAnsi="Calibri" w:eastAsia="Calibri"/>
                <w:b/>
                <w:color w:val="F59E0B"/>
                <w:sz w:val="21"/>
              </w:rPr>
              <w:t>Legal control principle</w:t>
            </w:r>
          </w:p>
          <w:p>
            <w:pPr>
              <w:spacing w:after="0"/>
              <w:pBdr>
                <w:left w:val="single" w:sz="16" w:space="8" w:color="F59E0B"/>
              </w:pBdr>
            </w:pPr>
            <w:r>
              <w:t>The technology may support a regulatory process, but it must not invent the obligation, due date, accepted filing channel, extension, penalty trigger or decision. Those must be traceable to an approved legal source and applied with procedural fairness.</w:t>
            </w:r>
          </w:p>
        </w:tc>
      </w:tr>
    </w:tbl>
    <w:p>
      <w:pPr>
        <w:spacing w:after="0"/>
      </w:pPr>
    </w:p>
    <w:p>
      <w:pPr>
        <w:pStyle w:val="Heading2"/>
      </w:pPr>
      <w:r>
        <w:t>3.1 Authority to collect information and monitor compliance</w:t>
      </w:r>
    </w:p>
    <w:p>
      <w:r>
        <w:t>Act 769 empowers the NCA to establish and monitor communications standards, ensure compliance, regulate and monitor licensees, establish reporting requirements and obtain information necessary to perform its functions. It also requires regulatory principles including transparency, accountability, proportionality and consistency. Section 25 requires timeous and procedurally fair decision-making, an opportunity to submit or be heard where a decision adversely affects a person, written reasons and notification. [1]</w:t>
      </w:r>
    </w:p>
    <w:p>
      <w:r>
        <w:t>Act 775 permits licence conditions that require documents and information to be provided to the Authority and authorises pecuniary penalties for licence breaches, while requiring the Authority to specify penalty circumstances and basis through the prescribed public mechanisms. It also creates an offence for knowingly giving false or misleading information. [2]</w:t>
      </w:r>
    </w:p>
    <w:p>
      <w:r>
        <w:t>L.I. 1991 requires specified licensees to submit documents, accounts, estimates, returns and other information in the manner and at times reasonably required, and contemplates sanctions for non-compliance. It also recognises filing/receipt and contains confidentiality-related provisions. [3]</w:t>
      </w:r>
    </w:p>
    <w:p>
      <w:pPr>
        <w:pStyle w:val="Heading2"/>
      </w:pPr>
      <w:r>
        <w:t>3.2 Published penalty information</w:t>
      </w:r>
    </w:p>
    <w:p>
      <w:r>
        <w:t>The NCA-published Schedule of Penalties includes, among other entries, GH¢10,000 for each day that failure to respond in time to a request for information persists; GH¢10,000 per day for late or failed submission of a required report or plan; and GH¢10,000 per day for failing to submit documents, accounts, returns or other information as required. It also lists sanctions for misrepresentation or material omission in an application, report or response. [4]</w:t>
      </w:r>
    </w:p>
    <w:tbl>
      <w:tblPr>
        <w:tblW w:type="dxa" w:w="9360"/>
        <w:jc w:val="center"/>
        <w:tblLayout w:type="fixed"/>
        <w:tblLook w:firstColumn="1" w:firstRow="1" w:lastColumn="0" w:lastRow="0" w:noHBand="0" w:noVBand="1" w:val="04A0"/>
      </w:tblPr>
      <w:tblGrid>
        <w:gridCol w:w="9360"/>
      </w:tblGrid>
      <w:tr>
        <w:tc>
          <w:tcPr>
            <w:tcW w:type="dxa" w:w="9360"/>
            <w:shd w:fill="FEF3F2"/>
            <w:tcMar>
              <w:top w:w="130" w:type="dxa"/>
              <w:start w:w="180" w:type="dxa"/>
              <w:bottom w:w="130" w:type="dxa"/>
              <w:end w:w="180" w:type="dxa"/>
            </w:tcMar>
          </w:tcPr>
          <w:p>
            <w:pPr>
              <w:spacing w:after="60"/>
            </w:pPr>
            <w:r>
              <w:rPr>
                <w:rFonts w:ascii="Calibri" w:hAnsi="Calibri" w:eastAsia="Calibri"/>
                <w:b/>
                <w:color w:val="B42318"/>
                <w:sz w:val="21"/>
              </w:rPr>
              <w:t>Do not hard-code these figures as universal</w:t>
            </w:r>
          </w:p>
          <w:p>
            <w:pPr>
              <w:spacing w:after="0"/>
              <w:pBdr>
                <w:left w:val="single" w:sz="16" w:space="8" w:color="B42318"/>
              </w:pBdr>
            </w:pPr>
            <w:r>
              <w:t>The published schedule is a legal source, but applicability depends on the governing Act, licence/authorisation, obligation, valid notice, due date, extensions, facts, effective version and authorised decision. Legal should verify the current source and wording before any calculation or external notice. The system should preserve the source/version used for each assessment.</w:t>
            </w:r>
          </w:p>
        </w:tc>
      </w:tr>
    </w:tbl>
    <w:p>
      <w:pPr>
        <w:spacing w:after="0"/>
      </w:pPr>
    </w:p>
    <w:p>
      <w:pPr>
        <w:pStyle w:val="Heading2"/>
      </w:pPr>
      <w:r>
        <w:t>3.3 Electronic records, receipt and evidence</w:t>
      </w:r>
    </w:p>
    <w:p>
      <w:r>
        <w:t>Act 772 recognises accessible electronic writing and electronic originals where integrity is reliably assured. Evidential weight depends on the reliability of generation, storage and communication, maintenance of integrity, and identification of the originator. Retained electronic records should remain accessible, accurately represent the information and preserve origin, destination, date and time; the Act specifies at least six years for the relevant retention obligation. It also defines rules for dispatch, receipt, attribution and automated acknowledgements, and enables public bodies to specify electronic filing formats and controls. [5]</w:t>
      </w:r>
    </w:p>
    <w:p>
      <w:r>
        <w:t>Practical consequence: storing only a copied email body is not enough. Retain the original MIME content, key transport headers, attachments, immutable/provider identifiers, sender and recipient envelopes, timestamps, integrity hash, ingestion log and every later transformation. An automated receipt should say what was received and whether it has—or has not—been accepted as a formal filing.</w:t>
      </w:r>
    </w:p>
    <w:p>
      <w:pPr>
        <w:pStyle w:val="Heading2"/>
      </w:pPr>
      <w:r>
        <w:t>3.4 Data protection and confidentiality</w:t>
      </w:r>
    </w:p>
    <w:p>
      <w:r>
        <w:t>Act 843 requires accountability, lawful and reasonable processing, purpose specification, compatibility, data quality, openness, security safeguards and data-subject participation. Processing should be necessary and not excessive. Retention should not exceed the lawful purpose except where law or another permitted basis requires it; expired data should be deleted, destroyed or de-identified. Controllers must implement and update technical and organisational measures, govern processors through written contracts, and notify the Commission and affected data subjects as soon as reasonably practicable after unauthorised access. [6]</w:t>
      </w:r>
    </w:p>
    <w:p>
      <w:r>
        <w:t>The NCA's own privacy policy describes the Authority as a data controller and recognises purpose-based retention, safeguards, third-party controls and transfer considerations. [10] The proposed integration therefore needs a documented processing purpose, data inventory, lawful basis, access roles, processor/subprocessor review, cross-border/data-residency assessment, privacy notice language and retention schedule.</w:t>
      </w:r>
    </w:p>
    <w:p>
      <w:pPr>
        <w:pStyle w:val="Heading2"/>
      </w:pPr>
      <w:r>
        <w:t>3.5 Cybersecurity and incident response</w:t>
      </w:r>
    </w:p>
    <w:p>
      <w:r>
        <w:t>Act 1038 provides a national cybersecurity and critical-information-infrastructure framework and includes incident-reporting duties, including a requirement for the person in charge of an institution to report a cybersecurity incident to the relevant sectoral or national CERT within no more than 24 hours after detection. Exact institutional/CII applicability and escalation routes should be confirmed with the NCA's Cybersecurity function. [7]</w:t>
      </w:r>
    </w:p>
    <w:p>
      <w:r>
        <w:t>A compromised shared mailbox, leaked Graph credential, malicious attachment executed in the processing service, unauthorised disclosure, or material tampering should therefore enter a rehearsed incident process immediately—not wait for ordinary application support.</w:t>
      </w:r>
    </w:p>
    <w:p>
      <w:pPr>
        <w:pStyle w:val="Heading2"/>
      </w:pPr>
      <w:r>
        <w:t>3.6 Public records and right-to-information implications</w:t>
      </w:r>
    </w:p>
    <w:p>
      <w:r>
        <w:t>Act 535 treats records received or maintained by public offices as public records regardless of medium and establishes retention-schedule and records-management responsibilities. [8] Act 989 applies to recorded information held by public institutions, subject to applicable exemptions. [9] Data-collection email can therefore be both operational evidence and potentially RTI-responsive information.</w:t>
      </w:r>
    </w:p>
    <w:p>
      <w:r>
        <w:t>Each case and message should carry a records classification (for example Public, Official, Restricted, Confidential/Commercial) and a disposition class. Search/export must support review and redaction for personal data, confidential business information, investigations and legally protected material.</w:t>
      </w:r>
    </w:p>
    <w:p>
      <w:pPr>
        <w:pStyle w:val="Heading2"/>
      </w:pPr>
      <w:r>
        <w:t>3.7 Legal requirements translated into system controls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450"/>
            <w:shd w:fill="F2F4F7"/>
            <w:tcMar>
              <w:top w:w="80" w:type="dxa"/>
              <w:start w:w="120" w:type="dxa"/>
              <w:bottom w:w="80" w:type="dxa"/>
              <w:end w:w="120" w:type="dxa"/>
            </w:tcMar>
            <w:vAlign w:val="center"/>
          </w:tcPr>
          <w:p>
            <w:pPr>
              <w:spacing w:after="0"/>
            </w:pPr>
            <w:r>
              <w:rPr>
                <w:rFonts w:ascii="Calibri" w:hAnsi="Calibri" w:eastAsia="Calibri"/>
                <w:b/>
                <w:color w:val="163A5F"/>
                <w:sz w:val="17"/>
              </w:rPr>
              <w:t>Legal concern</w:t>
            </w:r>
          </w:p>
        </w:tc>
        <w:tc>
          <w:tcPr>
            <w:tcW w:type="dxa" w:w="6910"/>
            <w:shd w:fill="F2F4F7"/>
            <w:tcMar>
              <w:top w:w="80" w:type="dxa"/>
              <w:start w:w="120" w:type="dxa"/>
              <w:bottom w:w="80" w:type="dxa"/>
              <w:end w:w="120" w:type="dxa"/>
            </w:tcMar>
            <w:vAlign w:val="center"/>
          </w:tcPr>
          <w:p>
            <w:pPr>
              <w:spacing w:after="0"/>
            </w:pPr>
            <w:r>
              <w:rPr>
                <w:rFonts w:ascii="Calibri" w:hAnsi="Calibri" w:eastAsia="Calibri"/>
                <w:b/>
                <w:color w:val="163A5F"/>
                <w:sz w:val="17"/>
              </w:rPr>
              <w:t>Required system behaviour</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Authority and purpose</w:t>
            </w:r>
          </w:p>
        </w:tc>
        <w:tc>
          <w:tcPr>
            <w:tcW w:type="dxa" w:w="6910"/>
            <w:tcMar>
              <w:top w:w="80" w:type="dxa"/>
              <w:start w:w="120" w:type="dxa"/>
              <w:bottom w:w="80" w:type="dxa"/>
              <w:end w:w="120" w:type="dxa"/>
            </w:tcMar>
            <w:vAlign w:val="top"/>
          </w:tcPr>
          <w:p>
            <w:pPr>
              <w:spacing w:after="0"/>
            </w:pPr>
            <w:r>
              <w:rPr>
                <w:rFonts w:ascii="Calibri" w:hAnsi="Calibri" w:eastAsia="Calibri"/>
                <w:sz w:val="17"/>
              </w:rPr>
              <w:t>Every obligation links to its Act/regulation/licence/notice, owner, purpose and accepted filing channel.</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Fairness and notice</w:t>
            </w:r>
          </w:p>
        </w:tc>
        <w:tc>
          <w:tcPr>
            <w:tcW w:type="dxa" w:w="6910"/>
            <w:tcMar>
              <w:top w:w="80" w:type="dxa"/>
              <w:start w:w="120" w:type="dxa"/>
              <w:bottom w:w="80" w:type="dxa"/>
              <w:end w:w="120" w:type="dxa"/>
            </w:tcMar>
            <w:vAlign w:val="top"/>
          </w:tcPr>
          <w:p>
            <w:pPr>
              <w:spacing w:after="0"/>
            </w:pPr>
            <w:r>
              <w:rPr>
                <w:rFonts w:ascii="Calibri" w:hAnsi="Calibri" w:eastAsia="Calibri"/>
                <w:sz w:val="17"/>
              </w:rPr>
              <w:t>Notice template version, facts, due date, extensions, reasons, approval, issue time and opportunity to respond are recorded.</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Electronic evidence</w:t>
            </w:r>
          </w:p>
        </w:tc>
        <w:tc>
          <w:tcPr>
            <w:tcW w:type="dxa" w:w="6910"/>
            <w:tcMar>
              <w:top w:w="80" w:type="dxa"/>
              <w:start w:w="120" w:type="dxa"/>
              <w:bottom w:w="80" w:type="dxa"/>
              <w:end w:w="120" w:type="dxa"/>
            </w:tcMar>
            <w:vAlign w:val="top"/>
          </w:tcPr>
          <w:p>
            <w:pPr>
              <w:spacing w:after="0"/>
            </w:pPr>
            <w:r>
              <w:rPr>
                <w:rFonts w:ascii="Calibri" w:hAnsi="Calibri" w:eastAsia="Calibri"/>
                <w:sz w:val="17"/>
              </w:rPr>
              <w:t>Original MIME/attachments/headers retained; SHA-256 hash; immutable identifiers; custody and transformation logs.</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Data minimisation</w:t>
            </w:r>
          </w:p>
        </w:tc>
        <w:tc>
          <w:tcPr>
            <w:tcW w:type="dxa" w:w="6910"/>
            <w:tcMar>
              <w:top w:w="80" w:type="dxa"/>
              <w:start w:w="120" w:type="dxa"/>
              <w:bottom w:w="80" w:type="dxa"/>
              <w:end w:w="120" w:type="dxa"/>
            </w:tcMar>
            <w:vAlign w:val="top"/>
          </w:tcPr>
          <w:p>
            <w:pPr>
              <w:spacing w:after="0"/>
            </w:pPr>
            <w:r>
              <w:rPr>
                <w:rFonts w:ascii="Calibri" w:hAnsi="Calibri" w:eastAsia="Calibri"/>
                <w:sz w:val="17"/>
              </w:rPr>
              <w:t>Only required fields extracted; broad copying prohibited; access and exports role-limited.</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Retention</w:t>
            </w:r>
          </w:p>
        </w:tc>
        <w:tc>
          <w:tcPr>
            <w:tcW w:type="dxa" w:w="6910"/>
            <w:tcMar>
              <w:top w:w="80" w:type="dxa"/>
              <w:start w:w="120" w:type="dxa"/>
              <w:bottom w:w="80" w:type="dxa"/>
              <w:end w:w="120" w:type="dxa"/>
            </w:tcMar>
            <w:vAlign w:val="top"/>
          </w:tcPr>
          <w:p>
            <w:pPr>
              <w:spacing w:after="0"/>
            </w:pPr>
            <w:r>
              <w:rPr>
                <w:rFonts w:ascii="Calibri" w:hAnsi="Calibri" w:eastAsia="Calibri"/>
                <w:sz w:val="17"/>
              </w:rPr>
              <w:t>PRAAD-approved schedule reconciled with Act 772 minimum and Act 843 necessity; legal hold overrides disposal.</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Security</w:t>
            </w:r>
          </w:p>
        </w:tc>
        <w:tc>
          <w:tcPr>
            <w:tcW w:type="dxa" w:w="6910"/>
            <w:tcMar>
              <w:top w:w="80" w:type="dxa"/>
              <w:start w:w="120" w:type="dxa"/>
              <w:bottom w:w="80" w:type="dxa"/>
              <w:end w:w="120" w:type="dxa"/>
            </w:tcMar>
            <w:vAlign w:val="top"/>
          </w:tcPr>
          <w:p>
            <w:pPr>
              <w:spacing w:after="0"/>
            </w:pPr>
            <w:r>
              <w:rPr>
                <w:rFonts w:ascii="Calibri" w:hAnsi="Calibri" w:eastAsia="Calibri"/>
                <w:sz w:val="17"/>
              </w:rPr>
              <w:t>Least privilege, malware controls, encryption, secret rotation, audit, alerting and 24-hour incident pathway.</w:t>
            </w:r>
          </w:p>
        </w:tc>
      </w:tr>
      <w:tr>
        <w:trPr>
          <w:cantSplit/>
        </w:trPr>
        <w:tc>
          <w:tcPr>
            <w:tcW w:type="dxa" w:w="2450"/>
            <w:tcMar>
              <w:top w:w="80" w:type="dxa"/>
              <w:start w:w="120" w:type="dxa"/>
              <w:bottom w:w="80" w:type="dxa"/>
              <w:end w:w="120" w:type="dxa"/>
            </w:tcMar>
            <w:vAlign w:val="top"/>
          </w:tcPr>
          <w:p>
            <w:pPr>
              <w:spacing w:after="0"/>
            </w:pPr>
            <w:r>
              <w:rPr>
                <w:rFonts w:ascii="Calibri" w:hAnsi="Calibri" w:eastAsia="Calibri"/>
                <w:sz w:val="17"/>
              </w:rPr>
              <w:t>RTI/confidentiality</w:t>
            </w:r>
          </w:p>
        </w:tc>
        <w:tc>
          <w:tcPr>
            <w:tcW w:type="dxa" w:w="6910"/>
            <w:tcMar>
              <w:top w:w="80" w:type="dxa"/>
              <w:start w:w="120" w:type="dxa"/>
              <w:bottom w:w="80" w:type="dxa"/>
              <w:end w:w="120" w:type="dxa"/>
            </w:tcMar>
            <w:vAlign w:val="top"/>
          </w:tcPr>
          <w:p>
            <w:pPr>
              <w:spacing w:after="0"/>
            </w:pPr>
            <w:r>
              <w:rPr>
                <w:rFonts w:ascii="Calibri" w:hAnsi="Calibri" w:eastAsia="Calibri"/>
                <w:sz w:val="17"/>
              </w:rPr>
              <w:t>Classification, search, legal review, redaction and disclosure log.</w:t>
            </w:r>
          </w:p>
        </w:tc>
      </w:tr>
    </w:tbl>
    <w:p>
      <w:pPr>
        <w:spacing w:after="20"/>
      </w:pPr>
    </w:p>
    <w:p>
      <w:r>
        <w:br w:type="page"/>
      </w:r>
    </w:p>
    <w:p>
      <w:pPr>
        <w:pStyle w:val="Heading1"/>
      </w:pPr>
      <w:r>
        <w:t>4. Target operating model</w:t>
      </w:r>
    </w:p>
    <w:p>
      <w:pPr>
        <w:pStyle w:val="Heading2"/>
      </w:pPr>
      <w:r>
        <w:t>4.1 The operating principle</w:t>
      </w:r>
    </w:p>
    <w:p>
      <w:r>
        <w:t>The platform owns obligations, cases, tasks, due dates, submission versions, decisions and approved enforcement actions. Exchange owns message transport and mailbox evidence. Purview/records controls preserve Microsoft 365 content. The integration connects these systems through stable identifiers and auditable events.</w:t>
      </w:r>
    </w:p>
    <w:p>
      <w:pPr>
        <w:pStyle w:val="Heading2"/>
      </w:pPr>
      <w:r>
        <w:t>4.2 Outbound correspondence workflow</w:t>
      </w:r>
    </w:p>
    <w:p>
      <w:pPr>
        <w:pStyle w:val="ListNumber"/>
      </w:pPr>
      <w:r>
        <w:t>A workflow event or officer action requests a draft for one case.</w:t>
      </w:r>
    </w:p>
    <w:p>
      <w:pPr>
        <w:pStyle w:val="ListNumber"/>
      </w:pPr>
      <w:r>
        <w:t>The platform resolves verified recipients from authorised provider contacts and checks address status, preference, role and recent bounce history.</w:t>
      </w:r>
    </w:p>
    <w:p>
      <w:pPr>
        <w:pStyle w:val="ListNumber"/>
      </w:pPr>
      <w:r>
        <w:t>A versioned template is rendered from a frozen facts snapshot: provider, obligation, reporting period, missing items, due date, extension, legal basis and prior notices.</w:t>
      </w:r>
    </w:p>
    <w:p>
      <w:pPr>
        <w:pStyle w:val="ListNumber"/>
      </w:pPr>
      <w:r>
        <w:t>The draft screen highlights the source of each variable, uncertainty and any legal wording. It prevents sending if required facts or approvals are missing.</w:t>
      </w:r>
    </w:p>
    <w:p>
      <w:pPr>
        <w:pStyle w:val="ListNumber"/>
      </w:pPr>
      <w:r>
        <w:t>An officer edits and approves routine messages. Supervisor and Legal/authorised approval are required for correction, overdue, penalty warning and final notices.</w:t>
      </w:r>
    </w:p>
    <w:p>
      <w:pPr>
        <w:pStyle w:val="ListNumber"/>
      </w:pPr>
      <w:r>
        <w:t>The service sends through Microsoft Graph as datacollection@nca.org.gh. The Sent Items copy is preserved in the shared mailbox; the app records the Graph request correlation and later reconciles immutable/internet message identifiers. [12][13][23]</w:t>
      </w:r>
    </w:p>
    <w:p>
      <w:pPr>
        <w:pStyle w:val="ListNumber"/>
      </w:pPr>
      <w:r>
        <w:t>Non-delivery reports, automatic replies and responses are ingested and linked. “Accepted by Graph” is not displayed as “delivered.”</w:t>
      </w:r>
    </w:p>
    <w:p>
      <w:pPr>
        <w:pStyle w:val="Heading2"/>
      </w:pPr>
      <w:r>
        <w:t>4.3 Inbound correspondence workflow</w:t>
      </w:r>
    </w:p>
    <w:p>
      <w:pPr>
        <w:pStyle w:val="ListNumber"/>
      </w:pPr>
      <w:r>
        <w:t>Graph change notification places a small event on a durable queue; the webhook validates clientState and returns quickly. Subscriptions are renewed before expiry. [16][17][18]</w:t>
      </w:r>
    </w:p>
    <w:p>
      <w:pPr>
        <w:pStyle w:val="ListNumber"/>
      </w:pPr>
      <w:r>
        <w:t>A worker requests immutable IDs, retrieves the message and raw MIME, records envelope/header metadata, computes a hash and stores the original in controlled evidence storage. [20]</w:t>
      </w:r>
    </w:p>
    <w:p>
      <w:pPr>
        <w:pStyle w:val="ListNumber"/>
      </w:pPr>
      <w:r>
        <w:t>Attachments are quarantined and scanned. Unsafe types, password-protected archives, oversized files and link-only responses route to manual handling.</w:t>
      </w:r>
    </w:p>
    <w:p>
      <w:pPr>
        <w:pStyle w:val="ListNumber"/>
      </w:pPr>
      <w:r>
        <w:t>Deterministic case matching uses the case token, References/In-Reply-To, internetMessageId/conversationId, expected correspondent and obligation/period. Ambiguity becomes a triage task.</w:t>
      </w:r>
    </w:p>
    <w:p>
      <w:pPr>
        <w:pStyle w:val="ListNumber"/>
      </w:pPr>
      <w:r>
        <w:t>The system classifies the message (acknowledgement, explanation, extension request, correction response, data submission, complaint, bounce, automatic reply, unrelated) and extracts only schema-approved fields.</w:t>
      </w:r>
    </w:p>
    <w:p>
      <w:pPr>
        <w:pStyle w:val="ListNumber"/>
      </w:pPr>
      <w:r>
        <w:t>Validation compares the proposed values with form types, units, period, provider and cross-field rules. It retains value-level provenance and confidence.</w:t>
      </w:r>
    </w:p>
    <w:p>
      <w:pPr>
        <w:pStyle w:val="ListNumber"/>
      </w:pPr>
      <w:r>
        <w:t>An officer accepts, corrects or rejects each proposal. Accepted values create a new evidence-backed version; they do not silently overwrite a provider submission.</w:t>
      </w:r>
    </w:p>
    <w:p>
      <w:pPr>
        <w:pStyle w:val="ListNumber"/>
      </w:pPr>
      <w:r>
        <w:t>The case timeline, SLA and next action update. The system drafts an acknowledgement or clarification request for approval.</w:t>
      </w:r>
    </w:p>
    <w:p>
      <w:pPr>
        <w:pStyle w:val="ListNumber"/>
      </w:pPr>
      <w:r>
        <w:t>A scheduled delta-query reconciliation finds changes missed by webhooks and supports recovery. Delta state is kept per folder. [19]</w:t>
      </w:r>
    </w:p>
    <w:p>
      <w:pPr>
        <w:pStyle w:val="Heading2"/>
      </w:pPr>
      <w:r>
        <w:t>4.4 Copying the mailbox on all relevant matters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63A5F"/>
                <w:sz w:val="17"/>
              </w:rPr>
              <w:t>Method</w:t>
            </w:r>
          </w:p>
        </w:tc>
        <w:tc>
          <w:tcPr>
            <w:tcW w:type="dxa" w:w="3100"/>
            <w:shd w:fill="F2F4F7"/>
            <w:tcMar>
              <w:top w:w="80" w:type="dxa"/>
              <w:start w:w="120" w:type="dxa"/>
              <w:bottom w:w="80" w:type="dxa"/>
              <w:end w:w="120" w:type="dxa"/>
            </w:tcMar>
            <w:vAlign w:val="center"/>
          </w:tcPr>
          <w:p>
            <w:pPr>
              <w:spacing w:after="0"/>
            </w:pPr>
            <w:r>
              <w:rPr>
                <w:rFonts w:ascii="Calibri" w:hAnsi="Calibri" w:eastAsia="Calibri"/>
                <w:b/>
                <w:color w:val="163A5F"/>
                <w:sz w:val="17"/>
              </w:rPr>
              <w:t>Use</w:t>
            </w:r>
          </w:p>
        </w:tc>
        <w:tc>
          <w:tcPr>
            <w:tcW w:type="dxa" w:w="4360"/>
            <w:shd w:fill="F2F4F7"/>
            <w:tcMar>
              <w:top w:w="80" w:type="dxa"/>
              <w:start w:w="120" w:type="dxa"/>
              <w:bottom w:w="80" w:type="dxa"/>
              <w:end w:w="120" w:type="dxa"/>
            </w:tcMar>
            <w:vAlign w:val="center"/>
          </w:tcPr>
          <w:p>
            <w:pPr>
              <w:spacing w:after="0"/>
            </w:pPr>
            <w:r>
              <w:rPr>
                <w:rFonts w:ascii="Calibri" w:hAnsi="Calibri" w:eastAsia="Calibri"/>
                <w:b/>
                <w:color w:val="163A5F"/>
                <w:sz w:val="17"/>
              </w:rPr>
              <w:t>Assessment</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Shared mailbox as From/Reply-To</w:t>
            </w:r>
          </w:p>
        </w:tc>
        <w:tc>
          <w:tcPr>
            <w:tcW w:type="dxa" w:w="3100"/>
            <w:tcMar>
              <w:top w:w="80" w:type="dxa"/>
              <w:start w:w="120" w:type="dxa"/>
              <w:bottom w:w="80" w:type="dxa"/>
              <w:end w:w="120" w:type="dxa"/>
            </w:tcMar>
            <w:vAlign w:val="top"/>
          </w:tcPr>
          <w:p>
            <w:pPr>
              <w:spacing w:after="0"/>
            </w:pPr>
            <w:r>
              <w:rPr>
                <w:rFonts w:ascii="Calibri" w:hAnsi="Calibri" w:eastAsia="Calibri"/>
                <w:sz w:val="17"/>
              </w:rPr>
              <w:t>All system correspondence and normal officer replies</w:t>
            </w:r>
          </w:p>
        </w:tc>
        <w:tc>
          <w:tcPr>
            <w:tcW w:type="dxa" w:w="4360"/>
            <w:tcMar>
              <w:top w:w="80" w:type="dxa"/>
              <w:start w:w="120" w:type="dxa"/>
              <w:bottom w:w="80" w:type="dxa"/>
              <w:end w:w="120" w:type="dxa"/>
            </w:tcMar>
            <w:vAlign w:val="top"/>
          </w:tcPr>
          <w:p>
            <w:pPr>
              <w:spacing w:after="0"/>
            </w:pPr>
            <w:r>
              <w:rPr>
                <w:rFonts w:ascii="Calibri" w:hAnsi="Calibri" w:eastAsia="Calibri"/>
                <w:sz w:val="17"/>
              </w:rPr>
              <w:t>Preferred. Produces one official identity and natural evidence trail.</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Delegated access</w:t>
            </w:r>
          </w:p>
        </w:tc>
        <w:tc>
          <w:tcPr>
            <w:tcW w:type="dxa" w:w="3100"/>
            <w:tcMar>
              <w:top w:w="80" w:type="dxa"/>
              <w:start w:w="120" w:type="dxa"/>
              <w:bottom w:w="80" w:type="dxa"/>
              <w:end w:w="120" w:type="dxa"/>
            </w:tcMar>
            <w:vAlign w:val="top"/>
          </w:tcPr>
          <w:p>
            <w:pPr>
              <w:spacing w:after="0"/>
            </w:pPr>
            <w:r>
              <w:rPr>
                <w:rFonts w:ascii="Calibri" w:hAnsi="Calibri" w:eastAsia="Calibri"/>
                <w:sz w:val="17"/>
              </w:rPr>
              <w:t>Named officers work in Outlook</w:t>
            </w:r>
          </w:p>
        </w:tc>
        <w:tc>
          <w:tcPr>
            <w:tcW w:type="dxa" w:w="4360"/>
            <w:tcMar>
              <w:top w:w="80" w:type="dxa"/>
              <w:start w:w="120" w:type="dxa"/>
              <w:bottom w:w="80" w:type="dxa"/>
              <w:end w:w="120" w:type="dxa"/>
            </w:tcMar>
            <w:vAlign w:val="top"/>
          </w:tcPr>
          <w:p>
            <w:pPr>
              <w:spacing w:after="0"/>
            </w:pPr>
            <w:r>
              <w:rPr>
                <w:rFonts w:ascii="Calibri" w:hAnsi="Calibri" w:eastAsia="Calibri"/>
                <w:sz w:val="17"/>
              </w:rPr>
              <w:t>Use least-privilege groups; log delegate actions; ensure sent copies are retained in the shared mailbox. [22][23]</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Scoped mail-flow rule</w:t>
            </w:r>
          </w:p>
        </w:tc>
        <w:tc>
          <w:tcPr>
            <w:tcW w:type="dxa" w:w="3100"/>
            <w:tcMar>
              <w:top w:w="80" w:type="dxa"/>
              <w:start w:w="120" w:type="dxa"/>
              <w:bottom w:w="80" w:type="dxa"/>
              <w:end w:w="120" w:type="dxa"/>
            </w:tcMar>
            <w:vAlign w:val="top"/>
          </w:tcPr>
          <w:p>
            <w:pPr>
              <w:spacing w:after="0"/>
            </w:pPr>
            <w:r>
              <w:rPr>
                <w:rFonts w:ascii="Calibri" w:hAnsi="Calibri" w:eastAsia="Calibri"/>
                <w:sz w:val="17"/>
              </w:rPr>
              <w:t>Exceptional messages sent by authorised staff outside the platform</w:t>
            </w:r>
          </w:p>
        </w:tc>
        <w:tc>
          <w:tcPr>
            <w:tcW w:type="dxa" w:w="4360"/>
            <w:tcMar>
              <w:top w:w="80" w:type="dxa"/>
              <w:start w:w="120" w:type="dxa"/>
              <w:bottom w:w="80" w:type="dxa"/>
              <w:end w:w="120" w:type="dxa"/>
            </w:tcMar>
            <w:vAlign w:val="top"/>
          </w:tcPr>
          <w:p>
            <w:pPr>
              <w:spacing w:after="0"/>
            </w:pPr>
            <w:r>
              <w:rPr>
                <w:rFonts w:ascii="Calibri" w:hAnsi="Calibri" w:eastAsia="Calibri"/>
                <w:sz w:val="17"/>
              </w:rPr>
              <w:t>Use approved sender group plus subject token/custom header and exclusions for loops, confidential/irrelevant mail. Exchange supports actions such as adding Bcc recipients. [24]</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Journaling</w:t>
            </w:r>
          </w:p>
        </w:tc>
        <w:tc>
          <w:tcPr>
            <w:tcW w:type="dxa" w:w="3100"/>
            <w:tcMar>
              <w:top w:w="80" w:type="dxa"/>
              <w:start w:w="120" w:type="dxa"/>
              <w:bottom w:w="80" w:type="dxa"/>
              <w:end w:w="120" w:type="dxa"/>
            </w:tcMar>
            <w:vAlign w:val="top"/>
          </w:tcPr>
          <w:p>
            <w:pPr>
              <w:spacing w:after="0"/>
            </w:pPr>
            <w:r>
              <w:rPr>
                <w:rFonts w:ascii="Calibri" w:hAnsi="Calibri" w:eastAsia="Calibri"/>
                <w:sz w:val="17"/>
              </w:rPr>
              <w:t>Only if a separate external immutable archive is legally required</w:t>
            </w:r>
          </w:p>
        </w:tc>
        <w:tc>
          <w:tcPr>
            <w:tcW w:type="dxa" w:w="4360"/>
            <w:tcMar>
              <w:top w:w="80" w:type="dxa"/>
              <w:start w:w="120" w:type="dxa"/>
              <w:bottom w:w="80" w:type="dxa"/>
              <w:end w:w="120" w:type="dxa"/>
            </w:tcMar>
            <w:vAlign w:val="top"/>
          </w:tcPr>
          <w:p>
            <w:pPr>
              <w:spacing w:after="0"/>
            </w:pPr>
            <w:r>
              <w:rPr>
                <w:rFonts w:ascii="Calibri" w:hAnsi="Calibri" w:eastAsia="Calibri"/>
                <w:sz w:val="17"/>
              </w:rPr>
              <w:t>Not the default. Microsoft calls this an older feature and recommends M365 retention where possible; Exchange Online cannot be the journal destination. [25]</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Manual CC instruction</w:t>
            </w:r>
          </w:p>
        </w:tc>
        <w:tc>
          <w:tcPr>
            <w:tcW w:type="dxa" w:w="3100"/>
            <w:tcMar>
              <w:top w:w="80" w:type="dxa"/>
              <w:start w:w="120" w:type="dxa"/>
              <w:bottom w:w="80" w:type="dxa"/>
              <w:end w:w="120" w:type="dxa"/>
            </w:tcMar>
            <w:vAlign w:val="top"/>
          </w:tcPr>
          <w:p>
            <w:pPr>
              <w:spacing w:after="0"/>
            </w:pPr>
            <w:r>
              <w:rPr>
                <w:rFonts w:ascii="Calibri" w:hAnsi="Calibri" w:eastAsia="Calibri"/>
                <w:sz w:val="17"/>
              </w:rPr>
              <w:t>Temporary transition control</w:t>
            </w:r>
          </w:p>
        </w:tc>
        <w:tc>
          <w:tcPr>
            <w:tcW w:type="dxa" w:w="4360"/>
            <w:tcMar>
              <w:top w:w="80" w:type="dxa"/>
              <w:start w:w="120" w:type="dxa"/>
              <w:bottom w:w="80" w:type="dxa"/>
              <w:end w:w="120" w:type="dxa"/>
            </w:tcMar>
            <w:vAlign w:val="top"/>
          </w:tcPr>
          <w:p>
            <w:pPr>
              <w:spacing w:after="0"/>
            </w:pPr>
            <w:r>
              <w:rPr>
                <w:rFonts w:ascii="Calibri" w:hAnsi="Calibri" w:eastAsia="Calibri"/>
                <w:sz w:val="17"/>
              </w:rPr>
              <w:t>Unreliable and not auditable enough as the long-term mechanism.</w:t>
            </w:r>
          </w:p>
        </w:tc>
      </w:tr>
    </w:tbl>
    <w:p>
      <w:pPr>
        <w:spacing w:after="20"/>
      </w:pPr>
    </w:p>
    <w:p>
      <w:pPr>
        <w:pStyle w:val="Heading2"/>
      </w:pPr>
      <w:r>
        <w:t>4.5 Responsibility and approval matrix</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2550"/>
            <w:shd w:fill="F2F4F7"/>
            <w:tcMar>
              <w:top w:w="80" w:type="dxa"/>
              <w:start w:w="120" w:type="dxa"/>
              <w:bottom w:w="80" w:type="dxa"/>
              <w:end w:w="120" w:type="dxa"/>
            </w:tcMar>
            <w:vAlign w:val="center"/>
          </w:tcPr>
          <w:p>
            <w:pPr>
              <w:spacing w:after="0"/>
            </w:pPr>
            <w:r>
              <w:rPr>
                <w:rFonts w:ascii="Calibri" w:hAnsi="Calibri" w:eastAsia="Calibri"/>
                <w:b/>
                <w:color w:val="163A5F"/>
                <w:sz w:val="17"/>
              </w:rPr>
              <w:t>Activity</w:t>
            </w:r>
          </w:p>
        </w:tc>
        <w:tc>
          <w:tcPr>
            <w:tcW w:type="dxa" w:w="2100"/>
            <w:shd w:fill="F2F4F7"/>
            <w:tcMar>
              <w:top w:w="80" w:type="dxa"/>
              <w:start w:w="120" w:type="dxa"/>
              <w:bottom w:w="80" w:type="dxa"/>
              <w:end w:w="120" w:type="dxa"/>
            </w:tcMar>
            <w:vAlign w:val="center"/>
          </w:tcPr>
          <w:p>
            <w:pPr>
              <w:spacing w:after="0"/>
            </w:pPr>
            <w:r>
              <w:rPr>
                <w:rFonts w:ascii="Calibri" w:hAnsi="Calibri" w:eastAsia="Calibri"/>
                <w:b/>
                <w:color w:val="163A5F"/>
                <w:sz w:val="17"/>
              </w:rPr>
              <w:t>Prepare</w:t>
            </w:r>
          </w:p>
        </w:tc>
        <w:tc>
          <w:tcPr>
            <w:tcW w:type="dxa" w:w="2300"/>
            <w:shd w:fill="F2F4F7"/>
            <w:tcMar>
              <w:top w:w="80" w:type="dxa"/>
              <w:start w:w="120" w:type="dxa"/>
              <w:bottom w:w="80" w:type="dxa"/>
              <w:end w:w="120" w:type="dxa"/>
            </w:tcMar>
            <w:vAlign w:val="center"/>
          </w:tcPr>
          <w:p>
            <w:pPr>
              <w:spacing w:after="0"/>
            </w:pPr>
            <w:r>
              <w:rPr>
                <w:rFonts w:ascii="Calibri" w:hAnsi="Calibri" w:eastAsia="Calibri"/>
                <w:b/>
                <w:color w:val="163A5F"/>
                <w:sz w:val="17"/>
              </w:rPr>
              <w:t>Approve</w:t>
            </w:r>
          </w:p>
        </w:tc>
        <w:tc>
          <w:tcPr>
            <w:tcW w:type="dxa" w:w="2410"/>
            <w:shd w:fill="F2F4F7"/>
            <w:tcMar>
              <w:top w:w="80" w:type="dxa"/>
              <w:start w:w="120" w:type="dxa"/>
              <w:bottom w:w="80" w:type="dxa"/>
              <w:end w:w="120" w:type="dxa"/>
            </w:tcMar>
            <w:vAlign w:val="center"/>
          </w:tcPr>
          <w:p>
            <w:pPr>
              <w:spacing w:after="0"/>
            </w:pPr>
            <w:r>
              <w:rPr>
                <w:rFonts w:ascii="Calibri" w:hAnsi="Calibri" w:eastAsia="Calibri"/>
                <w:b/>
                <w:color w:val="163A5F"/>
                <w:sz w:val="17"/>
              </w:rPr>
              <w:t>System may automate</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Routine acknowledgement</w:t>
            </w:r>
          </w:p>
        </w:tc>
        <w:tc>
          <w:tcPr>
            <w:tcW w:type="dxa" w:w="2100"/>
            <w:tcMar>
              <w:top w:w="80" w:type="dxa"/>
              <w:start w:w="120" w:type="dxa"/>
              <w:bottom w:w="80" w:type="dxa"/>
              <w:end w:w="120" w:type="dxa"/>
            </w:tcMar>
            <w:vAlign w:val="top"/>
          </w:tcPr>
          <w:p>
            <w:pPr>
              <w:spacing w:after="0"/>
            </w:pPr>
            <w:r>
              <w:rPr>
                <w:rFonts w:ascii="Calibri" w:hAnsi="Calibri" w:eastAsia="Calibri"/>
                <w:sz w:val="17"/>
              </w:rPr>
              <w:t>Platform/officer</w:t>
            </w:r>
          </w:p>
        </w:tc>
        <w:tc>
          <w:tcPr>
            <w:tcW w:type="dxa" w:w="2300"/>
            <w:tcMar>
              <w:top w:w="80" w:type="dxa"/>
              <w:start w:w="120" w:type="dxa"/>
              <w:bottom w:w="80" w:type="dxa"/>
              <w:end w:w="120" w:type="dxa"/>
            </w:tcMar>
            <w:vAlign w:val="top"/>
          </w:tcPr>
          <w:p>
            <w:pPr>
              <w:spacing w:after="0"/>
            </w:pPr>
            <w:r>
              <w:rPr>
                <w:rFonts w:ascii="Calibri" w:hAnsi="Calibri" w:eastAsia="Calibri"/>
                <w:sz w:val="17"/>
              </w:rPr>
              <w:t>Officer</w:t>
            </w:r>
          </w:p>
        </w:tc>
        <w:tc>
          <w:tcPr>
            <w:tcW w:type="dxa" w:w="2410"/>
            <w:tcMar>
              <w:top w:w="80" w:type="dxa"/>
              <w:start w:w="120" w:type="dxa"/>
              <w:bottom w:w="80" w:type="dxa"/>
              <w:end w:w="120" w:type="dxa"/>
            </w:tcMar>
            <w:vAlign w:val="top"/>
          </w:tcPr>
          <w:p>
            <w:pPr>
              <w:spacing w:after="0"/>
            </w:pPr>
            <w:r>
              <w:rPr>
                <w:rFonts w:ascii="Calibri" w:hAnsi="Calibri" w:eastAsia="Calibri"/>
                <w:sz w:val="17"/>
              </w:rPr>
              <w:t>Draft, route, record; send only after policy-approved pilot</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Reminder before due date</w:t>
            </w:r>
          </w:p>
        </w:tc>
        <w:tc>
          <w:tcPr>
            <w:tcW w:type="dxa" w:w="2100"/>
            <w:tcMar>
              <w:top w:w="80" w:type="dxa"/>
              <w:start w:w="120" w:type="dxa"/>
              <w:bottom w:w="80" w:type="dxa"/>
              <w:end w:w="120" w:type="dxa"/>
            </w:tcMar>
            <w:vAlign w:val="top"/>
          </w:tcPr>
          <w:p>
            <w:pPr>
              <w:spacing w:after="0"/>
            </w:pPr>
            <w:r>
              <w:rPr>
                <w:rFonts w:ascii="Calibri" w:hAnsi="Calibri" w:eastAsia="Calibri"/>
                <w:sz w:val="17"/>
              </w:rPr>
              <w:t>Platform</w:t>
            </w:r>
          </w:p>
        </w:tc>
        <w:tc>
          <w:tcPr>
            <w:tcW w:type="dxa" w:w="2300"/>
            <w:tcMar>
              <w:top w:w="80" w:type="dxa"/>
              <w:start w:w="120" w:type="dxa"/>
              <w:bottom w:w="80" w:type="dxa"/>
              <w:end w:w="120" w:type="dxa"/>
            </w:tcMar>
            <w:vAlign w:val="top"/>
          </w:tcPr>
          <w:p>
            <w:pPr>
              <w:spacing w:after="0"/>
            </w:pPr>
            <w:r>
              <w:rPr>
                <w:rFonts w:ascii="Calibri" w:hAnsi="Calibri" w:eastAsia="Calibri"/>
                <w:sz w:val="17"/>
              </w:rPr>
              <w:t>Officer or pre-approved campaign owner</w:t>
            </w:r>
          </w:p>
        </w:tc>
        <w:tc>
          <w:tcPr>
            <w:tcW w:type="dxa" w:w="2410"/>
            <w:tcMar>
              <w:top w:w="80" w:type="dxa"/>
              <w:start w:w="120" w:type="dxa"/>
              <w:bottom w:w="80" w:type="dxa"/>
              <w:end w:w="120" w:type="dxa"/>
            </w:tcMar>
            <w:vAlign w:val="top"/>
          </w:tcPr>
          <w:p>
            <w:pPr>
              <w:spacing w:after="0"/>
            </w:pPr>
            <w:r>
              <w:rPr>
                <w:rFonts w:ascii="Calibri" w:hAnsi="Calibri" w:eastAsia="Calibri"/>
                <w:sz w:val="17"/>
              </w:rPr>
              <w:t>Schedule and draft; bounded batch approval</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Correction request</w:t>
            </w:r>
          </w:p>
        </w:tc>
        <w:tc>
          <w:tcPr>
            <w:tcW w:type="dxa" w:w="2100"/>
            <w:tcMar>
              <w:top w:w="80" w:type="dxa"/>
              <w:start w:w="120" w:type="dxa"/>
              <w:bottom w:w="80" w:type="dxa"/>
              <w:end w:w="120" w:type="dxa"/>
            </w:tcMar>
            <w:vAlign w:val="top"/>
          </w:tcPr>
          <w:p>
            <w:pPr>
              <w:spacing w:after="0"/>
            </w:pPr>
            <w:r>
              <w:rPr>
                <w:rFonts w:ascii="Calibri" w:hAnsi="Calibri" w:eastAsia="Calibri"/>
                <w:sz w:val="17"/>
              </w:rPr>
              <w:t>Reviewer</w:t>
            </w:r>
          </w:p>
        </w:tc>
        <w:tc>
          <w:tcPr>
            <w:tcW w:type="dxa" w:w="2300"/>
            <w:tcMar>
              <w:top w:w="80" w:type="dxa"/>
              <w:start w:w="120" w:type="dxa"/>
              <w:bottom w:w="80" w:type="dxa"/>
              <w:end w:w="120" w:type="dxa"/>
            </w:tcMar>
            <w:vAlign w:val="top"/>
          </w:tcPr>
          <w:p>
            <w:pPr>
              <w:spacing w:after="0"/>
            </w:pPr>
            <w:r>
              <w:rPr>
                <w:rFonts w:ascii="Calibri" w:hAnsi="Calibri" w:eastAsia="Calibri"/>
                <w:sz w:val="17"/>
              </w:rPr>
              <w:t>Supervisor</w:t>
            </w:r>
          </w:p>
        </w:tc>
        <w:tc>
          <w:tcPr>
            <w:tcW w:type="dxa" w:w="2410"/>
            <w:tcMar>
              <w:top w:w="80" w:type="dxa"/>
              <w:start w:w="120" w:type="dxa"/>
              <w:bottom w:w="80" w:type="dxa"/>
              <w:end w:w="120" w:type="dxa"/>
            </w:tcMar>
            <w:vAlign w:val="top"/>
          </w:tcPr>
          <w:p>
            <w:pPr>
              <w:spacing w:after="0"/>
            </w:pPr>
            <w:r>
              <w:rPr>
                <w:rFonts w:ascii="Calibri" w:hAnsi="Calibri" w:eastAsia="Calibri"/>
                <w:sz w:val="17"/>
              </w:rPr>
              <w:t>Populate verified missing/invalid items</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Extension decision</w:t>
            </w:r>
          </w:p>
        </w:tc>
        <w:tc>
          <w:tcPr>
            <w:tcW w:type="dxa" w:w="2100"/>
            <w:tcMar>
              <w:top w:w="80" w:type="dxa"/>
              <w:start w:w="120" w:type="dxa"/>
              <w:bottom w:w="80" w:type="dxa"/>
              <w:end w:w="120" w:type="dxa"/>
            </w:tcMar>
            <w:vAlign w:val="top"/>
          </w:tcPr>
          <w:p>
            <w:pPr>
              <w:spacing w:after="0"/>
            </w:pPr>
            <w:r>
              <w:rPr>
                <w:rFonts w:ascii="Calibri" w:hAnsi="Calibri" w:eastAsia="Calibri"/>
                <w:sz w:val="17"/>
              </w:rPr>
              <w:t>Officer</w:t>
            </w:r>
          </w:p>
        </w:tc>
        <w:tc>
          <w:tcPr>
            <w:tcW w:type="dxa" w:w="2300"/>
            <w:tcMar>
              <w:top w:w="80" w:type="dxa"/>
              <w:start w:w="120" w:type="dxa"/>
              <w:bottom w:w="80" w:type="dxa"/>
              <w:end w:w="120" w:type="dxa"/>
            </w:tcMar>
            <w:vAlign w:val="top"/>
          </w:tcPr>
          <w:p>
            <w:pPr>
              <w:spacing w:after="0"/>
            </w:pPr>
            <w:r>
              <w:rPr>
                <w:rFonts w:ascii="Calibri" w:hAnsi="Calibri" w:eastAsia="Calibri"/>
                <w:sz w:val="17"/>
              </w:rPr>
              <w:t>Authorised decision-maker</w:t>
            </w:r>
          </w:p>
        </w:tc>
        <w:tc>
          <w:tcPr>
            <w:tcW w:type="dxa" w:w="2410"/>
            <w:tcMar>
              <w:top w:w="80" w:type="dxa"/>
              <w:start w:w="120" w:type="dxa"/>
              <w:bottom w:w="80" w:type="dxa"/>
              <w:end w:w="120" w:type="dxa"/>
            </w:tcMar>
            <w:vAlign w:val="top"/>
          </w:tcPr>
          <w:p>
            <w:pPr>
              <w:spacing w:after="0"/>
            </w:pPr>
            <w:r>
              <w:rPr>
                <w:rFonts w:ascii="Calibri" w:hAnsi="Calibri" w:eastAsia="Calibri"/>
                <w:sz w:val="17"/>
              </w:rPr>
              <w:t>Track request and due-date effect only after decision</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Overdue warning</w:t>
            </w:r>
          </w:p>
        </w:tc>
        <w:tc>
          <w:tcPr>
            <w:tcW w:type="dxa" w:w="2100"/>
            <w:tcMar>
              <w:top w:w="80" w:type="dxa"/>
              <w:start w:w="120" w:type="dxa"/>
              <w:bottom w:w="80" w:type="dxa"/>
              <w:end w:w="120" w:type="dxa"/>
            </w:tcMar>
            <w:vAlign w:val="top"/>
          </w:tcPr>
          <w:p>
            <w:pPr>
              <w:spacing w:after="0"/>
            </w:pPr>
            <w:r>
              <w:rPr>
                <w:rFonts w:ascii="Calibri" w:hAnsi="Calibri" w:eastAsia="Calibri"/>
                <w:sz w:val="17"/>
              </w:rPr>
              <w:t>Platform/officer</w:t>
            </w:r>
          </w:p>
        </w:tc>
        <w:tc>
          <w:tcPr>
            <w:tcW w:type="dxa" w:w="2300"/>
            <w:tcMar>
              <w:top w:w="80" w:type="dxa"/>
              <w:start w:w="120" w:type="dxa"/>
              <w:bottom w:w="80" w:type="dxa"/>
              <w:end w:w="120" w:type="dxa"/>
            </w:tcMar>
            <w:vAlign w:val="top"/>
          </w:tcPr>
          <w:p>
            <w:pPr>
              <w:spacing w:after="0"/>
            </w:pPr>
            <w:r>
              <w:rPr>
                <w:rFonts w:ascii="Calibri" w:hAnsi="Calibri" w:eastAsia="Calibri"/>
                <w:sz w:val="17"/>
              </w:rPr>
              <w:t>Supervisor</w:t>
            </w:r>
          </w:p>
        </w:tc>
        <w:tc>
          <w:tcPr>
            <w:tcW w:type="dxa" w:w="2410"/>
            <w:tcMar>
              <w:top w:w="80" w:type="dxa"/>
              <w:start w:w="120" w:type="dxa"/>
              <w:bottom w:w="80" w:type="dxa"/>
              <w:end w:w="120" w:type="dxa"/>
            </w:tcMar>
            <w:vAlign w:val="top"/>
          </w:tcPr>
          <w:p>
            <w:pPr>
              <w:spacing w:after="0"/>
            </w:pPr>
            <w:r>
              <w:rPr>
                <w:rFonts w:ascii="Calibri" w:hAnsi="Calibri" w:eastAsia="Calibri"/>
                <w:sz w:val="17"/>
              </w:rPr>
              <w:t>Calculate lateness; no enforcement conclusion</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Penalty warning/final notice</w:t>
            </w:r>
          </w:p>
        </w:tc>
        <w:tc>
          <w:tcPr>
            <w:tcW w:type="dxa" w:w="2100"/>
            <w:tcMar>
              <w:top w:w="80" w:type="dxa"/>
              <w:start w:w="120" w:type="dxa"/>
              <w:bottom w:w="80" w:type="dxa"/>
              <w:end w:w="120" w:type="dxa"/>
            </w:tcMar>
            <w:vAlign w:val="top"/>
          </w:tcPr>
          <w:p>
            <w:pPr>
              <w:spacing w:after="0"/>
            </w:pPr>
            <w:r>
              <w:rPr>
                <w:rFonts w:ascii="Calibri" w:hAnsi="Calibri" w:eastAsia="Calibri"/>
                <w:sz w:val="17"/>
              </w:rPr>
              <w:t>Legal/officer</w:t>
            </w:r>
          </w:p>
        </w:tc>
        <w:tc>
          <w:tcPr>
            <w:tcW w:type="dxa" w:w="2300"/>
            <w:tcMar>
              <w:top w:w="80" w:type="dxa"/>
              <w:start w:w="120" w:type="dxa"/>
              <w:bottom w:w="80" w:type="dxa"/>
              <w:end w:w="120" w:type="dxa"/>
            </w:tcMar>
            <w:vAlign w:val="top"/>
          </w:tcPr>
          <w:p>
            <w:pPr>
              <w:spacing w:after="0"/>
            </w:pPr>
            <w:r>
              <w:rPr>
                <w:rFonts w:ascii="Calibri" w:hAnsi="Calibri" w:eastAsia="Calibri"/>
                <w:sz w:val="17"/>
              </w:rPr>
              <w:t>Legal + authorised officer</w:t>
            </w:r>
          </w:p>
        </w:tc>
        <w:tc>
          <w:tcPr>
            <w:tcW w:type="dxa" w:w="2410"/>
            <w:tcMar>
              <w:top w:w="80" w:type="dxa"/>
              <w:start w:w="120" w:type="dxa"/>
              <w:bottom w:w="80" w:type="dxa"/>
              <w:end w:w="120" w:type="dxa"/>
            </w:tcMar>
            <w:vAlign w:val="top"/>
          </w:tcPr>
          <w:p>
            <w:pPr>
              <w:spacing w:after="0"/>
            </w:pPr>
            <w:r>
              <w:rPr>
                <w:rFonts w:ascii="Calibri" w:hAnsi="Calibri" w:eastAsia="Calibri"/>
                <w:sz w:val="17"/>
              </w:rPr>
              <w:t>Evidence pack and draft only</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Extracted data acceptance</w:t>
            </w:r>
          </w:p>
        </w:tc>
        <w:tc>
          <w:tcPr>
            <w:tcW w:type="dxa" w:w="2100"/>
            <w:tcMar>
              <w:top w:w="80" w:type="dxa"/>
              <w:start w:w="120" w:type="dxa"/>
              <w:bottom w:w="80" w:type="dxa"/>
              <w:end w:w="120" w:type="dxa"/>
            </w:tcMar>
            <w:vAlign w:val="top"/>
          </w:tcPr>
          <w:p>
            <w:pPr>
              <w:spacing w:after="0"/>
            </w:pPr>
            <w:r>
              <w:rPr>
                <w:rFonts w:ascii="Calibri" w:hAnsi="Calibri" w:eastAsia="Calibri"/>
                <w:sz w:val="17"/>
              </w:rPr>
              <w:t>Platform proposes</w:t>
            </w:r>
          </w:p>
        </w:tc>
        <w:tc>
          <w:tcPr>
            <w:tcW w:type="dxa" w:w="2300"/>
            <w:tcMar>
              <w:top w:w="80" w:type="dxa"/>
              <w:start w:w="120" w:type="dxa"/>
              <w:bottom w:w="80" w:type="dxa"/>
              <w:end w:w="120" w:type="dxa"/>
            </w:tcMar>
            <w:vAlign w:val="top"/>
          </w:tcPr>
          <w:p>
            <w:pPr>
              <w:spacing w:after="0"/>
            </w:pPr>
            <w:r>
              <w:rPr>
                <w:rFonts w:ascii="Calibri" w:hAnsi="Calibri" w:eastAsia="Calibri"/>
                <w:sz w:val="17"/>
              </w:rPr>
              <w:t>Data steward/officer</w:t>
            </w:r>
          </w:p>
        </w:tc>
        <w:tc>
          <w:tcPr>
            <w:tcW w:type="dxa" w:w="2410"/>
            <w:tcMar>
              <w:top w:w="80" w:type="dxa"/>
              <w:start w:w="120" w:type="dxa"/>
              <w:bottom w:w="80" w:type="dxa"/>
              <w:end w:w="120" w:type="dxa"/>
            </w:tcMar>
            <w:vAlign w:val="top"/>
          </w:tcPr>
          <w:p>
            <w:pPr>
              <w:spacing w:after="0"/>
            </w:pPr>
            <w:r>
              <w:rPr>
                <w:rFonts w:ascii="Calibri" w:hAnsi="Calibri" w:eastAsia="Calibri"/>
                <w:sz w:val="17"/>
              </w:rPr>
              <w:t>Validate and version; never silent overwrite</w:t>
            </w:r>
          </w:p>
        </w:tc>
      </w:tr>
      <w:tr>
        <w:trPr>
          <w:cantSplit/>
        </w:trPr>
        <w:tc>
          <w:tcPr>
            <w:tcW w:type="dxa" w:w="2550"/>
            <w:tcMar>
              <w:top w:w="80" w:type="dxa"/>
              <w:start w:w="120" w:type="dxa"/>
              <w:bottom w:w="80" w:type="dxa"/>
              <w:end w:w="120" w:type="dxa"/>
            </w:tcMar>
            <w:vAlign w:val="top"/>
          </w:tcPr>
          <w:p>
            <w:pPr>
              <w:spacing w:after="0"/>
            </w:pPr>
            <w:r>
              <w:rPr>
                <w:rFonts w:ascii="Calibri" w:hAnsi="Calibri" w:eastAsia="Calibri"/>
                <w:sz w:val="17"/>
              </w:rPr>
              <w:t>Case closure</w:t>
            </w:r>
          </w:p>
        </w:tc>
        <w:tc>
          <w:tcPr>
            <w:tcW w:type="dxa" w:w="2100"/>
            <w:tcMar>
              <w:top w:w="80" w:type="dxa"/>
              <w:start w:w="120" w:type="dxa"/>
              <w:bottom w:w="80" w:type="dxa"/>
              <w:end w:w="120" w:type="dxa"/>
            </w:tcMar>
            <w:vAlign w:val="top"/>
          </w:tcPr>
          <w:p>
            <w:pPr>
              <w:spacing w:after="0"/>
            </w:pPr>
            <w:r>
              <w:rPr>
                <w:rFonts w:ascii="Calibri" w:hAnsi="Calibri" w:eastAsia="Calibri"/>
                <w:sz w:val="17"/>
              </w:rPr>
              <w:t>Assigned officer</w:t>
            </w:r>
          </w:p>
        </w:tc>
        <w:tc>
          <w:tcPr>
            <w:tcW w:type="dxa" w:w="2300"/>
            <w:tcMar>
              <w:top w:w="80" w:type="dxa"/>
              <w:start w:w="120" w:type="dxa"/>
              <w:bottom w:w="80" w:type="dxa"/>
              <w:end w:w="120" w:type="dxa"/>
            </w:tcMar>
            <w:vAlign w:val="top"/>
          </w:tcPr>
          <w:p>
            <w:pPr>
              <w:spacing w:after="0"/>
            </w:pPr>
            <w:r>
              <w:rPr>
                <w:rFonts w:ascii="Calibri" w:hAnsi="Calibri" w:eastAsia="Calibri"/>
                <w:sz w:val="17"/>
              </w:rPr>
              <w:t>Role per case type</w:t>
            </w:r>
          </w:p>
        </w:tc>
        <w:tc>
          <w:tcPr>
            <w:tcW w:type="dxa" w:w="2410"/>
            <w:tcMar>
              <w:top w:w="80" w:type="dxa"/>
              <w:start w:w="120" w:type="dxa"/>
              <w:bottom w:w="80" w:type="dxa"/>
              <w:end w:w="120" w:type="dxa"/>
            </w:tcMar>
            <w:vAlign w:val="top"/>
          </w:tcPr>
          <w:p>
            <w:pPr>
              <w:spacing w:after="0"/>
            </w:pPr>
            <w:r>
              <w:rPr>
                <w:rFonts w:ascii="Calibri" w:hAnsi="Calibri" w:eastAsia="Calibri"/>
                <w:sz w:val="17"/>
              </w:rPr>
              <w:t>Check closure criteria and unresolved tasks</w:t>
            </w:r>
          </w:p>
        </w:tc>
      </w:tr>
    </w:tbl>
    <w:p>
      <w:pPr>
        <w:spacing w:after="20"/>
      </w:pPr>
    </w:p>
    <w:p>
      <w:r>
        <w:br w:type="page"/>
      </w:r>
    </w:p>
    <w:p>
      <w:pPr>
        <w:pStyle w:val="Heading1"/>
      </w:pPr>
      <w:r>
        <w:t>5. Recommended Microsoft 365 and application architecture</w:t>
      </w:r>
    </w:p>
    <w:p>
      <w:pPr>
        <w:jc w:val="center"/>
      </w:pPr>
      <w:r>
        <w:drawing>
          <wp:inline xmlns:a="http://schemas.openxmlformats.org/drawingml/2006/main" xmlns:pic="http://schemas.openxmlformats.org/drawingml/2006/picture">
            <wp:extent cx="5897880" cy="322417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97880" cy="3224174"/>
                    </a:xfrm>
                    <a:prstGeom prst="rect"/>
                  </pic:spPr>
                </pic:pic>
              </a:graphicData>
            </a:graphic>
          </wp:inline>
        </w:drawing>
      </w:r>
    </w:p>
    <w:p>
      <w:pPr>
        <w:spacing w:after="160"/>
        <w:jc w:val="center"/>
      </w:pPr>
      <w:r>
        <w:rPr>
          <w:rFonts w:ascii="Calibri" w:hAnsi="Calibri" w:eastAsia="Calibri"/>
          <w:i/>
          <w:color w:val="667085"/>
          <w:sz w:val="17"/>
        </w:rPr>
        <w:t>Figure 1. Target architecture and trust boundaries</w:t>
      </w:r>
    </w:p>
    <w:p>
      <w:pPr>
        <w:pStyle w:val="Heading2"/>
      </w:pPr>
      <w:r>
        <w:t>5.1 Mailbox and identity configuration</w:t>
      </w:r>
    </w:p>
    <w:p>
      <w:pPr>
        <w:pStyle w:val="ListBullet"/>
      </w:pPr>
      <w:r>
        <w:t>Mailbox: datacollection@nca.org.gh; display name “NCA Data Collection”; dedicated owners in Compliance and ICT; documented deputies.</w:t>
      </w:r>
    </w:p>
    <w:p>
      <w:pPr>
        <w:pStyle w:val="ListBullet"/>
      </w:pPr>
      <w:r>
        <w:t>Shared mailbox for human collaboration, subject to Microsoft licensing/capacity/retention requirements. If automation or compliance features require a licence, license it explicitly rather than converting to an unmanaged user mailbox.</w:t>
      </w:r>
    </w:p>
    <w:p>
      <w:pPr>
        <w:pStyle w:val="ListBullet"/>
      </w:pPr>
      <w:r>
        <w:t>No shared credential. Named users receive Full Access and Send As only where needed, preferably through governed groups. Enable and verify mailbox auditing.</w:t>
      </w:r>
    </w:p>
    <w:p>
      <w:pPr>
        <w:pStyle w:val="ListBullet"/>
      </w:pPr>
      <w:r>
        <w:t>Configure copies of messages sent as/on behalf of the mailbox to remain in its Sent Items. [23]</w:t>
      </w:r>
    </w:p>
    <w:p>
      <w:pPr>
        <w:pStyle w:val="ListBullet"/>
      </w:pPr>
      <w:r>
        <w:t>Block legacy protocols unless a documented exception exists. Apply Conditional Access and MFA to human delegates.</w:t>
      </w:r>
    </w:p>
    <w:p>
      <w:pPr>
        <w:pStyle w:val="ListBullet"/>
      </w:pPr>
      <w:r>
        <w:t>Use a dedicated Entra service principal for the integration, certificate/workload identity rather than a client secret where practical, with rotation and monitored ownership.</w:t>
      </w:r>
    </w:p>
    <w:p>
      <w:pPr>
        <w:pStyle w:val="Heading2"/>
      </w:pPr>
      <w:r>
        <w:t>5.2 Graph permissions and least privilege</w:t>
      </w:r>
    </w:p>
    <w:p>
      <w:r>
        <w:t>Application Mail.Send or Mail.Read permissions can be very broad when granted tenant-wide. Microsoft Graph supports shared-mailbox mail, but application permissions require administrator consent. Exchange Online Application RBAC should scope the service principal to datacollection@nca.org.gh and only the roles required. Remove overlapping unscoped Entra grants because effective access can be the union of permission paths. [11][14][15]</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100"/>
            <w:shd w:fill="F2F4F7"/>
            <w:tcMar>
              <w:top w:w="80" w:type="dxa"/>
              <w:start w:w="120" w:type="dxa"/>
              <w:bottom w:w="80" w:type="dxa"/>
              <w:end w:w="120" w:type="dxa"/>
            </w:tcMar>
            <w:vAlign w:val="center"/>
          </w:tcPr>
          <w:p>
            <w:pPr>
              <w:spacing w:after="0"/>
            </w:pPr>
            <w:r>
              <w:rPr>
                <w:rFonts w:ascii="Calibri" w:hAnsi="Calibri" w:eastAsia="Calibri"/>
                <w:b/>
                <w:color w:val="163A5F"/>
                <w:sz w:val="17"/>
              </w:rPr>
              <w:t>Component</w:t>
            </w:r>
          </w:p>
        </w:tc>
        <w:tc>
          <w:tcPr>
            <w:tcW w:type="dxa" w:w="3200"/>
            <w:shd w:fill="F2F4F7"/>
            <w:tcMar>
              <w:top w:w="80" w:type="dxa"/>
              <w:start w:w="120" w:type="dxa"/>
              <w:bottom w:w="80" w:type="dxa"/>
              <w:end w:w="120" w:type="dxa"/>
            </w:tcMar>
            <w:vAlign w:val="center"/>
          </w:tcPr>
          <w:p>
            <w:pPr>
              <w:spacing w:after="0"/>
            </w:pPr>
            <w:r>
              <w:rPr>
                <w:rFonts w:ascii="Calibri" w:hAnsi="Calibri" w:eastAsia="Calibri"/>
                <w:b/>
                <w:color w:val="163A5F"/>
                <w:sz w:val="17"/>
              </w:rPr>
              <w:t>Minimum role intent</w:t>
            </w:r>
          </w:p>
        </w:tc>
        <w:tc>
          <w:tcPr>
            <w:tcW w:type="dxa" w:w="4060"/>
            <w:shd w:fill="F2F4F7"/>
            <w:tcMar>
              <w:top w:w="80" w:type="dxa"/>
              <w:start w:w="120" w:type="dxa"/>
              <w:bottom w:w="80" w:type="dxa"/>
              <w:end w:w="120" w:type="dxa"/>
            </w:tcMar>
            <w:vAlign w:val="center"/>
          </w:tcPr>
          <w:p>
            <w:pPr>
              <w:spacing w:after="0"/>
            </w:pPr>
            <w:r>
              <w:rPr>
                <w:rFonts w:ascii="Calibri" w:hAnsi="Calibri" w:eastAsia="Calibri"/>
                <w:b/>
                <w:color w:val="163A5F"/>
                <w:sz w:val="17"/>
              </w:rPr>
              <w:t>Control</w:t>
            </w:r>
          </w:p>
        </w:tc>
      </w:tr>
      <w:tr>
        <w:trPr>
          <w:cantSplit/>
        </w:trPr>
        <w:tc>
          <w:tcPr>
            <w:tcW w:type="dxa" w:w="2100"/>
            <w:tcMar>
              <w:top w:w="80" w:type="dxa"/>
              <w:start w:w="120" w:type="dxa"/>
              <w:bottom w:w="80" w:type="dxa"/>
              <w:end w:w="120" w:type="dxa"/>
            </w:tcMar>
            <w:vAlign w:val="top"/>
          </w:tcPr>
          <w:p>
            <w:pPr>
              <w:spacing w:after="0"/>
            </w:pPr>
            <w:r>
              <w:rPr>
                <w:rFonts w:ascii="Calibri" w:hAnsi="Calibri" w:eastAsia="Calibri"/>
                <w:sz w:val="17"/>
              </w:rPr>
              <w:t>Outbound sender</w:t>
            </w:r>
          </w:p>
        </w:tc>
        <w:tc>
          <w:tcPr>
            <w:tcW w:type="dxa" w:w="3200"/>
            <w:tcMar>
              <w:top w:w="80" w:type="dxa"/>
              <w:start w:w="120" w:type="dxa"/>
              <w:bottom w:w="80" w:type="dxa"/>
              <w:end w:w="120" w:type="dxa"/>
            </w:tcMar>
            <w:vAlign w:val="top"/>
          </w:tcPr>
          <w:p>
            <w:pPr>
              <w:spacing w:after="0"/>
            </w:pPr>
            <w:r>
              <w:rPr>
                <w:rFonts w:ascii="Calibri" w:hAnsi="Calibri" w:eastAsia="Calibri"/>
                <w:sz w:val="17"/>
              </w:rPr>
              <w:t>Send as datacollection only</w:t>
            </w:r>
          </w:p>
        </w:tc>
        <w:tc>
          <w:tcPr>
            <w:tcW w:type="dxa" w:w="4060"/>
            <w:tcMar>
              <w:top w:w="80" w:type="dxa"/>
              <w:start w:w="120" w:type="dxa"/>
              <w:bottom w:w="80" w:type="dxa"/>
              <w:end w:w="120" w:type="dxa"/>
            </w:tcMar>
            <w:vAlign w:val="top"/>
          </w:tcPr>
          <w:p>
            <w:pPr>
              <w:spacing w:after="0"/>
            </w:pPr>
            <w:r>
              <w:rPr>
                <w:rFonts w:ascii="Calibri" w:hAnsi="Calibri" w:eastAsia="Calibri"/>
                <w:sz w:val="17"/>
              </w:rPr>
              <w:t>Separate principal/role if feasible; template/approval gate in app.</w:t>
            </w:r>
          </w:p>
        </w:tc>
      </w:tr>
      <w:tr>
        <w:trPr>
          <w:cantSplit/>
        </w:trPr>
        <w:tc>
          <w:tcPr>
            <w:tcW w:type="dxa" w:w="2100"/>
            <w:tcMar>
              <w:top w:w="80" w:type="dxa"/>
              <w:start w:w="120" w:type="dxa"/>
              <w:bottom w:w="80" w:type="dxa"/>
              <w:end w:w="120" w:type="dxa"/>
            </w:tcMar>
            <w:vAlign w:val="top"/>
          </w:tcPr>
          <w:p>
            <w:pPr>
              <w:spacing w:after="0"/>
            </w:pPr>
            <w:r>
              <w:rPr>
                <w:rFonts w:ascii="Calibri" w:hAnsi="Calibri" w:eastAsia="Calibri"/>
                <w:sz w:val="17"/>
              </w:rPr>
              <w:t>Inbound collector</w:t>
            </w:r>
          </w:p>
        </w:tc>
        <w:tc>
          <w:tcPr>
            <w:tcW w:type="dxa" w:w="3200"/>
            <w:tcMar>
              <w:top w:w="80" w:type="dxa"/>
              <w:start w:w="120" w:type="dxa"/>
              <w:bottom w:w="80" w:type="dxa"/>
              <w:end w:w="120" w:type="dxa"/>
            </w:tcMar>
            <w:vAlign w:val="top"/>
          </w:tcPr>
          <w:p>
            <w:pPr>
              <w:spacing w:after="0"/>
            </w:pPr>
            <w:r>
              <w:rPr>
                <w:rFonts w:ascii="Calibri" w:hAnsi="Calibri" w:eastAsia="Calibri"/>
                <w:sz w:val="17"/>
              </w:rPr>
              <w:t>Read datacollection Inbox and required folders</w:t>
            </w:r>
          </w:p>
        </w:tc>
        <w:tc>
          <w:tcPr>
            <w:tcW w:type="dxa" w:w="4060"/>
            <w:tcMar>
              <w:top w:w="80" w:type="dxa"/>
              <w:start w:w="120" w:type="dxa"/>
              <w:bottom w:w="80" w:type="dxa"/>
              <w:end w:w="120" w:type="dxa"/>
            </w:tcMar>
            <w:vAlign w:val="top"/>
          </w:tcPr>
          <w:p>
            <w:pPr>
              <w:spacing w:after="0"/>
            </w:pPr>
            <w:r>
              <w:rPr>
                <w:rFonts w:ascii="Calibri" w:hAnsi="Calibri" w:eastAsia="Calibri"/>
                <w:sz w:val="17"/>
              </w:rPr>
              <w:t>No organisation-wide mail read; deny interactive use.</w:t>
            </w:r>
          </w:p>
        </w:tc>
      </w:tr>
      <w:tr>
        <w:trPr>
          <w:cantSplit/>
        </w:trPr>
        <w:tc>
          <w:tcPr>
            <w:tcW w:type="dxa" w:w="2100"/>
            <w:tcMar>
              <w:top w:w="80" w:type="dxa"/>
              <w:start w:w="120" w:type="dxa"/>
              <w:bottom w:w="80" w:type="dxa"/>
              <w:end w:w="120" w:type="dxa"/>
            </w:tcMar>
            <w:vAlign w:val="top"/>
          </w:tcPr>
          <w:p>
            <w:pPr>
              <w:spacing w:after="0"/>
            </w:pPr>
            <w:r>
              <w:rPr>
                <w:rFonts w:ascii="Calibri" w:hAnsi="Calibri" w:eastAsia="Calibri"/>
                <w:sz w:val="17"/>
              </w:rPr>
              <w:t>Subscription manager</w:t>
            </w:r>
          </w:p>
        </w:tc>
        <w:tc>
          <w:tcPr>
            <w:tcW w:type="dxa" w:w="3200"/>
            <w:tcMar>
              <w:top w:w="80" w:type="dxa"/>
              <w:start w:w="120" w:type="dxa"/>
              <w:bottom w:w="80" w:type="dxa"/>
              <w:end w:w="120" w:type="dxa"/>
            </w:tcMar>
            <w:vAlign w:val="top"/>
          </w:tcPr>
          <w:p>
            <w:pPr>
              <w:spacing w:after="0"/>
            </w:pPr>
            <w:r>
              <w:rPr>
                <w:rFonts w:ascii="Calibri" w:hAnsi="Calibri" w:eastAsia="Calibri"/>
                <w:sz w:val="17"/>
              </w:rPr>
              <w:t>Create/renew mailbox notifications</w:t>
            </w:r>
          </w:p>
        </w:tc>
        <w:tc>
          <w:tcPr>
            <w:tcW w:type="dxa" w:w="4060"/>
            <w:tcMar>
              <w:top w:w="80" w:type="dxa"/>
              <w:start w:w="120" w:type="dxa"/>
              <w:bottom w:w="80" w:type="dxa"/>
              <w:end w:w="120" w:type="dxa"/>
            </w:tcMar>
            <w:vAlign w:val="top"/>
          </w:tcPr>
          <w:p>
            <w:pPr>
              <w:spacing w:after="0"/>
            </w:pPr>
            <w:r>
              <w:rPr>
                <w:rFonts w:ascii="Calibri" w:hAnsi="Calibri" w:eastAsia="Calibri"/>
                <w:sz w:val="17"/>
              </w:rPr>
              <w:t>Credential rotation; expiry alerts; health dashboard.</w:t>
            </w:r>
          </w:p>
        </w:tc>
      </w:tr>
      <w:tr>
        <w:trPr>
          <w:cantSplit/>
        </w:trPr>
        <w:tc>
          <w:tcPr>
            <w:tcW w:type="dxa" w:w="2100"/>
            <w:tcMar>
              <w:top w:w="80" w:type="dxa"/>
              <w:start w:w="120" w:type="dxa"/>
              <w:bottom w:w="80" w:type="dxa"/>
              <w:end w:w="120" w:type="dxa"/>
            </w:tcMar>
            <w:vAlign w:val="top"/>
          </w:tcPr>
          <w:p>
            <w:pPr>
              <w:spacing w:after="0"/>
            </w:pPr>
            <w:r>
              <w:rPr>
                <w:rFonts w:ascii="Calibri" w:hAnsi="Calibri" w:eastAsia="Calibri"/>
                <w:sz w:val="17"/>
              </w:rPr>
              <w:t>Human delegates</w:t>
            </w:r>
          </w:p>
        </w:tc>
        <w:tc>
          <w:tcPr>
            <w:tcW w:type="dxa" w:w="3200"/>
            <w:tcMar>
              <w:top w:w="80" w:type="dxa"/>
              <w:start w:w="120" w:type="dxa"/>
              <w:bottom w:w="80" w:type="dxa"/>
              <w:end w:w="120" w:type="dxa"/>
            </w:tcMar>
            <w:vAlign w:val="top"/>
          </w:tcPr>
          <w:p>
            <w:pPr>
              <w:spacing w:after="0"/>
            </w:pPr>
            <w:r>
              <w:rPr>
                <w:rFonts w:ascii="Calibri" w:hAnsi="Calibri" w:eastAsia="Calibri"/>
                <w:sz w:val="17"/>
              </w:rPr>
              <w:t>Full Access/Send As by job role</w:t>
            </w:r>
          </w:p>
        </w:tc>
        <w:tc>
          <w:tcPr>
            <w:tcW w:type="dxa" w:w="4060"/>
            <w:tcMar>
              <w:top w:w="80" w:type="dxa"/>
              <w:start w:w="120" w:type="dxa"/>
              <w:bottom w:w="80" w:type="dxa"/>
              <w:end w:w="120" w:type="dxa"/>
            </w:tcMar>
            <w:vAlign w:val="top"/>
          </w:tcPr>
          <w:p>
            <w:pPr>
              <w:spacing w:after="0"/>
            </w:pPr>
            <w:r>
              <w:rPr>
                <w:rFonts w:ascii="Calibri" w:hAnsi="Calibri" w:eastAsia="Calibri"/>
                <w:sz w:val="17"/>
              </w:rPr>
              <w:t>Quarterly recertification; prompt removal on transfer/exit.</w:t>
            </w:r>
          </w:p>
        </w:tc>
      </w:tr>
      <w:tr>
        <w:trPr>
          <w:cantSplit/>
        </w:trPr>
        <w:tc>
          <w:tcPr>
            <w:tcW w:type="dxa" w:w="2100"/>
            <w:tcMar>
              <w:top w:w="80" w:type="dxa"/>
              <w:start w:w="120" w:type="dxa"/>
              <w:bottom w:w="80" w:type="dxa"/>
              <w:end w:w="120" w:type="dxa"/>
            </w:tcMar>
            <w:vAlign w:val="top"/>
          </w:tcPr>
          <w:p>
            <w:pPr>
              <w:spacing w:after="0"/>
            </w:pPr>
            <w:r>
              <w:rPr>
                <w:rFonts w:ascii="Calibri" w:hAnsi="Calibri" w:eastAsia="Calibri"/>
                <w:sz w:val="17"/>
              </w:rPr>
              <w:t>Investigators/eDiscovery</w:t>
            </w:r>
          </w:p>
        </w:tc>
        <w:tc>
          <w:tcPr>
            <w:tcW w:type="dxa" w:w="3200"/>
            <w:tcMar>
              <w:top w:w="80" w:type="dxa"/>
              <w:start w:w="120" w:type="dxa"/>
              <w:bottom w:w="80" w:type="dxa"/>
              <w:end w:w="120" w:type="dxa"/>
            </w:tcMar>
            <w:vAlign w:val="top"/>
          </w:tcPr>
          <w:p>
            <w:pPr>
              <w:spacing w:after="0"/>
            </w:pPr>
            <w:r>
              <w:rPr>
                <w:rFonts w:ascii="Calibri" w:hAnsi="Calibri" w:eastAsia="Calibri"/>
                <w:sz w:val="17"/>
              </w:rPr>
              <w:t>Purview role only when required</w:t>
            </w:r>
          </w:p>
        </w:tc>
        <w:tc>
          <w:tcPr>
            <w:tcW w:type="dxa" w:w="4060"/>
            <w:tcMar>
              <w:top w:w="80" w:type="dxa"/>
              <w:start w:w="120" w:type="dxa"/>
              <w:bottom w:w="80" w:type="dxa"/>
              <w:end w:w="120" w:type="dxa"/>
            </w:tcMar>
            <w:vAlign w:val="top"/>
          </w:tcPr>
          <w:p>
            <w:pPr>
              <w:spacing w:after="0"/>
            </w:pPr>
            <w:r>
              <w:rPr>
                <w:rFonts w:ascii="Calibri" w:hAnsi="Calibri" w:eastAsia="Calibri"/>
                <w:sz w:val="17"/>
              </w:rPr>
              <w:t>Segregated from operational mailbox administration.</w:t>
            </w:r>
          </w:p>
        </w:tc>
      </w:tr>
    </w:tbl>
    <w:p>
      <w:pPr>
        <w:spacing w:after="20"/>
      </w:pPr>
    </w:p>
    <w:p>
      <w:pPr>
        <w:pStyle w:val="Heading2"/>
      </w:pPr>
      <w:r>
        <w:t>5.3 Integration services</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63A5F"/>
                <w:sz w:val="17"/>
              </w:rPr>
              <w:t>Service</w:t>
            </w:r>
          </w:p>
        </w:tc>
        <w:tc>
          <w:tcPr>
            <w:tcW w:type="dxa" w:w="3600"/>
            <w:shd w:fill="F2F4F7"/>
            <w:tcMar>
              <w:top w:w="80" w:type="dxa"/>
              <w:start w:w="120" w:type="dxa"/>
              <w:bottom w:w="80" w:type="dxa"/>
              <w:end w:w="120" w:type="dxa"/>
            </w:tcMar>
            <w:vAlign w:val="center"/>
          </w:tcPr>
          <w:p>
            <w:pPr>
              <w:spacing w:after="0"/>
            </w:pPr>
            <w:r>
              <w:rPr>
                <w:rFonts w:ascii="Calibri" w:hAnsi="Calibri" w:eastAsia="Calibri"/>
                <w:b/>
                <w:color w:val="163A5F"/>
                <w:sz w:val="17"/>
              </w:rPr>
              <w:t>Purpose</w:t>
            </w:r>
          </w:p>
        </w:tc>
        <w:tc>
          <w:tcPr>
            <w:tcW w:type="dxa" w:w="3860"/>
            <w:shd w:fill="F2F4F7"/>
            <w:tcMar>
              <w:top w:w="80" w:type="dxa"/>
              <w:start w:w="120" w:type="dxa"/>
              <w:bottom w:w="80" w:type="dxa"/>
              <w:end w:w="120" w:type="dxa"/>
            </w:tcMar>
            <w:vAlign w:val="center"/>
          </w:tcPr>
          <w:p>
            <w:pPr>
              <w:spacing w:after="0"/>
            </w:pPr>
            <w:r>
              <w:rPr>
                <w:rFonts w:ascii="Calibri" w:hAnsi="Calibri" w:eastAsia="Calibri"/>
                <w:b/>
                <w:color w:val="163A5F"/>
                <w:sz w:val="17"/>
              </w:rPr>
              <w:t>Failure control</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Webhook endpoint</w:t>
            </w:r>
          </w:p>
        </w:tc>
        <w:tc>
          <w:tcPr>
            <w:tcW w:type="dxa" w:w="3600"/>
            <w:tcMar>
              <w:top w:w="80" w:type="dxa"/>
              <w:start w:w="120" w:type="dxa"/>
              <w:bottom w:w="80" w:type="dxa"/>
              <w:end w:w="120" w:type="dxa"/>
            </w:tcMar>
            <w:vAlign w:val="top"/>
          </w:tcPr>
          <w:p>
            <w:pPr>
              <w:spacing w:after="0"/>
            </w:pPr>
            <w:r>
              <w:rPr>
                <w:rFonts w:ascii="Calibri" w:hAnsi="Calibri" w:eastAsia="Calibri"/>
                <w:sz w:val="17"/>
              </w:rPr>
              <w:t>Receive minimal Graph change notifications</w:t>
            </w:r>
          </w:p>
        </w:tc>
        <w:tc>
          <w:tcPr>
            <w:tcW w:type="dxa" w:w="3860"/>
            <w:tcMar>
              <w:top w:w="80" w:type="dxa"/>
              <w:start w:w="120" w:type="dxa"/>
              <w:bottom w:w="80" w:type="dxa"/>
              <w:end w:w="120" w:type="dxa"/>
            </w:tcMar>
            <w:vAlign w:val="top"/>
          </w:tcPr>
          <w:p>
            <w:pPr>
              <w:spacing w:after="0"/>
            </w:pPr>
            <w:r>
              <w:rPr>
                <w:rFonts w:ascii="Calibri" w:hAnsi="Calibri" w:eastAsia="Calibri"/>
                <w:sz w:val="17"/>
              </w:rPr>
              <w:t>Validate clientState, rate-limit, enqueue and return promptly.</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Subscription renewer</w:t>
            </w:r>
          </w:p>
        </w:tc>
        <w:tc>
          <w:tcPr>
            <w:tcW w:type="dxa" w:w="3600"/>
            <w:tcMar>
              <w:top w:w="80" w:type="dxa"/>
              <w:start w:w="120" w:type="dxa"/>
              <w:bottom w:w="80" w:type="dxa"/>
              <w:end w:w="120" w:type="dxa"/>
            </w:tcMar>
            <w:vAlign w:val="top"/>
          </w:tcPr>
          <w:p>
            <w:pPr>
              <w:spacing w:after="0"/>
            </w:pPr>
            <w:r>
              <w:rPr>
                <w:rFonts w:ascii="Calibri" w:hAnsi="Calibri" w:eastAsia="Calibri"/>
                <w:sz w:val="17"/>
              </w:rPr>
              <w:t>Renew Outlook subscription before maximum lifetime</w:t>
            </w:r>
          </w:p>
        </w:tc>
        <w:tc>
          <w:tcPr>
            <w:tcW w:type="dxa" w:w="3860"/>
            <w:tcMar>
              <w:top w:w="80" w:type="dxa"/>
              <w:start w:w="120" w:type="dxa"/>
              <w:bottom w:w="80" w:type="dxa"/>
              <w:end w:w="120" w:type="dxa"/>
            </w:tcMar>
            <w:vAlign w:val="top"/>
          </w:tcPr>
          <w:p>
            <w:pPr>
              <w:spacing w:after="0"/>
            </w:pPr>
            <w:r>
              <w:rPr>
                <w:rFonts w:ascii="Calibri" w:hAnsi="Calibri" w:eastAsia="Calibri"/>
                <w:sz w:val="17"/>
              </w:rPr>
              <w:t>Alert at thresholds; recreate after lifecycle event.</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Mailbox worker</w:t>
            </w:r>
          </w:p>
        </w:tc>
        <w:tc>
          <w:tcPr>
            <w:tcW w:type="dxa" w:w="3600"/>
            <w:tcMar>
              <w:top w:w="80" w:type="dxa"/>
              <w:start w:w="120" w:type="dxa"/>
              <w:bottom w:w="80" w:type="dxa"/>
              <w:end w:w="120" w:type="dxa"/>
            </w:tcMar>
            <w:vAlign w:val="top"/>
          </w:tcPr>
          <w:p>
            <w:pPr>
              <w:spacing w:after="0"/>
            </w:pPr>
            <w:r>
              <w:rPr>
                <w:rFonts w:ascii="Calibri" w:hAnsi="Calibri" w:eastAsia="Calibri"/>
                <w:sz w:val="17"/>
              </w:rPr>
              <w:t>Fetch message, MIME, headers, attachments and IDs</w:t>
            </w:r>
          </w:p>
        </w:tc>
        <w:tc>
          <w:tcPr>
            <w:tcW w:type="dxa" w:w="3860"/>
            <w:tcMar>
              <w:top w:w="80" w:type="dxa"/>
              <w:start w:w="120" w:type="dxa"/>
              <w:bottom w:w="80" w:type="dxa"/>
              <w:end w:w="120" w:type="dxa"/>
            </w:tcMar>
            <w:vAlign w:val="top"/>
          </w:tcPr>
          <w:p>
            <w:pPr>
              <w:spacing w:after="0"/>
            </w:pPr>
            <w:r>
              <w:rPr>
                <w:rFonts w:ascii="Calibri" w:hAnsi="Calibri" w:eastAsia="Calibri"/>
                <w:sz w:val="17"/>
              </w:rPr>
              <w:t>Idempotency key; retry with backoff; dead-letter queue.</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Evidence store</w:t>
            </w:r>
          </w:p>
        </w:tc>
        <w:tc>
          <w:tcPr>
            <w:tcW w:type="dxa" w:w="3600"/>
            <w:tcMar>
              <w:top w:w="80" w:type="dxa"/>
              <w:start w:w="120" w:type="dxa"/>
              <w:bottom w:w="80" w:type="dxa"/>
              <w:end w:w="120" w:type="dxa"/>
            </w:tcMar>
            <w:vAlign w:val="top"/>
          </w:tcPr>
          <w:p>
            <w:pPr>
              <w:spacing w:after="0"/>
            </w:pPr>
            <w:r>
              <w:rPr>
                <w:rFonts w:ascii="Calibri" w:hAnsi="Calibri" w:eastAsia="Calibri"/>
                <w:sz w:val="17"/>
              </w:rPr>
              <w:t>Write-once/controlled raw MIME and attachments with hash</w:t>
            </w:r>
          </w:p>
        </w:tc>
        <w:tc>
          <w:tcPr>
            <w:tcW w:type="dxa" w:w="3860"/>
            <w:tcMar>
              <w:top w:w="80" w:type="dxa"/>
              <w:start w:w="120" w:type="dxa"/>
              <w:bottom w:w="80" w:type="dxa"/>
              <w:end w:w="120" w:type="dxa"/>
            </w:tcMar>
            <w:vAlign w:val="top"/>
          </w:tcPr>
          <w:p>
            <w:pPr>
              <w:spacing w:after="0"/>
            </w:pPr>
            <w:r>
              <w:rPr>
                <w:rFonts w:ascii="Calibri" w:hAnsi="Calibri" w:eastAsia="Calibri"/>
                <w:sz w:val="17"/>
              </w:rPr>
              <w:t>Encryption, access log, retention/legal hold, integrity verification.</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Scanner/parser</w:t>
            </w:r>
          </w:p>
        </w:tc>
        <w:tc>
          <w:tcPr>
            <w:tcW w:type="dxa" w:w="3600"/>
            <w:tcMar>
              <w:top w:w="80" w:type="dxa"/>
              <w:start w:w="120" w:type="dxa"/>
              <w:bottom w:w="80" w:type="dxa"/>
              <w:end w:w="120" w:type="dxa"/>
            </w:tcMar>
            <w:vAlign w:val="top"/>
          </w:tcPr>
          <w:p>
            <w:pPr>
              <w:spacing w:after="0"/>
            </w:pPr>
            <w:r>
              <w:rPr>
                <w:rFonts w:ascii="Calibri" w:hAnsi="Calibri" w:eastAsia="Calibri"/>
                <w:sz w:val="17"/>
              </w:rPr>
              <w:t>Malware/CDR checks, safe text/structured file extraction</w:t>
            </w:r>
          </w:p>
        </w:tc>
        <w:tc>
          <w:tcPr>
            <w:tcW w:type="dxa" w:w="3860"/>
            <w:tcMar>
              <w:top w:w="80" w:type="dxa"/>
              <w:start w:w="120" w:type="dxa"/>
              <w:bottom w:w="80" w:type="dxa"/>
              <w:end w:w="120" w:type="dxa"/>
            </w:tcMar>
            <w:vAlign w:val="top"/>
          </w:tcPr>
          <w:p>
            <w:pPr>
              <w:spacing w:after="0"/>
            </w:pPr>
            <w:r>
              <w:rPr>
                <w:rFonts w:ascii="Calibri" w:hAnsi="Calibri" w:eastAsia="Calibri"/>
                <w:sz w:val="17"/>
              </w:rPr>
              <w:t>Sandbox/quarantine; no macros; time and size limits.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Case resolver</w:t>
            </w:r>
          </w:p>
        </w:tc>
        <w:tc>
          <w:tcPr>
            <w:tcW w:type="dxa" w:w="3600"/>
            <w:tcMar>
              <w:top w:w="80" w:type="dxa"/>
              <w:start w:w="120" w:type="dxa"/>
              <w:bottom w:w="80" w:type="dxa"/>
              <w:end w:w="120" w:type="dxa"/>
            </w:tcMar>
            <w:vAlign w:val="top"/>
          </w:tcPr>
          <w:p>
            <w:pPr>
              <w:spacing w:after="0"/>
            </w:pPr>
            <w:r>
              <w:rPr>
                <w:rFonts w:ascii="Calibri" w:hAnsi="Calibri" w:eastAsia="Calibri"/>
                <w:sz w:val="17"/>
              </w:rPr>
              <w:t>Link message to case using deterministic evidence</w:t>
            </w:r>
          </w:p>
        </w:tc>
        <w:tc>
          <w:tcPr>
            <w:tcW w:type="dxa" w:w="3860"/>
            <w:tcMar>
              <w:top w:w="80" w:type="dxa"/>
              <w:start w:w="120" w:type="dxa"/>
              <w:bottom w:w="80" w:type="dxa"/>
              <w:end w:w="120" w:type="dxa"/>
            </w:tcMar>
            <w:vAlign w:val="top"/>
          </w:tcPr>
          <w:p>
            <w:pPr>
              <w:spacing w:after="0"/>
            </w:pPr>
            <w:r>
              <w:rPr>
                <w:rFonts w:ascii="Calibri" w:hAnsi="Calibri" w:eastAsia="Calibri"/>
                <w:sz w:val="17"/>
              </w:rPr>
              <w:t>Confidence threshold and manual triage.</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Extraction service</w:t>
            </w:r>
          </w:p>
        </w:tc>
        <w:tc>
          <w:tcPr>
            <w:tcW w:type="dxa" w:w="3600"/>
            <w:tcMar>
              <w:top w:w="80" w:type="dxa"/>
              <w:start w:w="120" w:type="dxa"/>
              <w:bottom w:w="80" w:type="dxa"/>
              <w:end w:w="120" w:type="dxa"/>
            </w:tcMar>
            <w:vAlign w:val="top"/>
          </w:tcPr>
          <w:p>
            <w:pPr>
              <w:spacing w:after="0"/>
            </w:pPr>
            <w:r>
              <w:rPr>
                <w:rFonts w:ascii="Calibri" w:hAnsi="Calibri" w:eastAsia="Calibri"/>
                <w:sz w:val="17"/>
              </w:rPr>
              <w:t>Produce schema-bound proposed facts with provenance</w:t>
            </w:r>
          </w:p>
        </w:tc>
        <w:tc>
          <w:tcPr>
            <w:tcW w:type="dxa" w:w="3860"/>
            <w:tcMar>
              <w:top w:w="80" w:type="dxa"/>
              <w:start w:w="120" w:type="dxa"/>
              <w:bottom w:w="80" w:type="dxa"/>
              <w:end w:w="120" w:type="dxa"/>
            </w:tcMar>
            <w:vAlign w:val="top"/>
          </w:tcPr>
          <w:p>
            <w:pPr>
              <w:spacing w:after="0"/>
            </w:pPr>
            <w:r>
              <w:rPr>
                <w:rFonts w:ascii="Calibri" w:hAnsi="Calibri" w:eastAsia="Calibri"/>
                <w:sz w:val="17"/>
              </w:rPr>
              <w:t>No tools/action rights; prompt-injection isolation; evaluation.</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Draft service</w:t>
            </w:r>
          </w:p>
        </w:tc>
        <w:tc>
          <w:tcPr>
            <w:tcW w:type="dxa" w:w="3600"/>
            <w:tcMar>
              <w:top w:w="80" w:type="dxa"/>
              <w:start w:w="120" w:type="dxa"/>
              <w:bottom w:w="80" w:type="dxa"/>
              <w:end w:w="120" w:type="dxa"/>
            </w:tcMar>
            <w:vAlign w:val="top"/>
          </w:tcPr>
          <w:p>
            <w:pPr>
              <w:spacing w:after="0"/>
            </w:pPr>
            <w:r>
              <w:rPr>
                <w:rFonts w:ascii="Calibri" w:hAnsi="Calibri" w:eastAsia="Calibri"/>
                <w:sz w:val="17"/>
              </w:rPr>
              <w:t>Render versioned response from verified facts</w:t>
            </w:r>
          </w:p>
        </w:tc>
        <w:tc>
          <w:tcPr>
            <w:tcW w:type="dxa" w:w="3860"/>
            <w:tcMar>
              <w:top w:w="80" w:type="dxa"/>
              <w:start w:w="120" w:type="dxa"/>
              <w:bottom w:w="80" w:type="dxa"/>
              <w:end w:w="120" w:type="dxa"/>
            </w:tcMar>
            <w:vAlign w:val="top"/>
          </w:tcPr>
          <w:p>
            <w:pPr>
              <w:spacing w:after="0"/>
            </w:pPr>
            <w:r>
              <w:rPr>
                <w:rFonts w:ascii="Calibri" w:hAnsi="Calibri" w:eastAsia="Calibri"/>
                <w:sz w:val="17"/>
              </w:rPr>
              <w:t>Approval rules; legal language blocks; preview exact recipients.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Reconciler</w:t>
            </w:r>
          </w:p>
        </w:tc>
        <w:tc>
          <w:tcPr>
            <w:tcW w:type="dxa" w:w="3600"/>
            <w:tcMar>
              <w:top w:w="80" w:type="dxa"/>
              <w:start w:w="120" w:type="dxa"/>
              <w:bottom w:w="80" w:type="dxa"/>
              <w:end w:w="120" w:type="dxa"/>
            </w:tcMar>
            <w:vAlign w:val="top"/>
          </w:tcPr>
          <w:p>
            <w:pPr>
              <w:spacing w:after="0"/>
            </w:pPr>
            <w:r>
              <w:rPr>
                <w:rFonts w:ascii="Calibri" w:hAnsi="Calibri" w:eastAsia="Calibri"/>
                <w:sz w:val="17"/>
              </w:rPr>
              <w:t>Delta query and Sent/NDR reconciliation</w:t>
            </w:r>
          </w:p>
        </w:tc>
        <w:tc>
          <w:tcPr>
            <w:tcW w:type="dxa" w:w="3860"/>
            <w:tcMar>
              <w:top w:w="80" w:type="dxa"/>
              <w:start w:w="120" w:type="dxa"/>
              <w:bottom w:w="80" w:type="dxa"/>
              <w:end w:w="120" w:type="dxa"/>
            </w:tcMar>
            <w:vAlign w:val="top"/>
          </w:tcPr>
          <w:p>
            <w:pPr>
              <w:spacing w:after="0"/>
            </w:pPr>
            <w:r>
              <w:rPr>
                <w:rFonts w:ascii="Calibri" w:hAnsi="Calibri" w:eastAsia="Calibri"/>
                <w:sz w:val="17"/>
              </w:rPr>
              <w:t>Per-folder state; gap alert; replayable operations.</w:t>
            </w:r>
          </w:p>
        </w:tc>
      </w:tr>
    </w:tbl>
    <w:p>
      <w:pPr>
        <w:spacing w:after="20"/>
      </w:pPr>
    </w:p>
    <w:p>
      <w:pPr>
        <w:pStyle w:val="Heading2"/>
      </w:pPr>
      <w:r>
        <w:t>5.4 Event and idempotency design</w:t>
      </w:r>
    </w:p>
    <w:p>
      <w:r>
        <w:t>Every integration operation needs a stable idempotency key. For incoming mail use tenant + mailbox + immutable message ID, with internetMessageId and MIME hash as cross-checks. For outgoing mail use a platform correspondence ID embedded in a custom header where supported and in the case token. A duplicate webhook, retry or delta replay must not create a second correspondence, second set of values or second reply.</w:t>
      </w:r>
    </w:p>
    <w:p>
      <w:pPr>
        <w:pStyle w:val="Heading2"/>
      </w:pPr>
      <w:r>
        <w:t>5.5 Retention and audit architecture</w:t>
      </w:r>
    </w:p>
    <w:p>
      <w:r>
        <w:t>Apply Microsoft Purview retention to the shared mailbox and preserve sent, received and draft messages plus attachments. Exchange retention can retain content and original versions in Recoverable Items when users edit or delete items. [21] This should be paired with the platform evidence store because the platform needs value-level provenance, hashes and case linkage. Purview mailbox auditing supports owner, delegate and administrative activities, but the default audit retention period may not match the records schedule. [22]</w:t>
      </w:r>
    </w:p>
    <w:tbl>
      <w:tblPr>
        <w:tblW w:type="dxa" w:w="9360"/>
        <w:jc w:val="center"/>
        <w:tblLayout w:type="fixed"/>
        <w:tblLook w:firstColumn="1" w:firstRow="1" w:lastColumn="0" w:lastRow="0" w:noHBand="0" w:noVBand="1" w:val="04A0"/>
      </w:tblPr>
      <w:tblGrid>
        <w:gridCol w:w="9360"/>
      </w:tblGrid>
      <w:tr>
        <w:tc>
          <w:tcPr>
            <w:tcW w:type="dxa" w:w="9360"/>
            <w:shd w:fill="FFF7E6"/>
            <w:tcMar>
              <w:top w:w="130" w:type="dxa"/>
              <w:start w:w="180" w:type="dxa"/>
              <w:bottom w:w="130" w:type="dxa"/>
              <w:end w:w="180" w:type="dxa"/>
            </w:tcMar>
          </w:tcPr>
          <w:p>
            <w:pPr>
              <w:spacing w:after="60"/>
            </w:pPr>
            <w:r>
              <w:rPr>
                <w:rFonts w:ascii="Calibri" w:hAnsi="Calibri" w:eastAsia="Calibri"/>
                <w:b/>
                <w:color w:val="F59E0B"/>
                <w:sz w:val="21"/>
              </w:rPr>
              <w:t>Retention decision needed</w:t>
            </w:r>
          </w:p>
          <w:p>
            <w:pPr>
              <w:spacing w:after="0"/>
              <w:pBdr>
                <w:left w:val="single" w:sz="16" w:space="8" w:color="F59E0B"/>
              </w:pBdr>
            </w:pPr>
            <w:r>
              <w:t>Use six years only as a legal floor where Act 772's retention provision applies—not as the automatic universal schedule. Records Management and Legal should approve a schedule by record class, reconcile it with PRAAD requirements and Act 843 minimisation, and define legal-hold and disposition review.</w:t>
            </w:r>
          </w:p>
        </w:tc>
      </w:tr>
    </w:tbl>
    <w:p>
      <w:pPr>
        <w:spacing w:after="0"/>
      </w:pPr>
    </w:p>
    <w:p>
      <w:r>
        <w:br w:type="page"/>
      </w:r>
    </w:p>
    <w:p>
      <w:pPr>
        <w:pStyle w:val="Heading1"/>
      </w:pPr>
      <w:r>
        <w:t>6. Breaking down email replies into structured data</w:t>
      </w:r>
    </w:p>
    <w:p>
      <w:pPr>
        <w:pStyle w:val="Heading2"/>
      </w:pPr>
      <w:r>
        <w:t>6.1 Feasibility</w:t>
      </w:r>
    </w:p>
    <w:p>
      <w:r>
        <w:t>Yes. Replies can be reduced to useful data points, but the output must be treated as a proposal supported by evidence. Accuracy is highest when NCA controls the reply format: secure portal links, structured web forms, CSV/XLSX templates with stable field IDs, or an email questionnaire that asks respondents to preserve labels. Free-form prose and scanned attachments remain possible but require stronger review.</w:t>
      </w:r>
    </w:p>
    <w:p>
      <w:pPr>
        <w:pStyle w:val="Heading2"/>
      </w:pPr>
      <w:r>
        <w:t>6.2 Recommended extraction hierarchy</w:t>
      </w:r>
    </w:p>
    <w:p>
      <w:pPr>
        <w:pStyle w:val="ListNumber"/>
      </w:pPr>
      <w:r>
        <w:t>Portal/API payload with schema validation—highest assurance.</w:t>
      </w:r>
    </w:p>
    <w:p>
      <w:pPr>
        <w:pStyle w:val="ListNumber"/>
      </w:pPr>
      <w:r>
        <w:t>NCA-issued CSV/XLSX template with protected headers and validation.</w:t>
      </w:r>
    </w:p>
    <w:p>
      <w:pPr>
        <w:pStyle w:val="ListNumber"/>
      </w:pPr>
      <w:r>
        <w:t>Structured email reply using stable field labels and units.</w:t>
      </w:r>
    </w:p>
    <w:p>
      <w:pPr>
        <w:pStyle w:val="ListNumber"/>
      </w:pPr>
      <w:r>
        <w:t>Machine-readable PDF or document table.</w:t>
      </w:r>
    </w:p>
    <w:p>
      <w:pPr>
        <w:pStyle w:val="ListNumber"/>
      </w:pPr>
      <w:r>
        <w:t>Free-form email prose.</w:t>
      </w:r>
    </w:p>
    <w:p>
      <w:pPr>
        <w:pStyle w:val="ListNumber"/>
      </w:pPr>
      <w:r>
        <w:t>Scanned image, photographed form or ambiguous attachment—lowest assurance and mandatory review.</w:t>
      </w:r>
    </w:p>
    <w:p>
      <w:pPr>
        <w:pStyle w:val="Heading2"/>
      </w:pPr>
      <w:r>
        <w:t>6.3 Data points to collect from every message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150"/>
            <w:shd w:fill="F2F4F7"/>
            <w:tcMar>
              <w:top w:w="80" w:type="dxa"/>
              <w:start w:w="120" w:type="dxa"/>
              <w:bottom w:w="80" w:type="dxa"/>
              <w:end w:w="120" w:type="dxa"/>
            </w:tcMar>
            <w:vAlign w:val="center"/>
          </w:tcPr>
          <w:p>
            <w:pPr>
              <w:spacing w:after="0"/>
            </w:pPr>
            <w:r>
              <w:rPr>
                <w:rFonts w:ascii="Calibri" w:hAnsi="Calibri" w:eastAsia="Calibri"/>
                <w:b/>
                <w:color w:val="163A5F"/>
                <w:sz w:val="17"/>
              </w:rPr>
              <w:t>Category</w:t>
            </w:r>
          </w:p>
        </w:tc>
        <w:tc>
          <w:tcPr>
            <w:tcW w:type="dxa" w:w="7210"/>
            <w:shd w:fill="F2F4F7"/>
            <w:tcMar>
              <w:top w:w="80" w:type="dxa"/>
              <w:start w:w="120" w:type="dxa"/>
              <w:bottom w:w="80" w:type="dxa"/>
              <w:end w:w="120" w:type="dxa"/>
            </w:tcMar>
            <w:vAlign w:val="center"/>
          </w:tcPr>
          <w:p>
            <w:pPr>
              <w:spacing w:after="0"/>
            </w:pPr>
            <w:r>
              <w:rPr>
                <w:rFonts w:ascii="Calibri" w:hAnsi="Calibri" w:eastAsia="Calibri"/>
                <w:b/>
                <w:color w:val="163A5F"/>
                <w:sz w:val="17"/>
              </w:rPr>
              <w:t>Proposed fields</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Transport evidence</w:t>
            </w:r>
          </w:p>
        </w:tc>
        <w:tc>
          <w:tcPr>
            <w:tcW w:type="dxa" w:w="7210"/>
            <w:tcMar>
              <w:top w:w="80" w:type="dxa"/>
              <w:start w:w="120" w:type="dxa"/>
              <w:bottom w:w="80" w:type="dxa"/>
              <w:end w:w="120" w:type="dxa"/>
            </w:tcMar>
            <w:vAlign w:val="top"/>
          </w:tcPr>
          <w:p>
            <w:pPr>
              <w:spacing w:after="0"/>
            </w:pPr>
            <w:r>
              <w:rPr>
                <w:rFonts w:ascii="Calibri" w:hAnsi="Calibri" w:eastAsia="Calibri"/>
                <w:sz w:val="17"/>
              </w:rPr>
              <w:t>Mailbox; Graph immutableId; internetMessageId; conversationId; In-Reply-To; References; sender; reply-to; to/cc; sent/received time; header subset; MIME hash; attachment hashes.</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Case routing</w:t>
            </w:r>
          </w:p>
        </w:tc>
        <w:tc>
          <w:tcPr>
            <w:tcW w:type="dxa" w:w="7210"/>
            <w:tcMar>
              <w:top w:w="80" w:type="dxa"/>
              <w:start w:w="120" w:type="dxa"/>
              <w:bottom w:w="80" w:type="dxa"/>
              <w:end w:w="120" w:type="dxa"/>
            </w:tcMar>
            <w:vAlign w:val="top"/>
          </w:tcPr>
          <w:p>
            <w:pPr>
              <w:spacing w:after="0"/>
            </w:pPr>
            <w:r>
              <w:rPr>
                <w:rFonts w:ascii="Calibri" w:hAnsi="Calibri" w:eastAsia="Calibri"/>
                <w:sz w:val="17"/>
              </w:rPr>
              <w:t>Case token; provider/applicant; contact; obligation/application; form; reporting period; assignment; match method; match confidence.</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Message classification</w:t>
            </w:r>
          </w:p>
        </w:tc>
        <w:tc>
          <w:tcPr>
            <w:tcW w:type="dxa" w:w="7210"/>
            <w:tcMar>
              <w:top w:w="80" w:type="dxa"/>
              <w:start w:w="120" w:type="dxa"/>
              <w:bottom w:w="80" w:type="dxa"/>
              <w:end w:w="120" w:type="dxa"/>
            </w:tcMar>
            <w:vAlign w:val="top"/>
          </w:tcPr>
          <w:p>
            <w:pPr>
              <w:spacing w:after="0"/>
            </w:pPr>
            <w:r>
              <w:rPr>
                <w:rFonts w:ascii="Calibri" w:hAnsi="Calibri" w:eastAsia="Calibri"/>
                <w:sz w:val="17"/>
              </w:rPr>
              <w:t>Acknowledgement; data submission; correction; explanation; extension request; dispute; complaint; bounce; automatic reply; unrelated; security concern.</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Commitments and timing</w:t>
            </w:r>
          </w:p>
        </w:tc>
        <w:tc>
          <w:tcPr>
            <w:tcW w:type="dxa" w:w="7210"/>
            <w:tcMar>
              <w:top w:w="80" w:type="dxa"/>
              <w:start w:w="120" w:type="dxa"/>
              <w:bottom w:w="80" w:type="dxa"/>
              <w:end w:w="120" w:type="dxa"/>
            </w:tcMar>
            <w:vAlign w:val="top"/>
          </w:tcPr>
          <w:p>
            <w:pPr>
              <w:spacing w:after="0"/>
            </w:pPr>
            <w:r>
              <w:rPr>
                <w:rFonts w:ascii="Calibri" w:hAnsi="Calibri" w:eastAsia="Calibri"/>
                <w:sz w:val="17"/>
              </w:rPr>
              <w:t>Requested extension date; promised submission date; next action; due date mentioned; reason for delay; blocker; responsible person.</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Submission facts</w:t>
            </w:r>
          </w:p>
        </w:tc>
        <w:tc>
          <w:tcPr>
            <w:tcW w:type="dxa" w:w="7210"/>
            <w:tcMar>
              <w:top w:w="80" w:type="dxa"/>
              <w:start w:w="120" w:type="dxa"/>
              <w:bottom w:w="80" w:type="dxa"/>
              <w:end w:w="120" w:type="dxa"/>
            </w:tcMar>
            <w:vAlign w:val="top"/>
          </w:tcPr>
          <w:p>
            <w:pPr>
              <w:spacing w:after="0"/>
            </w:pPr>
            <w:r>
              <w:rPr>
                <w:rFonts w:ascii="Calibri" w:hAnsi="Calibri" w:eastAsia="Calibri"/>
                <w:sz w:val="17"/>
              </w:rPr>
              <w:t>Stable field ID; value; unit; currency; period; geography/site; source attachment/page/cell; quoted evidence; confidence; validation result.</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Compliance facts</w:t>
            </w:r>
          </w:p>
        </w:tc>
        <w:tc>
          <w:tcPr>
            <w:tcW w:type="dxa" w:w="7210"/>
            <w:tcMar>
              <w:top w:w="80" w:type="dxa"/>
              <w:start w:w="120" w:type="dxa"/>
              <w:bottom w:w="80" w:type="dxa"/>
              <w:end w:w="120" w:type="dxa"/>
            </w:tcMar>
            <w:vAlign w:val="top"/>
          </w:tcPr>
          <w:p>
            <w:pPr>
              <w:spacing w:after="0"/>
            </w:pPr>
            <w:r>
              <w:rPr>
                <w:rFonts w:ascii="Calibri" w:hAnsi="Calibri" w:eastAsia="Calibri"/>
                <w:sz w:val="17"/>
              </w:rPr>
              <w:t>Requirement acknowledged/disputed; missing-item response; corrective action; completion status; evidence supplied; confidentiality claim.</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Review metadata</w:t>
            </w:r>
          </w:p>
        </w:tc>
        <w:tc>
          <w:tcPr>
            <w:tcW w:type="dxa" w:w="7210"/>
            <w:tcMar>
              <w:top w:w="80" w:type="dxa"/>
              <w:start w:w="120" w:type="dxa"/>
              <w:bottom w:w="80" w:type="dxa"/>
              <w:end w:w="120" w:type="dxa"/>
            </w:tcMar>
            <w:vAlign w:val="top"/>
          </w:tcPr>
          <w:p>
            <w:pPr>
              <w:spacing w:after="0"/>
            </w:pPr>
            <w:r>
              <w:rPr>
                <w:rFonts w:ascii="Calibri" w:hAnsi="Calibri" w:eastAsia="Calibri"/>
                <w:sz w:val="17"/>
              </w:rPr>
              <w:t>Extractor/model/rule version; review status; reviewer; corrections; approval time; new submission version; conflict with existing data.</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Privacy/security</w:t>
            </w:r>
          </w:p>
        </w:tc>
        <w:tc>
          <w:tcPr>
            <w:tcW w:type="dxa" w:w="7210"/>
            <w:tcMar>
              <w:top w:w="80" w:type="dxa"/>
              <w:start w:w="120" w:type="dxa"/>
              <w:bottom w:w="80" w:type="dxa"/>
              <w:end w:w="120" w:type="dxa"/>
            </w:tcMar>
            <w:vAlign w:val="top"/>
          </w:tcPr>
          <w:p>
            <w:pPr>
              <w:spacing w:after="0"/>
            </w:pPr>
            <w:r>
              <w:rPr>
                <w:rFonts w:ascii="Calibri" w:hAnsi="Calibri" w:eastAsia="Calibri"/>
                <w:sz w:val="17"/>
              </w:rPr>
              <w:t>Personal/special data indicator; confidentiality class; malware status; unsafe link/file status; retention class; legal hold.</w:t>
            </w:r>
          </w:p>
        </w:tc>
      </w:tr>
    </w:tbl>
    <w:p>
      <w:pPr>
        <w:spacing w:after="20"/>
      </w:pPr>
    </w:p>
    <w:p>
      <w:pPr>
        <w:pStyle w:val="Heading2"/>
      </w:pPr>
      <w:r>
        <w:t>6.4 Schema-bound extraction example</w:t>
      </w:r>
    </w:p>
    <w:tbl>
      <w:tblPr>
        <w:tblW w:type="dxa" w:w="9360"/>
        <w:jc w:val="center"/>
        <w:tblLayout w:type="fixed"/>
        <w:tblLook w:firstColumn="1" w:firstRow="1" w:lastColumn="0" w:lastRow="0" w:noHBand="0" w:noVBand="1" w:val="04A0"/>
      </w:tblPr>
      <w:tblGrid>
        <w:gridCol w:w="9360"/>
      </w:tblGrid>
      <w:tr>
        <w:tc>
          <w:tcPr>
            <w:tcW w:type="dxa" w:w="9360"/>
            <w:shd w:fill="EAF3F8"/>
            <w:tcMar>
              <w:top w:w="130" w:type="dxa"/>
              <w:start w:w="180" w:type="dxa"/>
              <w:bottom w:w="130" w:type="dxa"/>
              <w:end w:w="180" w:type="dxa"/>
            </w:tcMar>
          </w:tcPr>
          <w:p>
            <w:pPr>
              <w:spacing w:after="60"/>
            </w:pPr>
            <w:r>
              <w:rPr>
                <w:rFonts w:ascii="Calibri" w:hAnsi="Calibri" w:eastAsia="Calibri"/>
                <w:b/>
                <w:color w:val="2E74B5"/>
                <w:sz w:val="21"/>
              </w:rPr>
              <w:t>Illustrative output—not an autonomous decision</w:t>
            </w:r>
          </w:p>
          <w:p>
            <w:pPr>
              <w:spacing w:after="0"/>
              <w:pBdr>
                <w:left w:val="single" w:sz="16" w:space="8" w:color="2E74B5"/>
              </w:pBdr>
            </w:pPr>
            <w:r>
              <w:t>{ "case_id": "7F4K-82QD", "message_type": "extension_request", "requested_due_date": "2026-08-14", "reason": "awaiting audited traffic reconciliation", "proposed_values": [{"field_id": "qos.dropped_calls", "value": 1.8, "unit": "%", "period": "2026-Q2", "source": "attachment:QoS.xlsx!Summary!F12", "confidence": 0.98}], "requires_human_review": true }</w:t>
            </w:r>
          </w:p>
        </w:tc>
      </w:tr>
    </w:tbl>
    <w:p>
      <w:pPr>
        <w:spacing w:after="0"/>
      </w:pPr>
    </w:p>
    <w:p>
      <w:pPr>
        <w:pStyle w:val="Heading2"/>
      </w:pPr>
      <w:r>
        <w:t>6.5 Validation and human review</w:t>
      </w:r>
    </w:p>
    <w:p>
      <w:pPr>
        <w:pStyle w:val="ListBullet"/>
      </w:pPr>
      <w:r>
        <w:t>Type, format, unit, range and reporting-period validation.</w:t>
      </w:r>
    </w:p>
    <w:p>
      <w:pPr>
        <w:pStyle w:val="ListBullet"/>
      </w:pPr>
      <w:r>
        <w:t>Cross-field rules such as totals, percentages, balance equations and site identifiers.</w:t>
      </w:r>
    </w:p>
    <w:p>
      <w:pPr>
        <w:pStyle w:val="ListBullet"/>
      </w:pPr>
      <w:r>
        <w:t>Provider/form entitlement check: a value cannot be posted to another provider or unassigned form.</w:t>
      </w:r>
    </w:p>
    <w:p>
      <w:pPr>
        <w:pStyle w:val="ListBullet"/>
      </w:pPr>
      <w:r>
        <w:t>Comparison with the prior portal version; all changes shown as a diff.</w:t>
      </w:r>
    </w:p>
    <w:p>
      <w:pPr>
        <w:pStyle w:val="ListBullet"/>
      </w:pPr>
      <w:r>
        <w:t>Provenance required for every accepted value: message plus attachment/page/cell or exact text span.</w:t>
      </w:r>
    </w:p>
    <w:p>
      <w:pPr>
        <w:pStyle w:val="ListBullet"/>
      </w:pPr>
      <w:r>
        <w:t>Confidence thresholds calibrated on NCA-labelled examples. “High confidence” does not bypass review until the control owner approves a specific low-risk field class.</w:t>
      </w:r>
    </w:p>
    <w:p>
      <w:pPr>
        <w:pStyle w:val="ListBullet"/>
      </w:pPr>
      <w:r>
        <w:t>Reviewer corrections captured for evaluation, not silently used as truth without governance.</w:t>
      </w:r>
    </w:p>
    <w:p>
      <w:pPr>
        <w:pStyle w:val="ListBullet"/>
      </w:pPr>
      <w:r>
        <w:t>Conflicts, legal claims, extensions, penalties and adverse decisions always require a human.</w:t>
      </w:r>
    </w:p>
    <w:p>
      <w:pPr>
        <w:pStyle w:val="Heading2"/>
      </w:pPr>
      <w:r>
        <w:t>6.6 AI-specific controls</w:t>
      </w:r>
    </w:p>
    <w:p>
      <w:r>
        <w:t>NIST's AI RMF and Generative AI Profile emphasise governance, testing, provenance, validity, human oversight and monitoring. [28][29] Email bodies and attachments are untrusted inputs; OWASP identifies indirect prompt injection as a material risk and recommends segregation, least privilege, output validation and human approval for high-impact actions. [30]</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600"/>
            <w:shd w:fill="F2F4F7"/>
            <w:tcMar>
              <w:top w:w="80" w:type="dxa"/>
              <w:start w:w="120" w:type="dxa"/>
              <w:bottom w:w="80" w:type="dxa"/>
              <w:end w:w="120" w:type="dxa"/>
            </w:tcMar>
            <w:vAlign w:val="center"/>
          </w:tcPr>
          <w:p>
            <w:pPr>
              <w:spacing w:after="0"/>
            </w:pPr>
            <w:r>
              <w:rPr>
                <w:rFonts w:ascii="Calibri" w:hAnsi="Calibri" w:eastAsia="Calibri"/>
                <w:b/>
                <w:color w:val="163A5F"/>
                <w:sz w:val="17"/>
              </w:rPr>
              <w:t>Risk</w:t>
            </w:r>
          </w:p>
        </w:tc>
        <w:tc>
          <w:tcPr>
            <w:tcW w:type="dxa" w:w="6760"/>
            <w:shd w:fill="F2F4F7"/>
            <w:tcMar>
              <w:top w:w="80" w:type="dxa"/>
              <w:start w:w="120" w:type="dxa"/>
              <w:bottom w:w="80" w:type="dxa"/>
              <w:end w:w="120" w:type="dxa"/>
            </w:tcMar>
            <w:vAlign w:val="center"/>
          </w:tcPr>
          <w:p>
            <w:pPr>
              <w:spacing w:after="0"/>
            </w:pPr>
            <w:r>
              <w:rPr>
                <w:rFonts w:ascii="Calibri" w:hAnsi="Calibri" w:eastAsia="Calibri"/>
                <w:b/>
                <w:color w:val="163A5F"/>
                <w:sz w:val="17"/>
              </w:rPr>
              <w:t>Control</w:t>
            </w:r>
          </w:p>
        </w:tc>
      </w:tr>
      <w:tr>
        <w:trPr>
          <w:cantSplit/>
        </w:trPr>
        <w:tc>
          <w:tcPr>
            <w:tcW w:type="dxa" w:w="2600"/>
            <w:tcMar>
              <w:top w:w="80" w:type="dxa"/>
              <w:start w:w="120" w:type="dxa"/>
              <w:bottom w:w="80" w:type="dxa"/>
              <w:end w:w="120" w:type="dxa"/>
            </w:tcMar>
            <w:vAlign w:val="top"/>
          </w:tcPr>
          <w:p>
            <w:pPr>
              <w:spacing w:after="0"/>
            </w:pPr>
            <w:r>
              <w:rPr>
                <w:rFonts w:ascii="Calibri" w:hAnsi="Calibri" w:eastAsia="Calibri"/>
                <w:sz w:val="17"/>
              </w:rPr>
              <w:t>Prompt injection in message/attachment</w:t>
            </w:r>
          </w:p>
        </w:tc>
        <w:tc>
          <w:tcPr>
            <w:tcW w:type="dxa" w:w="6760"/>
            <w:tcMar>
              <w:top w:w="80" w:type="dxa"/>
              <w:start w:w="120" w:type="dxa"/>
              <w:bottom w:w="80" w:type="dxa"/>
              <w:end w:w="120" w:type="dxa"/>
            </w:tcMar>
            <w:vAlign w:val="top"/>
          </w:tcPr>
          <w:p>
            <w:pPr>
              <w:spacing w:after="0"/>
            </w:pPr>
            <w:r>
              <w:rPr>
                <w:rFonts w:ascii="Calibri" w:hAnsi="Calibri" w:eastAsia="Calibri"/>
                <w:sz w:val="17"/>
              </w:rPr>
              <w:t>Extractor has no mail-send, case-update, web-browse or secret access; untrusted content delimited; instructions inside content ignored.</w:t>
            </w:r>
          </w:p>
        </w:tc>
      </w:tr>
      <w:tr>
        <w:trPr>
          <w:cantSplit/>
        </w:trPr>
        <w:tc>
          <w:tcPr>
            <w:tcW w:type="dxa" w:w="2600"/>
            <w:tcMar>
              <w:top w:w="80" w:type="dxa"/>
              <w:start w:w="120" w:type="dxa"/>
              <w:bottom w:w="80" w:type="dxa"/>
              <w:end w:w="120" w:type="dxa"/>
            </w:tcMar>
            <w:vAlign w:val="top"/>
          </w:tcPr>
          <w:p>
            <w:pPr>
              <w:spacing w:after="0"/>
            </w:pPr>
            <w:r>
              <w:rPr>
                <w:rFonts w:ascii="Calibri" w:hAnsi="Calibri" w:eastAsia="Calibri"/>
                <w:sz w:val="17"/>
              </w:rPr>
              <w:t>Hallucinated values</w:t>
            </w:r>
          </w:p>
        </w:tc>
        <w:tc>
          <w:tcPr>
            <w:tcW w:type="dxa" w:w="6760"/>
            <w:tcMar>
              <w:top w:w="80" w:type="dxa"/>
              <w:start w:w="120" w:type="dxa"/>
              <w:bottom w:w="80" w:type="dxa"/>
              <w:end w:w="120" w:type="dxa"/>
            </w:tcMar>
            <w:vAlign w:val="top"/>
          </w:tcPr>
          <w:p>
            <w:pPr>
              <w:spacing w:after="0"/>
            </w:pPr>
            <w:r>
              <w:rPr>
                <w:rFonts w:ascii="Calibri" w:hAnsi="Calibri" w:eastAsia="Calibri"/>
                <w:sz w:val="17"/>
              </w:rPr>
              <w:t>Closed JSON schema; value must cite source; deterministic validators; reject unsupported fields.</w:t>
            </w:r>
          </w:p>
        </w:tc>
      </w:tr>
      <w:tr>
        <w:trPr>
          <w:cantSplit/>
        </w:trPr>
        <w:tc>
          <w:tcPr>
            <w:tcW w:type="dxa" w:w="2600"/>
            <w:tcMar>
              <w:top w:w="80" w:type="dxa"/>
              <w:start w:w="120" w:type="dxa"/>
              <w:bottom w:w="80" w:type="dxa"/>
              <w:end w:w="120" w:type="dxa"/>
            </w:tcMar>
            <w:vAlign w:val="top"/>
          </w:tcPr>
          <w:p>
            <w:pPr>
              <w:spacing w:after="0"/>
            </w:pPr>
            <w:r>
              <w:rPr>
                <w:rFonts w:ascii="Calibri" w:hAnsi="Calibri" w:eastAsia="Calibri"/>
                <w:sz w:val="17"/>
              </w:rPr>
              <w:t>Data leakage</w:t>
            </w:r>
          </w:p>
        </w:tc>
        <w:tc>
          <w:tcPr>
            <w:tcW w:type="dxa" w:w="6760"/>
            <w:tcMar>
              <w:top w:w="80" w:type="dxa"/>
              <w:start w:w="120" w:type="dxa"/>
              <w:bottom w:w="80" w:type="dxa"/>
              <w:end w:w="120" w:type="dxa"/>
            </w:tcMar>
            <w:vAlign w:val="top"/>
          </w:tcPr>
          <w:p>
            <w:pPr>
              <w:spacing w:after="0"/>
            </w:pPr>
            <w:r>
              <w:rPr>
                <w:rFonts w:ascii="Calibri" w:hAnsi="Calibri" w:eastAsia="Calibri"/>
                <w:sz w:val="17"/>
              </w:rPr>
              <w:t>NCA-approved deployment, processor terms, data-location review, minimum prompt content, logging/redaction controls.</w:t>
            </w:r>
          </w:p>
        </w:tc>
      </w:tr>
      <w:tr>
        <w:trPr>
          <w:cantSplit/>
        </w:trPr>
        <w:tc>
          <w:tcPr>
            <w:tcW w:type="dxa" w:w="2600"/>
            <w:tcMar>
              <w:top w:w="80" w:type="dxa"/>
              <w:start w:w="120" w:type="dxa"/>
              <w:bottom w:w="80" w:type="dxa"/>
              <w:end w:w="120" w:type="dxa"/>
            </w:tcMar>
            <w:vAlign w:val="top"/>
          </w:tcPr>
          <w:p>
            <w:pPr>
              <w:spacing w:after="0"/>
            </w:pPr>
            <w:r>
              <w:rPr>
                <w:rFonts w:ascii="Calibri" w:hAnsi="Calibri" w:eastAsia="Calibri"/>
                <w:sz w:val="17"/>
              </w:rPr>
              <w:t>Model drift</w:t>
            </w:r>
          </w:p>
        </w:tc>
        <w:tc>
          <w:tcPr>
            <w:tcW w:type="dxa" w:w="6760"/>
            <w:tcMar>
              <w:top w:w="80" w:type="dxa"/>
              <w:start w:w="120" w:type="dxa"/>
              <w:bottom w:w="80" w:type="dxa"/>
              <w:end w:w="120" w:type="dxa"/>
            </w:tcMar>
            <w:vAlign w:val="top"/>
          </w:tcPr>
          <w:p>
            <w:pPr>
              <w:spacing w:after="0"/>
            </w:pPr>
            <w:r>
              <w:rPr>
                <w:rFonts w:ascii="Calibri" w:hAnsi="Calibri" w:eastAsia="Calibri"/>
                <w:sz w:val="17"/>
              </w:rPr>
              <w:t>Pinned model/version where possible; gold-set regression test; threshold and error monitoring; change approval.</w:t>
            </w:r>
          </w:p>
        </w:tc>
      </w:tr>
      <w:tr>
        <w:trPr>
          <w:cantSplit/>
        </w:trPr>
        <w:tc>
          <w:tcPr>
            <w:tcW w:type="dxa" w:w="2600"/>
            <w:tcMar>
              <w:top w:w="80" w:type="dxa"/>
              <w:start w:w="120" w:type="dxa"/>
              <w:bottom w:w="80" w:type="dxa"/>
              <w:end w:w="120" w:type="dxa"/>
            </w:tcMar>
            <w:vAlign w:val="top"/>
          </w:tcPr>
          <w:p>
            <w:pPr>
              <w:spacing w:after="0"/>
            </w:pPr>
            <w:r>
              <w:rPr>
                <w:rFonts w:ascii="Calibri" w:hAnsi="Calibri" w:eastAsia="Calibri"/>
                <w:sz w:val="17"/>
              </w:rPr>
              <w:t>Automation bias</w:t>
            </w:r>
          </w:p>
        </w:tc>
        <w:tc>
          <w:tcPr>
            <w:tcW w:type="dxa" w:w="6760"/>
            <w:tcMar>
              <w:top w:w="80" w:type="dxa"/>
              <w:start w:w="120" w:type="dxa"/>
              <w:bottom w:w="80" w:type="dxa"/>
              <w:end w:w="120" w:type="dxa"/>
            </w:tcMar>
            <w:vAlign w:val="top"/>
          </w:tcPr>
          <w:p>
            <w:pPr>
              <w:spacing w:after="0"/>
            </w:pPr>
            <w:r>
              <w:rPr>
                <w:rFonts w:ascii="Calibri" w:hAnsi="Calibri" w:eastAsia="Calibri"/>
                <w:sz w:val="17"/>
              </w:rPr>
              <w:t>UI displays original evidence and uncertainty; reviewer must actively accept; adverse actions cannot be auto-approved.</w:t>
            </w:r>
          </w:p>
        </w:tc>
      </w:tr>
      <w:tr>
        <w:trPr>
          <w:cantSplit/>
        </w:trPr>
        <w:tc>
          <w:tcPr>
            <w:tcW w:type="dxa" w:w="2600"/>
            <w:tcMar>
              <w:top w:w="80" w:type="dxa"/>
              <w:start w:w="120" w:type="dxa"/>
              <w:bottom w:w="80" w:type="dxa"/>
              <w:end w:w="120" w:type="dxa"/>
            </w:tcMar>
            <w:vAlign w:val="top"/>
          </w:tcPr>
          <w:p>
            <w:pPr>
              <w:spacing w:after="0"/>
            </w:pPr>
            <w:r>
              <w:rPr>
                <w:rFonts w:ascii="Calibri" w:hAnsi="Calibri" w:eastAsia="Calibri"/>
                <w:sz w:val="17"/>
              </w:rPr>
              <w:t>Malicious files</w:t>
            </w:r>
          </w:p>
        </w:tc>
        <w:tc>
          <w:tcPr>
            <w:tcW w:type="dxa" w:w="6760"/>
            <w:tcMar>
              <w:top w:w="80" w:type="dxa"/>
              <w:start w:w="120" w:type="dxa"/>
              <w:bottom w:w="80" w:type="dxa"/>
              <w:end w:w="120" w:type="dxa"/>
            </w:tcMar>
            <w:vAlign w:val="top"/>
          </w:tcPr>
          <w:p>
            <w:pPr>
              <w:spacing w:after="0"/>
            </w:pPr>
            <w:r>
              <w:rPr>
                <w:rFonts w:ascii="Calibri" w:hAnsi="Calibri" w:eastAsia="Calibri"/>
                <w:sz w:val="17"/>
              </w:rPr>
              <w:t>Quarantine and scan before extraction; macro execution disabled; parser sandbox and resource limits.</w:t>
            </w:r>
          </w:p>
        </w:tc>
      </w:tr>
    </w:tbl>
    <w:p>
      <w:pPr>
        <w:spacing w:after="20"/>
      </w:pPr>
    </w:p>
    <w:p>
      <w:r>
        <w:br w:type="page"/>
      </w:r>
    </w:p>
    <w:p>
      <w:pPr>
        <w:pStyle w:val="Heading1"/>
      </w:pPr>
      <w:r>
        <w:t>7. Penalty information and enforcement safeguards</w:t>
      </w:r>
    </w:p>
    <w:p>
      <w:pPr>
        <w:pStyle w:val="Heading2"/>
      </w:pPr>
      <w:r>
        <w:t>7.1 What the system should provide</w:t>
      </w:r>
    </w:p>
    <w:p>
      <w:r>
        <w:t>The platform should answer: What obligation applied? What was due? What was received and when? Was an extension granted? Which rule version could apply? How was a potential amount calculated? What notice and opportunity to respond were provided? Who approved the decision? What payment/review/appeal state follows? It should not answer “What penalty should we impose?” without the authorised legal and decision process.</w:t>
      </w:r>
    </w:p>
    <w:p>
      <w:pPr>
        <w:pStyle w:val="Heading2"/>
      </w:pPr>
      <w:r>
        <w:t>7.2 Minimum penalty-rule model</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150"/>
            <w:shd w:fill="F2F4F7"/>
            <w:tcMar>
              <w:top w:w="80" w:type="dxa"/>
              <w:start w:w="120" w:type="dxa"/>
              <w:bottom w:w="80" w:type="dxa"/>
              <w:end w:w="120" w:type="dxa"/>
            </w:tcMar>
            <w:vAlign w:val="center"/>
          </w:tcPr>
          <w:p>
            <w:pPr>
              <w:spacing w:after="0"/>
            </w:pPr>
            <w:r>
              <w:rPr>
                <w:rFonts w:ascii="Calibri" w:hAnsi="Calibri" w:eastAsia="Calibri"/>
                <w:b/>
                <w:color w:val="163A5F"/>
                <w:sz w:val="17"/>
              </w:rPr>
              <w:t>Entity</w:t>
            </w:r>
          </w:p>
        </w:tc>
        <w:tc>
          <w:tcPr>
            <w:tcW w:type="dxa" w:w="7210"/>
            <w:shd w:fill="F2F4F7"/>
            <w:tcMar>
              <w:top w:w="80" w:type="dxa"/>
              <w:start w:w="120" w:type="dxa"/>
              <w:bottom w:w="80" w:type="dxa"/>
              <w:end w:w="120" w:type="dxa"/>
            </w:tcMar>
            <w:vAlign w:val="center"/>
          </w:tcPr>
          <w:p>
            <w:pPr>
              <w:spacing w:after="0"/>
            </w:pPr>
            <w:r>
              <w:rPr>
                <w:rFonts w:ascii="Calibri" w:hAnsi="Calibri" w:eastAsia="Calibri"/>
                <w:b/>
                <w:color w:val="163A5F"/>
                <w:sz w:val="17"/>
              </w:rPr>
              <w:t>Required fields</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PenaltyRule</w:t>
            </w:r>
          </w:p>
        </w:tc>
        <w:tc>
          <w:tcPr>
            <w:tcW w:type="dxa" w:w="7210"/>
            <w:tcMar>
              <w:top w:w="80" w:type="dxa"/>
              <w:start w:w="120" w:type="dxa"/>
              <w:bottom w:w="80" w:type="dxa"/>
              <w:end w:w="120" w:type="dxa"/>
            </w:tcMar>
            <w:vAlign w:val="top"/>
          </w:tcPr>
          <w:p>
            <w:pPr>
              <w:spacing w:after="0"/>
            </w:pPr>
            <w:r>
              <w:rPr>
                <w:rFonts w:ascii="Calibri" w:hAnsi="Calibri" w:eastAsia="Calibri"/>
                <w:sz w:val="17"/>
              </w:rPr>
              <w:t>Rule code; source instrument and URL/Gazette; section/item; exact controlled text; effective from/to; sector/licence/authorisation; obligation type; trigger; grace/excluded days; amount/rate/unit/cap; approval; legal owner; version.</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ComplianceObligation</w:t>
            </w:r>
          </w:p>
        </w:tc>
        <w:tc>
          <w:tcPr>
            <w:tcW w:type="dxa" w:w="7210"/>
            <w:tcMar>
              <w:top w:w="80" w:type="dxa"/>
              <w:start w:w="120" w:type="dxa"/>
              <w:bottom w:w="80" w:type="dxa"/>
              <w:end w:w="120" w:type="dxa"/>
            </w:tcMar>
            <w:vAlign w:val="top"/>
          </w:tcPr>
          <w:p>
            <w:pPr>
              <w:spacing w:after="0"/>
            </w:pPr>
            <w:r>
              <w:rPr>
                <w:rFonts w:ascii="Calibri" w:hAnsi="Calibri" w:eastAsia="Calibri"/>
                <w:sz w:val="17"/>
              </w:rPr>
              <w:t>Provider/case; governing source; required deliverable/data; permitted channel; opens/due date; timezone; extension authority and history; reminder/warning plan; responsible officer.</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PenaltyAssessment</w:t>
            </w:r>
          </w:p>
        </w:tc>
        <w:tc>
          <w:tcPr>
            <w:tcW w:type="dxa" w:w="7210"/>
            <w:tcMar>
              <w:top w:w="80" w:type="dxa"/>
              <w:start w:w="120" w:type="dxa"/>
              <w:bottom w:w="80" w:type="dxa"/>
              <w:end w:w="120" w:type="dxa"/>
            </w:tcMar>
            <w:vAlign w:val="top"/>
          </w:tcPr>
          <w:p>
            <w:pPr>
              <w:spacing w:after="0"/>
            </w:pPr>
            <w:r>
              <w:rPr>
                <w:rFonts w:ascii="Calibri" w:hAnsi="Calibri" w:eastAsia="Calibri"/>
                <w:sz w:val="17"/>
              </w:rPr>
              <w:t>Rule version snapshot; alleged facts; received evidence; days/rate calculation; exclusions; potential amount; legal review; response deadline; status; decision; reasons; authoriser.</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EnforcementNotice</w:t>
            </w:r>
          </w:p>
        </w:tc>
        <w:tc>
          <w:tcPr>
            <w:tcW w:type="dxa" w:w="7210"/>
            <w:tcMar>
              <w:top w:w="80" w:type="dxa"/>
              <w:start w:w="120" w:type="dxa"/>
              <w:bottom w:w="80" w:type="dxa"/>
              <w:end w:w="120" w:type="dxa"/>
            </w:tcMar>
            <w:vAlign w:val="top"/>
          </w:tcPr>
          <w:p>
            <w:pPr>
              <w:spacing w:after="0"/>
            </w:pPr>
            <w:r>
              <w:rPr>
                <w:rFonts w:ascii="Calibri" w:hAnsi="Calibri" w:eastAsia="Calibri"/>
                <w:sz w:val="17"/>
              </w:rPr>
              <w:t>Template version; facts snapshot; legal basis; representations invited; issue/receipt evidence; attachments; approvals; corrected/revoked version.</w:t>
            </w:r>
          </w:p>
        </w:tc>
      </w:tr>
      <w:tr>
        <w:trPr>
          <w:cantSplit/>
        </w:trPr>
        <w:tc>
          <w:tcPr>
            <w:tcW w:type="dxa" w:w="2150"/>
            <w:tcMar>
              <w:top w:w="80" w:type="dxa"/>
              <w:start w:w="120" w:type="dxa"/>
              <w:bottom w:w="80" w:type="dxa"/>
              <w:end w:w="120" w:type="dxa"/>
            </w:tcMar>
            <w:vAlign w:val="top"/>
          </w:tcPr>
          <w:p>
            <w:pPr>
              <w:spacing w:after="0"/>
            </w:pPr>
            <w:r>
              <w:rPr>
                <w:rFonts w:ascii="Calibri" w:hAnsi="Calibri" w:eastAsia="Calibri"/>
                <w:sz w:val="17"/>
              </w:rPr>
              <w:t>Review/Appeal</w:t>
            </w:r>
          </w:p>
        </w:tc>
        <w:tc>
          <w:tcPr>
            <w:tcW w:type="dxa" w:w="7210"/>
            <w:tcMar>
              <w:top w:w="80" w:type="dxa"/>
              <w:start w:w="120" w:type="dxa"/>
              <w:bottom w:w="80" w:type="dxa"/>
              <w:end w:w="120" w:type="dxa"/>
            </w:tcMar>
            <w:vAlign w:val="top"/>
          </w:tcPr>
          <w:p>
            <w:pPr>
              <w:spacing w:after="0"/>
            </w:pPr>
            <w:r>
              <w:rPr>
                <w:rFonts w:ascii="Calibri" w:hAnsi="Calibri" w:eastAsia="Calibri"/>
                <w:sz w:val="17"/>
              </w:rPr>
              <w:t>Request; grounds; evidence; stay effect; reviewer; outcome; reasons; dates.</w:t>
            </w:r>
          </w:p>
        </w:tc>
      </w:tr>
    </w:tbl>
    <w:p>
      <w:pPr>
        <w:spacing w:after="20"/>
      </w:pPr>
    </w:p>
    <w:p>
      <w:pPr>
        <w:pStyle w:val="Heading2"/>
      </w:pPr>
      <w:r>
        <w:t>7.3 Calculation safeguards</w:t>
      </w:r>
    </w:p>
    <w:p>
      <w:pPr>
        <w:pStyle w:val="ListBullet"/>
      </w:pPr>
      <w:r>
        <w:t>Use the due date and extension history stored on the obligation, not a date found only in an email.</w:t>
      </w:r>
    </w:p>
    <w:p>
      <w:pPr>
        <w:pStyle w:val="ListBullet"/>
      </w:pPr>
      <w:r>
        <w:t>Define whether days are calendar or business days, the timezone and the start/end inclusivity in the approved rule.</w:t>
      </w:r>
    </w:p>
    <w:p>
      <w:pPr>
        <w:pStyle w:val="ListBullet"/>
      </w:pPr>
      <w:r>
        <w:t>Recalculate from an immutable assessment snapshot; never mutate a prior notice after issue.</w:t>
      </w:r>
    </w:p>
    <w:p>
      <w:pPr>
        <w:pStyle w:val="ListBullet"/>
      </w:pPr>
      <w:r>
        <w:t>Separate “potential exposure,” “recommended assessment,” “approved penalty,” “notice issued,” and “final outcome.”</w:t>
      </w:r>
    </w:p>
    <w:p>
      <w:pPr>
        <w:pStyle w:val="ListBullet"/>
      </w:pPr>
      <w:r>
        <w:t>Require evidence completeness and legal approval before external wording includes a figure.</w:t>
      </w:r>
    </w:p>
    <w:p>
      <w:pPr>
        <w:pStyle w:val="ListBullet"/>
      </w:pPr>
      <w:r>
        <w:t>Record representations and contrary evidence; support withdrawal, correction, waiver or variation without erasing history.</w:t>
      </w:r>
    </w:p>
    <w:p>
      <w:pPr>
        <w:pStyle w:val="ListBullet"/>
      </w:pPr>
      <w:r>
        <w:t>No penalty from unread state, mail bounce alone, failed extraction, missing case link or unverified contact address.</w:t>
      </w:r>
    </w:p>
    <w:p>
      <w:pPr>
        <w:pStyle w:val="Heading2"/>
      </w:pPr>
      <w:r>
        <w:t>7.4 Sample internal penalty view</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00"/>
            <w:shd w:fill="F2F4F7"/>
            <w:tcMar>
              <w:top w:w="80" w:type="dxa"/>
              <w:start w:w="120" w:type="dxa"/>
              <w:bottom w:w="80" w:type="dxa"/>
              <w:end w:w="120" w:type="dxa"/>
            </w:tcMar>
            <w:vAlign w:val="center"/>
          </w:tcPr>
          <w:p>
            <w:pPr>
              <w:spacing w:after="0"/>
            </w:pPr>
            <w:r>
              <w:rPr>
                <w:rFonts w:ascii="Calibri" w:hAnsi="Calibri" w:eastAsia="Calibri"/>
                <w:b/>
                <w:color w:val="163A5F"/>
                <w:sz w:val="17"/>
              </w:rPr>
              <w:t>Field</w:t>
            </w:r>
          </w:p>
        </w:tc>
        <w:tc>
          <w:tcPr>
            <w:tcW w:type="dxa" w:w="2800"/>
            <w:shd w:fill="F2F4F7"/>
            <w:tcMar>
              <w:top w:w="80" w:type="dxa"/>
              <w:start w:w="120" w:type="dxa"/>
              <w:bottom w:w="80" w:type="dxa"/>
              <w:end w:w="120" w:type="dxa"/>
            </w:tcMar>
            <w:vAlign w:val="center"/>
          </w:tcPr>
          <w:p>
            <w:pPr>
              <w:spacing w:after="0"/>
            </w:pPr>
            <w:r>
              <w:rPr>
                <w:rFonts w:ascii="Calibri" w:hAnsi="Calibri" w:eastAsia="Calibri"/>
                <w:b/>
                <w:color w:val="163A5F"/>
                <w:sz w:val="17"/>
              </w:rPr>
              <w:t>Illustrative value</w:t>
            </w:r>
          </w:p>
        </w:tc>
        <w:tc>
          <w:tcPr>
            <w:tcW w:type="dxa" w:w="4360"/>
            <w:shd w:fill="F2F4F7"/>
            <w:tcMar>
              <w:top w:w="80" w:type="dxa"/>
              <w:start w:w="120" w:type="dxa"/>
              <w:bottom w:w="80" w:type="dxa"/>
              <w:end w:w="120" w:type="dxa"/>
            </w:tcMar>
            <w:vAlign w:val="center"/>
          </w:tcPr>
          <w:p>
            <w:pPr>
              <w:spacing w:after="0"/>
            </w:pPr>
            <w:r>
              <w:rPr>
                <w:rFonts w:ascii="Calibri" w:hAnsi="Calibri" w:eastAsia="Calibri"/>
                <w:b/>
                <w:color w:val="163A5F"/>
                <w:sz w:val="17"/>
              </w:rPr>
              <w:t>Display rule</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Obligation</w:t>
            </w:r>
          </w:p>
        </w:tc>
        <w:tc>
          <w:tcPr>
            <w:tcW w:type="dxa" w:w="2800"/>
            <w:tcMar>
              <w:top w:w="80" w:type="dxa"/>
              <w:start w:w="120" w:type="dxa"/>
              <w:bottom w:w="80" w:type="dxa"/>
              <w:end w:w="120" w:type="dxa"/>
            </w:tcMar>
            <w:vAlign w:val="top"/>
          </w:tcPr>
          <w:p>
            <w:pPr>
              <w:spacing w:after="0"/>
            </w:pPr>
            <w:r>
              <w:rPr>
                <w:rFonts w:ascii="Calibri" w:hAnsi="Calibri" w:eastAsia="Calibri"/>
                <w:sz w:val="17"/>
              </w:rPr>
              <w:t>Q2 2026 QoS Return</w:t>
            </w:r>
          </w:p>
        </w:tc>
        <w:tc>
          <w:tcPr>
            <w:tcW w:type="dxa" w:w="4360"/>
            <w:tcMar>
              <w:top w:w="80" w:type="dxa"/>
              <w:start w:w="120" w:type="dxa"/>
              <w:bottom w:w="80" w:type="dxa"/>
              <w:end w:w="120" w:type="dxa"/>
            </w:tcMar>
            <w:vAlign w:val="top"/>
          </w:tcPr>
          <w:p>
            <w:pPr>
              <w:spacing w:after="0"/>
            </w:pPr>
            <w:r>
              <w:rPr>
                <w:rFonts w:ascii="Calibri" w:hAnsi="Calibri" w:eastAsia="Calibri"/>
                <w:sz w:val="17"/>
              </w:rPr>
              <w:t>Linked to licence/notice and exact required deliverable.</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Due / received</w:t>
            </w:r>
          </w:p>
        </w:tc>
        <w:tc>
          <w:tcPr>
            <w:tcW w:type="dxa" w:w="2800"/>
            <w:tcMar>
              <w:top w:w="80" w:type="dxa"/>
              <w:start w:w="120" w:type="dxa"/>
              <w:bottom w:w="80" w:type="dxa"/>
              <w:end w:w="120" w:type="dxa"/>
            </w:tcMar>
            <w:vAlign w:val="top"/>
          </w:tcPr>
          <w:p>
            <w:pPr>
              <w:spacing w:after="0"/>
            </w:pPr>
            <w:r>
              <w:rPr>
                <w:rFonts w:ascii="Calibri" w:hAnsi="Calibri" w:eastAsia="Calibri"/>
                <w:sz w:val="17"/>
              </w:rPr>
              <w:t>31 Jul 2026 / not yet received</w:t>
            </w:r>
          </w:p>
        </w:tc>
        <w:tc>
          <w:tcPr>
            <w:tcW w:type="dxa" w:w="4360"/>
            <w:tcMar>
              <w:top w:w="80" w:type="dxa"/>
              <w:start w:w="120" w:type="dxa"/>
              <w:bottom w:w="80" w:type="dxa"/>
              <w:end w:w="120" w:type="dxa"/>
            </w:tcMar>
            <w:vAlign w:val="top"/>
          </w:tcPr>
          <w:p>
            <w:pPr>
              <w:spacing w:after="0"/>
            </w:pPr>
            <w:r>
              <w:rPr>
                <w:rFonts w:ascii="Calibri" w:hAnsi="Calibri" w:eastAsia="Calibri"/>
                <w:sz w:val="17"/>
              </w:rPr>
              <w:t>Extensions and accepted filing channel shown adjacent.</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Rule candidate</w:t>
            </w:r>
          </w:p>
        </w:tc>
        <w:tc>
          <w:tcPr>
            <w:tcW w:type="dxa" w:w="2800"/>
            <w:tcMar>
              <w:top w:w="80" w:type="dxa"/>
              <w:start w:w="120" w:type="dxa"/>
              <w:bottom w:w="80" w:type="dxa"/>
              <w:end w:w="120" w:type="dxa"/>
            </w:tcMar>
            <w:vAlign w:val="top"/>
          </w:tcPr>
          <w:p>
            <w:pPr>
              <w:spacing w:after="0"/>
            </w:pPr>
            <w:r>
              <w:rPr>
                <w:rFonts w:ascii="Calibri" w:hAnsi="Calibri" w:eastAsia="Calibri"/>
                <w:sz w:val="17"/>
              </w:rPr>
              <w:t>Schedule item: late/failed report</w:t>
            </w:r>
          </w:p>
        </w:tc>
        <w:tc>
          <w:tcPr>
            <w:tcW w:type="dxa" w:w="4360"/>
            <w:tcMar>
              <w:top w:w="80" w:type="dxa"/>
              <w:start w:w="120" w:type="dxa"/>
              <w:bottom w:w="80" w:type="dxa"/>
              <w:end w:w="120" w:type="dxa"/>
            </w:tcMar>
            <w:vAlign w:val="top"/>
          </w:tcPr>
          <w:p>
            <w:pPr>
              <w:spacing w:after="0"/>
            </w:pPr>
            <w:r>
              <w:rPr>
                <w:rFonts w:ascii="Calibri" w:hAnsi="Calibri" w:eastAsia="Calibri"/>
                <w:sz w:val="17"/>
              </w:rPr>
              <w:t>Show source version and “Legal validation required”.</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Potential rate</w:t>
            </w:r>
          </w:p>
        </w:tc>
        <w:tc>
          <w:tcPr>
            <w:tcW w:type="dxa" w:w="2800"/>
            <w:tcMar>
              <w:top w:w="80" w:type="dxa"/>
              <w:start w:w="120" w:type="dxa"/>
              <w:bottom w:w="80" w:type="dxa"/>
              <w:end w:w="120" w:type="dxa"/>
            </w:tcMar>
            <w:vAlign w:val="top"/>
          </w:tcPr>
          <w:p>
            <w:pPr>
              <w:spacing w:after="0"/>
            </w:pPr>
            <w:r>
              <w:rPr>
                <w:rFonts w:ascii="Calibri" w:hAnsi="Calibri" w:eastAsia="Calibri"/>
                <w:sz w:val="17"/>
              </w:rPr>
              <w:t>GH¢10,000/day</w:t>
            </w:r>
          </w:p>
        </w:tc>
        <w:tc>
          <w:tcPr>
            <w:tcW w:type="dxa" w:w="4360"/>
            <w:tcMar>
              <w:top w:w="80" w:type="dxa"/>
              <w:start w:w="120" w:type="dxa"/>
              <w:bottom w:w="80" w:type="dxa"/>
              <w:end w:w="120" w:type="dxa"/>
            </w:tcMar>
            <w:vAlign w:val="top"/>
          </w:tcPr>
          <w:p>
            <w:pPr>
              <w:spacing w:after="0"/>
            </w:pPr>
            <w:r>
              <w:rPr>
                <w:rFonts w:ascii="Calibri" w:hAnsi="Calibri" w:eastAsia="Calibri"/>
                <w:sz w:val="17"/>
              </w:rPr>
              <w:t>Internal only until rule and applicability approved. [4]</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Potential days</w:t>
            </w:r>
          </w:p>
        </w:tc>
        <w:tc>
          <w:tcPr>
            <w:tcW w:type="dxa" w:w="2800"/>
            <w:tcMar>
              <w:top w:w="80" w:type="dxa"/>
              <w:start w:w="120" w:type="dxa"/>
              <w:bottom w:w="80" w:type="dxa"/>
              <w:end w:w="120" w:type="dxa"/>
            </w:tcMar>
            <w:vAlign w:val="top"/>
          </w:tcPr>
          <w:p>
            <w:pPr>
              <w:spacing w:after="0"/>
            </w:pPr>
            <w:r>
              <w:rPr>
                <w:rFonts w:ascii="Calibri" w:hAnsi="Calibri" w:eastAsia="Calibri"/>
                <w:sz w:val="17"/>
              </w:rPr>
              <w:t>3</w:t>
            </w:r>
          </w:p>
        </w:tc>
        <w:tc>
          <w:tcPr>
            <w:tcW w:type="dxa" w:w="4360"/>
            <w:tcMar>
              <w:top w:w="80" w:type="dxa"/>
              <w:start w:w="120" w:type="dxa"/>
              <w:bottom w:w="80" w:type="dxa"/>
              <w:end w:w="120" w:type="dxa"/>
            </w:tcMar>
            <w:vAlign w:val="top"/>
          </w:tcPr>
          <w:p>
            <w:pPr>
              <w:spacing w:after="0"/>
            </w:pPr>
            <w:r>
              <w:rPr>
                <w:rFonts w:ascii="Calibri" w:hAnsi="Calibri" w:eastAsia="Calibri"/>
                <w:sz w:val="17"/>
              </w:rPr>
              <w:t>Show calculation convention and excluded days.</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Potential exposure</w:t>
            </w:r>
          </w:p>
        </w:tc>
        <w:tc>
          <w:tcPr>
            <w:tcW w:type="dxa" w:w="2800"/>
            <w:tcMar>
              <w:top w:w="80" w:type="dxa"/>
              <w:start w:w="120" w:type="dxa"/>
              <w:bottom w:w="80" w:type="dxa"/>
              <w:end w:w="120" w:type="dxa"/>
            </w:tcMar>
            <w:vAlign w:val="top"/>
          </w:tcPr>
          <w:p>
            <w:pPr>
              <w:spacing w:after="0"/>
            </w:pPr>
            <w:r>
              <w:rPr>
                <w:rFonts w:ascii="Calibri" w:hAnsi="Calibri" w:eastAsia="Calibri"/>
                <w:sz w:val="17"/>
              </w:rPr>
              <w:t>GH¢30,000</w:t>
            </w:r>
          </w:p>
        </w:tc>
        <w:tc>
          <w:tcPr>
            <w:tcW w:type="dxa" w:w="4360"/>
            <w:tcMar>
              <w:top w:w="80" w:type="dxa"/>
              <w:start w:w="120" w:type="dxa"/>
              <w:bottom w:w="80" w:type="dxa"/>
              <w:end w:w="120" w:type="dxa"/>
            </w:tcMar>
            <w:vAlign w:val="top"/>
          </w:tcPr>
          <w:p>
            <w:pPr>
              <w:spacing w:after="0"/>
            </w:pPr>
            <w:r>
              <w:rPr>
                <w:rFonts w:ascii="Calibri" w:hAnsi="Calibri" w:eastAsia="Calibri"/>
                <w:sz w:val="17"/>
              </w:rPr>
              <w:t>Never label as imposed, payable or final.</w:t>
            </w:r>
          </w:p>
        </w:tc>
      </w:tr>
      <w:tr>
        <w:trPr>
          <w:cantSplit/>
        </w:trPr>
        <w:tc>
          <w:tcPr>
            <w:tcW w:type="dxa" w:w="2200"/>
            <w:tcMar>
              <w:top w:w="80" w:type="dxa"/>
              <w:start w:w="120" w:type="dxa"/>
              <w:bottom w:w="80" w:type="dxa"/>
              <w:end w:w="120" w:type="dxa"/>
            </w:tcMar>
            <w:vAlign w:val="top"/>
          </w:tcPr>
          <w:p>
            <w:pPr>
              <w:spacing w:after="0"/>
            </w:pPr>
            <w:r>
              <w:rPr>
                <w:rFonts w:ascii="Calibri" w:hAnsi="Calibri" w:eastAsia="Calibri"/>
                <w:sz w:val="17"/>
              </w:rPr>
              <w:t>Next procedural step</w:t>
            </w:r>
          </w:p>
        </w:tc>
        <w:tc>
          <w:tcPr>
            <w:tcW w:type="dxa" w:w="2800"/>
            <w:tcMar>
              <w:top w:w="80" w:type="dxa"/>
              <w:start w:w="120" w:type="dxa"/>
              <w:bottom w:w="80" w:type="dxa"/>
              <w:end w:w="120" w:type="dxa"/>
            </w:tcMar>
            <w:vAlign w:val="top"/>
          </w:tcPr>
          <w:p>
            <w:pPr>
              <w:spacing w:after="0"/>
            </w:pPr>
            <w:r>
              <w:rPr>
                <w:rFonts w:ascii="Calibri" w:hAnsi="Calibri" w:eastAsia="Calibri"/>
                <w:sz w:val="17"/>
              </w:rPr>
              <w:t>Supervisor/Legal review; representations notice</w:t>
            </w:r>
          </w:p>
        </w:tc>
        <w:tc>
          <w:tcPr>
            <w:tcW w:type="dxa" w:w="4360"/>
            <w:tcMar>
              <w:top w:w="80" w:type="dxa"/>
              <w:start w:w="120" w:type="dxa"/>
              <w:bottom w:w="80" w:type="dxa"/>
              <w:end w:w="120" w:type="dxa"/>
            </w:tcMar>
            <w:vAlign w:val="top"/>
          </w:tcPr>
          <w:p>
            <w:pPr>
              <w:spacing w:after="0"/>
            </w:pPr>
            <w:r>
              <w:rPr>
                <w:rFonts w:ascii="Calibri" w:hAnsi="Calibri" w:eastAsia="Calibri"/>
                <w:sz w:val="17"/>
              </w:rPr>
              <w:t>System blocks send without approvals.</w:t>
            </w:r>
          </w:p>
        </w:tc>
      </w:tr>
    </w:tbl>
    <w:p>
      <w:pPr>
        <w:spacing w:after="20"/>
      </w:pPr>
    </w:p>
    <w:tbl>
      <w:tblPr>
        <w:tblW w:type="dxa" w:w="9360"/>
        <w:jc w:val="center"/>
        <w:tblLayout w:type="fixed"/>
        <w:tblLook w:firstColumn="1" w:firstRow="1" w:lastColumn="0" w:lastRow="0" w:noHBand="0" w:noVBand="1" w:val="04A0"/>
      </w:tblPr>
      <w:tblGrid>
        <w:gridCol w:w="9360"/>
      </w:tblGrid>
      <w:tr>
        <w:tc>
          <w:tcPr>
            <w:tcW w:type="dxa" w:w="9360"/>
            <w:shd w:fill="FFF7E6"/>
            <w:tcMar>
              <w:top w:w="130" w:type="dxa"/>
              <w:start w:w="180" w:type="dxa"/>
              <w:bottom w:w="130" w:type="dxa"/>
              <w:end w:w="180" w:type="dxa"/>
            </w:tcMar>
          </w:tcPr>
          <w:p>
            <w:pPr>
              <w:spacing w:after="60"/>
            </w:pPr>
            <w:r>
              <w:rPr>
                <w:rFonts w:ascii="Calibri" w:hAnsi="Calibri" w:eastAsia="Calibri"/>
                <w:b/>
                <w:color w:val="F59E0B"/>
                <w:sz w:val="21"/>
              </w:rPr>
              <w:t>Procedural fairness gate</w:t>
            </w:r>
          </w:p>
          <w:p>
            <w:pPr>
              <w:spacing w:after="0"/>
              <w:pBdr>
                <w:left w:val="single" w:sz="16" w:space="8" w:color="F59E0B"/>
              </w:pBdr>
            </w:pPr>
            <w:r>
              <w:t>Act 769's fairness, hearing, reasons and notification requirements should be represented as required workflow evidence—not a paragraph added at the end of development. [1]</w:t>
            </w:r>
          </w:p>
        </w:tc>
      </w:tr>
    </w:tbl>
    <w:p>
      <w:pPr>
        <w:spacing w:after="0"/>
      </w:pPr>
    </w:p>
    <w:p>
      <w:r>
        <w:br w:type="page"/>
      </w:r>
    </w:p>
    <w:p>
      <w:pPr>
        <w:pStyle w:val="Heading1"/>
      </w:pPr>
      <w:r>
        <w:t>8. Security, privacy, records and evidentiary controls</w:t>
      </w:r>
    </w:p>
    <w:p>
      <w:pPr>
        <w:pStyle w:val="Heading2"/>
      </w:pPr>
      <w:r>
        <w:t>8.1 Control baseline</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63A5F"/>
                <w:sz w:val="17"/>
              </w:rPr>
              <w:t>Domain</w:t>
            </w:r>
          </w:p>
        </w:tc>
        <w:tc>
          <w:tcPr>
            <w:tcW w:type="dxa" w:w="7460"/>
            <w:shd w:fill="F2F4F7"/>
            <w:tcMar>
              <w:top w:w="80" w:type="dxa"/>
              <w:start w:w="120" w:type="dxa"/>
              <w:bottom w:w="80" w:type="dxa"/>
              <w:end w:w="120" w:type="dxa"/>
            </w:tcMar>
            <w:vAlign w:val="center"/>
          </w:tcPr>
          <w:p>
            <w:pPr>
              <w:spacing w:after="0"/>
            </w:pPr>
            <w:r>
              <w:rPr>
                <w:rFonts w:ascii="Calibri" w:hAnsi="Calibri" w:eastAsia="Calibri"/>
                <w:b/>
                <w:color w:val="163A5F"/>
                <w:sz w:val="17"/>
              </w:rPr>
              <w:t>Minimum production controls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Identity</w:t>
            </w:r>
          </w:p>
        </w:tc>
        <w:tc>
          <w:tcPr>
            <w:tcW w:type="dxa" w:w="7460"/>
            <w:tcMar>
              <w:top w:w="80" w:type="dxa"/>
              <w:start w:w="120" w:type="dxa"/>
              <w:bottom w:w="80" w:type="dxa"/>
              <w:end w:w="120" w:type="dxa"/>
            </w:tcMar>
            <w:vAlign w:val="top"/>
          </w:tcPr>
          <w:p>
            <w:pPr>
              <w:spacing w:after="0"/>
            </w:pPr>
            <w:r>
              <w:rPr>
                <w:rFonts w:ascii="Calibri" w:hAnsi="Calibri" w:eastAsia="Calibri"/>
                <w:sz w:val="17"/>
              </w:rPr>
              <w:t>Named delegates; MFA/Conditional Access; no shared password; mailbox-scoped app RBAC; certificate/workload identity; quarterly access review; break-glass process.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Email authentication</w:t>
            </w:r>
          </w:p>
        </w:tc>
        <w:tc>
          <w:tcPr>
            <w:tcW w:type="dxa" w:w="7460"/>
            <w:tcMar>
              <w:top w:w="80" w:type="dxa"/>
              <w:start w:w="120" w:type="dxa"/>
              <w:bottom w:w="80" w:type="dxa"/>
              <w:end w:w="120" w:type="dxa"/>
            </w:tcMar>
            <w:vAlign w:val="top"/>
          </w:tcPr>
          <w:p>
            <w:pPr>
              <w:spacing w:after="0"/>
            </w:pPr>
            <w:r>
              <w:rPr>
                <w:rFonts w:ascii="Calibri" w:hAnsi="Calibri" w:eastAsia="Calibri"/>
                <w:sz w:val="17"/>
              </w:rPr>
              <w:t>SPF alignment; custom-domain DKIM; phased DMARC monitoring then enforcement; anti-phishing/impersonation controls; protected display name.</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Message security</w:t>
            </w:r>
          </w:p>
        </w:tc>
        <w:tc>
          <w:tcPr>
            <w:tcW w:type="dxa" w:w="7460"/>
            <w:tcMar>
              <w:top w:w="80" w:type="dxa"/>
              <w:start w:w="120" w:type="dxa"/>
              <w:bottom w:w="80" w:type="dxa"/>
              <w:end w:w="120" w:type="dxa"/>
            </w:tcMar>
            <w:vAlign w:val="top"/>
          </w:tcPr>
          <w:p>
            <w:pPr>
              <w:spacing w:after="0"/>
            </w:pPr>
            <w:r>
              <w:rPr>
                <w:rFonts w:ascii="Calibri" w:hAnsi="Calibri" w:eastAsia="Calibri"/>
                <w:sz w:val="17"/>
              </w:rPr>
              <w:t>Defender Safe Attachments/Safe Links where licensed; MIME sanitisation; attachment quarantine; block active content; file-size/type limits; no automatic URL following.</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Application</w:t>
            </w:r>
          </w:p>
        </w:tc>
        <w:tc>
          <w:tcPr>
            <w:tcW w:type="dxa" w:w="7460"/>
            <w:tcMar>
              <w:top w:w="80" w:type="dxa"/>
              <w:start w:w="120" w:type="dxa"/>
              <w:bottom w:w="80" w:type="dxa"/>
              <w:end w:w="120" w:type="dxa"/>
            </w:tcMar>
            <w:vAlign w:val="top"/>
          </w:tcPr>
          <w:p>
            <w:pPr>
              <w:spacing w:after="0"/>
            </w:pPr>
            <w:r>
              <w:rPr>
                <w:rFonts w:ascii="Calibri" w:hAnsi="Calibri" w:eastAsia="Calibri"/>
                <w:sz w:val="17"/>
              </w:rPr>
              <w:t>TLS; encryption at rest; secret vault; idempotency; queue; rate limiting; dependency scanning; secure coding; separate environments and mailboxes.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Audit/evidence</w:t>
            </w:r>
          </w:p>
        </w:tc>
        <w:tc>
          <w:tcPr>
            <w:tcW w:type="dxa" w:w="7460"/>
            <w:tcMar>
              <w:top w:w="80" w:type="dxa"/>
              <w:start w:w="120" w:type="dxa"/>
              <w:bottom w:w="80" w:type="dxa"/>
              <w:end w:w="120" w:type="dxa"/>
            </w:tcMar>
            <w:vAlign w:val="top"/>
          </w:tcPr>
          <w:p>
            <w:pPr>
              <w:spacing w:after="0"/>
            </w:pPr>
            <w:r>
              <w:rPr>
                <w:rFonts w:ascii="Calibri" w:hAnsi="Calibri" w:eastAsia="Calibri"/>
                <w:sz w:val="17"/>
              </w:rPr>
              <w:t>Append-only case events; raw MIME/headers/attachments; hashes; actor, action, time and before/after; Graph and platform correlation; time synchronisation.</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Privacy</w:t>
            </w:r>
          </w:p>
        </w:tc>
        <w:tc>
          <w:tcPr>
            <w:tcW w:type="dxa" w:w="7460"/>
            <w:tcMar>
              <w:top w:w="80" w:type="dxa"/>
              <w:start w:w="120" w:type="dxa"/>
              <w:bottom w:w="80" w:type="dxa"/>
              <w:end w:w="120" w:type="dxa"/>
            </w:tcMar>
            <w:vAlign w:val="top"/>
          </w:tcPr>
          <w:p>
            <w:pPr>
              <w:spacing w:after="0"/>
            </w:pPr>
            <w:r>
              <w:rPr>
                <w:rFonts w:ascii="Calibri" w:hAnsi="Calibri" w:eastAsia="Calibri"/>
                <w:sz w:val="17"/>
              </w:rPr>
              <w:t>Processing register/DPIA; purpose and minimisation; contact accuracy; confidentiality flags; processor terms; data residency/transfer review; data-subject and breach procedures.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Records</w:t>
            </w:r>
          </w:p>
        </w:tc>
        <w:tc>
          <w:tcPr>
            <w:tcW w:type="dxa" w:w="7460"/>
            <w:tcMar>
              <w:top w:w="80" w:type="dxa"/>
              <w:start w:w="120" w:type="dxa"/>
              <w:bottom w:w="80" w:type="dxa"/>
              <w:end w:w="120" w:type="dxa"/>
            </w:tcMar>
            <w:vAlign w:val="top"/>
          </w:tcPr>
          <w:p>
            <w:pPr>
              <w:spacing w:after="0"/>
            </w:pPr>
            <w:r>
              <w:rPr>
                <w:rFonts w:ascii="Calibri" w:hAnsi="Calibri" w:eastAsia="Calibri"/>
                <w:sz w:val="17"/>
              </w:rPr>
              <w:t>PRAAD-approved record classes; Purview retention; legal hold; disposition review; export/redaction; proof of deletion/disposition.</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Operations</w:t>
            </w:r>
          </w:p>
        </w:tc>
        <w:tc>
          <w:tcPr>
            <w:tcW w:type="dxa" w:w="7460"/>
            <w:tcMar>
              <w:top w:w="80" w:type="dxa"/>
              <w:start w:w="120" w:type="dxa"/>
              <w:bottom w:w="80" w:type="dxa"/>
              <w:end w:w="120" w:type="dxa"/>
            </w:tcMar>
            <w:vAlign w:val="top"/>
          </w:tcPr>
          <w:p>
            <w:pPr>
              <w:spacing w:after="0"/>
            </w:pPr>
            <w:r>
              <w:rPr>
                <w:rFonts w:ascii="Calibri" w:hAnsi="Calibri" w:eastAsia="Calibri"/>
                <w:sz w:val="17"/>
              </w:rPr>
              <w:t>Subscription health; webhook lag; delta gap; send/NDR reconciliation; queue depth; failed extraction; access alerts; backup/restore and disaster-recovery tests.</w:t>
            </w:r>
          </w:p>
        </w:tc>
      </w:tr>
    </w:tbl>
    <w:p>
      <w:pPr>
        <w:spacing w:after="20"/>
      </w:pPr>
    </w:p>
    <w:p>
      <w:pPr>
        <w:pStyle w:val="Heading2"/>
      </w:pPr>
      <w:r>
        <w:t>8.2 Evidence package for each correspondence</w:t>
      </w:r>
    </w:p>
    <w:p>
      <w:pPr>
        <w:pStyle w:val="ListBullet"/>
      </w:pPr>
      <w:r>
        <w:t>Original received or sent MIME, preserved without content mutation.</w:t>
      </w:r>
    </w:p>
    <w:p>
      <w:pPr>
        <w:pStyle w:val="ListBullet"/>
      </w:pPr>
      <w:r>
        <w:t>Envelope and key headers, including Message-ID, In-Reply-To, References, From, Sender, Reply-To, To, Cc and timestamps.</w:t>
      </w:r>
    </w:p>
    <w:p>
      <w:pPr>
        <w:pStyle w:val="ListBullet"/>
      </w:pPr>
      <w:r>
        <w:t>Graph mailbox and immutable item ID, conversation ID and folder at ingestion.</w:t>
      </w:r>
    </w:p>
    <w:p>
      <w:pPr>
        <w:pStyle w:val="ListBullet"/>
      </w:pPr>
      <w:r>
        <w:t>SHA-256 hashes of MIME and every attachment; file name, media type and size.</w:t>
      </w:r>
    </w:p>
    <w:p>
      <w:pPr>
        <w:pStyle w:val="ListBullet"/>
      </w:pPr>
      <w:r>
        <w:t>Malware/CDR result, parser and extraction versions, and transformations such as OCR.</w:t>
      </w:r>
    </w:p>
    <w:p>
      <w:pPr>
        <w:pStyle w:val="ListBullet"/>
      </w:pPr>
      <w:r>
        <w:t>Case-match evidence and confidence; any manual reassignment.</w:t>
      </w:r>
    </w:p>
    <w:p>
      <w:pPr>
        <w:pStyle w:val="ListBullet"/>
      </w:pPr>
      <w:r>
        <w:t>Draft, edits, template/facts version, approvals and actual sent representation.</w:t>
      </w:r>
    </w:p>
    <w:p>
      <w:pPr>
        <w:pStyle w:val="ListBullet"/>
      </w:pPr>
      <w:r>
        <w:t>Delivery processing evidence, Sent Items confirmation, NDR/bounce and later replies.</w:t>
      </w:r>
    </w:p>
    <w:p>
      <w:pPr>
        <w:pStyle w:val="ListBullet"/>
      </w:pPr>
      <w:r>
        <w:t>Retention class, security classification, legal hold and authorised disposition.</w:t>
      </w:r>
    </w:p>
    <w:p>
      <w:pPr>
        <w:pStyle w:val="Heading2"/>
      </w:pPr>
      <w:r>
        <w:t>8.3 Incident scenarios requiring playbooks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2900"/>
            <w:shd w:fill="F2F4F7"/>
            <w:tcMar>
              <w:top w:w="80" w:type="dxa"/>
              <w:start w:w="120" w:type="dxa"/>
              <w:bottom w:w="80" w:type="dxa"/>
              <w:end w:w="120" w:type="dxa"/>
            </w:tcMar>
            <w:vAlign w:val="center"/>
          </w:tcPr>
          <w:p>
            <w:pPr>
              <w:spacing w:after="0"/>
            </w:pPr>
            <w:r>
              <w:rPr>
                <w:rFonts w:ascii="Calibri" w:hAnsi="Calibri" w:eastAsia="Calibri"/>
                <w:b/>
                <w:color w:val="163A5F"/>
                <w:sz w:val="17"/>
              </w:rPr>
              <w:t>Scenario</w:t>
            </w:r>
          </w:p>
        </w:tc>
        <w:tc>
          <w:tcPr>
            <w:tcW w:type="dxa" w:w="6460"/>
            <w:shd w:fill="F2F4F7"/>
            <w:tcMar>
              <w:top w:w="80" w:type="dxa"/>
              <w:start w:w="120" w:type="dxa"/>
              <w:bottom w:w="80" w:type="dxa"/>
              <w:end w:w="120" w:type="dxa"/>
            </w:tcMar>
            <w:vAlign w:val="center"/>
          </w:tcPr>
          <w:p>
            <w:pPr>
              <w:spacing w:after="0"/>
            </w:pPr>
            <w:r>
              <w:rPr>
                <w:rFonts w:ascii="Calibri" w:hAnsi="Calibri" w:eastAsia="Calibri"/>
                <w:b/>
                <w:color w:val="163A5F"/>
                <w:sz w:val="17"/>
              </w:rPr>
              <w:t>Immediate response</w:t>
            </w:r>
          </w:p>
        </w:tc>
      </w:tr>
      <w:tr>
        <w:trPr>
          <w:cantSplit/>
        </w:trPr>
        <w:tc>
          <w:tcPr>
            <w:tcW w:type="dxa" w:w="2900"/>
            <w:tcMar>
              <w:top w:w="80" w:type="dxa"/>
              <w:start w:w="120" w:type="dxa"/>
              <w:bottom w:w="80" w:type="dxa"/>
              <w:end w:w="120" w:type="dxa"/>
            </w:tcMar>
            <w:vAlign w:val="top"/>
          </w:tcPr>
          <w:p>
            <w:pPr>
              <w:spacing w:after="0"/>
            </w:pPr>
            <w:r>
              <w:rPr>
                <w:rFonts w:ascii="Calibri" w:hAnsi="Calibri" w:eastAsia="Calibri"/>
                <w:sz w:val="17"/>
              </w:rPr>
              <w:t>Mailbox or delegate compromise</w:t>
            </w:r>
          </w:p>
        </w:tc>
        <w:tc>
          <w:tcPr>
            <w:tcW w:type="dxa" w:w="6460"/>
            <w:tcMar>
              <w:top w:w="80" w:type="dxa"/>
              <w:start w:w="120" w:type="dxa"/>
              <w:bottom w:w="80" w:type="dxa"/>
              <w:end w:w="120" w:type="dxa"/>
            </w:tcMar>
            <w:vAlign w:val="top"/>
          </w:tcPr>
          <w:p>
            <w:pPr>
              <w:spacing w:after="0"/>
            </w:pPr>
            <w:r>
              <w:rPr>
                <w:rFonts w:ascii="Calibri" w:hAnsi="Calibri" w:eastAsia="Calibri"/>
                <w:sz w:val="17"/>
              </w:rPr>
              <w:t>Disable/revoke sessions and credentials; preserve logs; assess messages/data accessed; invoke cyber/privacy reporting; notify case owners.</w:t>
            </w:r>
          </w:p>
        </w:tc>
      </w:tr>
      <w:tr>
        <w:trPr>
          <w:cantSplit/>
        </w:trPr>
        <w:tc>
          <w:tcPr>
            <w:tcW w:type="dxa" w:w="2900"/>
            <w:tcMar>
              <w:top w:w="80" w:type="dxa"/>
              <w:start w:w="120" w:type="dxa"/>
              <w:bottom w:w="80" w:type="dxa"/>
              <w:end w:w="120" w:type="dxa"/>
            </w:tcMar>
            <w:vAlign w:val="top"/>
          </w:tcPr>
          <w:p>
            <w:pPr>
              <w:spacing w:after="0"/>
            </w:pPr>
            <w:r>
              <w:rPr>
                <w:rFonts w:ascii="Calibri" w:hAnsi="Calibri" w:eastAsia="Calibri"/>
                <w:sz w:val="17"/>
              </w:rPr>
              <w:t>Graph credential exposed</w:t>
            </w:r>
          </w:p>
        </w:tc>
        <w:tc>
          <w:tcPr>
            <w:tcW w:type="dxa" w:w="6460"/>
            <w:tcMar>
              <w:top w:w="80" w:type="dxa"/>
              <w:start w:w="120" w:type="dxa"/>
              <w:bottom w:w="80" w:type="dxa"/>
              <w:end w:w="120" w:type="dxa"/>
            </w:tcMar>
            <w:vAlign w:val="top"/>
          </w:tcPr>
          <w:p>
            <w:pPr>
              <w:spacing w:after="0"/>
            </w:pPr>
            <w:r>
              <w:rPr>
                <w:rFonts w:ascii="Calibri" w:hAnsi="Calibri" w:eastAsia="Calibri"/>
                <w:sz w:val="17"/>
              </w:rPr>
              <w:t>Revoke credential/service principal access; rotate; inspect audit/mail activity; validate scope; reprocess only from trusted checkpoint.</w:t>
            </w:r>
          </w:p>
        </w:tc>
      </w:tr>
      <w:tr>
        <w:trPr>
          <w:cantSplit/>
        </w:trPr>
        <w:tc>
          <w:tcPr>
            <w:tcW w:type="dxa" w:w="2900"/>
            <w:tcMar>
              <w:top w:w="80" w:type="dxa"/>
              <w:start w:w="120" w:type="dxa"/>
              <w:bottom w:w="80" w:type="dxa"/>
              <w:end w:w="120" w:type="dxa"/>
            </w:tcMar>
            <w:vAlign w:val="top"/>
          </w:tcPr>
          <w:p>
            <w:pPr>
              <w:spacing w:after="0"/>
            </w:pPr>
            <w:r>
              <w:rPr>
                <w:rFonts w:ascii="Calibri" w:hAnsi="Calibri" w:eastAsia="Calibri"/>
                <w:sz w:val="17"/>
              </w:rPr>
              <w:t>Malicious attachment escapes</w:t>
            </w:r>
          </w:p>
        </w:tc>
        <w:tc>
          <w:tcPr>
            <w:tcW w:type="dxa" w:w="6460"/>
            <w:tcMar>
              <w:top w:w="80" w:type="dxa"/>
              <w:start w:w="120" w:type="dxa"/>
              <w:bottom w:w="80" w:type="dxa"/>
              <w:end w:w="120" w:type="dxa"/>
            </w:tcMar>
            <w:vAlign w:val="top"/>
          </w:tcPr>
          <w:p>
            <w:pPr>
              <w:spacing w:after="0"/>
            </w:pPr>
            <w:r>
              <w:rPr>
                <w:rFonts w:ascii="Calibri" w:hAnsi="Calibri" w:eastAsia="Calibri"/>
                <w:sz w:val="17"/>
              </w:rPr>
              <w:t>Isolate worker/storage; preserve evidence; block hash/sender; assess execution and exfiltration; notify Cybersecurity.</w:t>
            </w:r>
          </w:p>
        </w:tc>
      </w:tr>
      <w:tr>
        <w:trPr>
          <w:cantSplit/>
        </w:trPr>
        <w:tc>
          <w:tcPr>
            <w:tcW w:type="dxa" w:w="2900"/>
            <w:tcMar>
              <w:top w:w="80" w:type="dxa"/>
              <w:start w:w="120" w:type="dxa"/>
              <w:bottom w:w="80" w:type="dxa"/>
              <w:end w:w="120" w:type="dxa"/>
            </w:tcMar>
            <w:vAlign w:val="top"/>
          </w:tcPr>
          <w:p>
            <w:pPr>
              <w:spacing w:after="0"/>
            </w:pPr>
            <w:r>
              <w:rPr>
                <w:rFonts w:ascii="Calibri" w:hAnsi="Calibri" w:eastAsia="Calibri"/>
                <w:sz w:val="17"/>
              </w:rPr>
              <w:t>Wrong recipient / broad CC</w:t>
            </w:r>
          </w:p>
        </w:tc>
        <w:tc>
          <w:tcPr>
            <w:tcW w:type="dxa" w:w="6460"/>
            <w:tcMar>
              <w:top w:w="80" w:type="dxa"/>
              <w:start w:w="120" w:type="dxa"/>
              <w:bottom w:w="80" w:type="dxa"/>
              <w:end w:w="120" w:type="dxa"/>
            </w:tcMar>
            <w:vAlign w:val="top"/>
          </w:tcPr>
          <w:p>
            <w:pPr>
              <w:spacing w:after="0"/>
            </w:pPr>
            <w:r>
              <w:rPr>
                <w:rFonts w:ascii="Calibri" w:hAnsi="Calibri" w:eastAsia="Calibri"/>
                <w:sz w:val="17"/>
              </w:rPr>
              <w:t>Contain/recall where possible; preserve incident evidence; assess breach; prevent further sends; correct contact/rule.</w:t>
            </w:r>
          </w:p>
        </w:tc>
      </w:tr>
      <w:tr>
        <w:trPr>
          <w:cantSplit/>
        </w:trPr>
        <w:tc>
          <w:tcPr>
            <w:tcW w:type="dxa" w:w="2900"/>
            <w:tcMar>
              <w:top w:w="80" w:type="dxa"/>
              <w:start w:w="120" w:type="dxa"/>
              <w:bottom w:w="80" w:type="dxa"/>
              <w:end w:w="120" w:type="dxa"/>
            </w:tcMar>
            <w:vAlign w:val="top"/>
          </w:tcPr>
          <w:p>
            <w:pPr>
              <w:spacing w:after="0"/>
            </w:pPr>
            <w:r>
              <w:rPr>
                <w:rFonts w:ascii="Calibri" w:hAnsi="Calibri" w:eastAsia="Calibri"/>
                <w:sz w:val="17"/>
              </w:rPr>
              <w:t>Message lost or webhook gap</w:t>
            </w:r>
          </w:p>
        </w:tc>
        <w:tc>
          <w:tcPr>
            <w:tcW w:type="dxa" w:w="6460"/>
            <w:tcMar>
              <w:top w:w="80" w:type="dxa"/>
              <w:start w:w="120" w:type="dxa"/>
              <w:bottom w:w="80" w:type="dxa"/>
              <w:end w:w="120" w:type="dxa"/>
            </w:tcMar>
            <w:vAlign w:val="top"/>
          </w:tcPr>
          <w:p>
            <w:pPr>
              <w:spacing w:after="0"/>
            </w:pPr>
            <w:r>
              <w:rPr>
                <w:rFonts w:ascii="Calibri" w:hAnsi="Calibri" w:eastAsia="Calibri"/>
                <w:sz w:val="17"/>
              </w:rPr>
              <w:t>Run delta reconciliation; compare Exchange folders and platform ledger; create incident if evidence completeness affected.</w:t>
            </w:r>
          </w:p>
        </w:tc>
      </w:tr>
      <w:tr>
        <w:trPr>
          <w:cantSplit/>
        </w:trPr>
        <w:tc>
          <w:tcPr>
            <w:tcW w:type="dxa" w:w="2900"/>
            <w:tcMar>
              <w:top w:w="80" w:type="dxa"/>
              <w:start w:w="120" w:type="dxa"/>
              <w:bottom w:w="80" w:type="dxa"/>
              <w:end w:w="120" w:type="dxa"/>
            </w:tcMar>
            <w:vAlign w:val="top"/>
          </w:tcPr>
          <w:p>
            <w:pPr>
              <w:spacing w:after="0"/>
            </w:pPr>
            <w:r>
              <w:rPr>
                <w:rFonts w:ascii="Calibri" w:hAnsi="Calibri" w:eastAsia="Calibri"/>
                <w:sz w:val="17"/>
              </w:rPr>
              <w:t>Incorrect penalty draft sent</w:t>
            </w:r>
          </w:p>
        </w:tc>
        <w:tc>
          <w:tcPr>
            <w:tcW w:type="dxa" w:w="6460"/>
            <w:tcMar>
              <w:top w:w="80" w:type="dxa"/>
              <w:start w:w="120" w:type="dxa"/>
              <w:bottom w:w="80" w:type="dxa"/>
              <w:end w:w="120" w:type="dxa"/>
            </w:tcMar>
            <w:vAlign w:val="top"/>
          </w:tcPr>
          <w:p>
            <w:pPr>
              <w:spacing w:after="0"/>
            </w:pPr>
            <w:r>
              <w:rPr>
                <w:rFonts w:ascii="Calibri" w:hAnsi="Calibri" w:eastAsia="Calibri"/>
                <w:sz w:val="17"/>
              </w:rPr>
              <w:t>Stop campaign; preserve sent version; escalate Legal; issue approved correction/withdrawal; retain both notices.</w:t>
            </w:r>
          </w:p>
        </w:tc>
      </w:tr>
    </w:tbl>
    <w:p>
      <w:pPr>
        <w:spacing w:after="20"/>
      </w:pPr>
    </w:p>
    <w:p>
      <w:pPr>
        <w:pStyle w:val="Heading2"/>
      </w:pPr>
      <w:r>
        <w:t>8.4 Business continuity</w:t>
      </w:r>
    </w:p>
    <w:p>
      <w:r>
        <w:t>If the integration is unavailable, Exchange should continue receiving mail. Officers may use the shared mailbox under a controlled manual procedure, record the case token in the subject, and later reconcile every message. If the portal is unavailable near a due date, NCA must have a pre-approved contingency filing policy that states whether email counts as receipt and how providers are informed. The software must not decide this during an outage.</w:t>
      </w:r>
    </w:p>
    <w:p>
      <w:r>
        <w:br w:type="page"/>
      </w:r>
    </w:p>
    <w:p>
      <w:pPr>
        <w:pStyle w:val="Heading1"/>
      </w:pPr>
      <w:r>
        <w:t>9. Project gap assessment and required changes</w:t>
      </w:r>
    </w:p>
    <w:p>
      <w:pPr>
        <w:pStyle w:val="Heading2"/>
      </w:pPr>
      <w:r>
        <w:t>9.1 Priority gap matrix</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050"/>
            <w:shd w:fill="F2F4F7"/>
            <w:tcMar>
              <w:top w:w="80" w:type="dxa"/>
              <w:start w:w="120" w:type="dxa"/>
              <w:bottom w:w="80" w:type="dxa"/>
              <w:end w:w="120" w:type="dxa"/>
            </w:tcMar>
            <w:vAlign w:val="center"/>
          </w:tcPr>
          <w:p>
            <w:pPr>
              <w:spacing w:after="0"/>
            </w:pPr>
            <w:r>
              <w:rPr>
                <w:rFonts w:ascii="Calibri" w:hAnsi="Calibri" w:eastAsia="Calibri"/>
                <w:b/>
                <w:color w:val="163A5F"/>
                <w:sz w:val="16"/>
              </w:rPr>
              <w:t>Priority</w:t>
            </w:r>
          </w:p>
        </w:tc>
        <w:tc>
          <w:tcPr>
            <w:tcW w:type="dxa" w:w="3350"/>
            <w:shd w:fill="F2F4F7"/>
            <w:tcMar>
              <w:top w:w="80" w:type="dxa"/>
              <w:start w:w="120" w:type="dxa"/>
              <w:bottom w:w="80" w:type="dxa"/>
              <w:end w:w="120" w:type="dxa"/>
            </w:tcMar>
            <w:vAlign w:val="center"/>
          </w:tcPr>
          <w:p>
            <w:pPr>
              <w:spacing w:after="0"/>
            </w:pPr>
            <w:r>
              <w:rPr>
                <w:rFonts w:ascii="Calibri" w:hAnsi="Calibri" w:eastAsia="Calibri"/>
                <w:b/>
                <w:color w:val="163A5F"/>
                <w:sz w:val="16"/>
              </w:rPr>
              <w:t>Gap</w:t>
            </w:r>
          </w:p>
        </w:tc>
        <w:tc>
          <w:tcPr>
            <w:tcW w:type="dxa" w:w="4960"/>
            <w:shd w:fill="F2F4F7"/>
            <w:tcMar>
              <w:top w:w="80" w:type="dxa"/>
              <w:start w:w="120" w:type="dxa"/>
              <w:bottom w:w="80" w:type="dxa"/>
              <w:end w:w="120" w:type="dxa"/>
            </w:tcMar>
            <w:vAlign w:val="center"/>
          </w:tcPr>
          <w:p>
            <w:pPr>
              <w:spacing w:after="0"/>
            </w:pPr>
            <w:r>
              <w:rPr>
                <w:rFonts w:ascii="Calibri" w:hAnsi="Calibri" w:eastAsia="Calibri"/>
                <w:b/>
                <w:color w:val="163A5F"/>
                <w:sz w:val="16"/>
              </w:rPr>
              <w:t>Required change</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Critical</w:t>
            </w:r>
          </w:p>
        </w:tc>
        <w:tc>
          <w:tcPr>
            <w:tcW w:type="dxa" w:w="3350"/>
            <w:tcMar>
              <w:top w:w="80" w:type="dxa"/>
              <w:start w:w="120" w:type="dxa"/>
              <w:bottom w:w="80" w:type="dxa"/>
              <w:end w:w="120" w:type="dxa"/>
            </w:tcMar>
            <w:vAlign w:val="top"/>
          </w:tcPr>
          <w:p>
            <w:pPr>
              <w:spacing w:after="0"/>
            </w:pPr>
            <w:r>
              <w:rPr>
                <w:rFonts w:ascii="Calibri" w:hAnsi="Calibri" w:eastAsia="Calibri"/>
                <w:sz w:val="16"/>
              </w:rPr>
              <w:t>No real provider transport or inbound processing</w:t>
            </w:r>
          </w:p>
        </w:tc>
        <w:tc>
          <w:tcPr>
            <w:tcW w:type="dxa" w:w="4960"/>
            <w:tcMar>
              <w:top w:w="80" w:type="dxa"/>
              <w:start w:w="120" w:type="dxa"/>
              <w:bottom w:w="80" w:type="dxa"/>
              <w:end w:w="120" w:type="dxa"/>
            </w:tcMar>
            <w:vAlign w:val="top"/>
          </w:tcPr>
          <w:p>
            <w:pPr>
              <w:spacing w:after="0"/>
            </w:pPr>
            <w:r>
              <w:rPr>
                <w:rFonts w:ascii="Calibri" w:hAnsi="Calibri" w:eastAsia="Calibri"/>
                <w:sz w:val="16"/>
              </w:rPr>
              <w:t>Add Graph integration, subscriptions, queue, delta reconciliation and NDR ingestion.</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Critical</w:t>
            </w:r>
          </w:p>
        </w:tc>
        <w:tc>
          <w:tcPr>
            <w:tcW w:type="dxa" w:w="3350"/>
            <w:tcMar>
              <w:top w:w="80" w:type="dxa"/>
              <w:start w:w="120" w:type="dxa"/>
              <w:bottom w:w="80" w:type="dxa"/>
              <w:end w:w="120" w:type="dxa"/>
            </w:tcMar>
            <w:vAlign w:val="top"/>
          </w:tcPr>
          <w:p>
            <w:pPr>
              <w:spacing w:after="0"/>
            </w:pPr>
            <w:r>
              <w:rPr>
                <w:rFonts w:ascii="Calibri" w:hAnsi="Calibri" w:eastAsia="Calibri"/>
                <w:sz w:val="16"/>
              </w:rPr>
              <w:t>Manual sent status can create false evidence</w:t>
            </w:r>
          </w:p>
        </w:tc>
        <w:tc>
          <w:tcPr>
            <w:tcW w:type="dxa" w:w="4960"/>
            <w:tcMar>
              <w:top w:w="80" w:type="dxa"/>
              <w:start w:w="120" w:type="dxa"/>
              <w:bottom w:w="80" w:type="dxa"/>
              <w:end w:w="120" w:type="dxa"/>
            </w:tcMar>
            <w:vAlign w:val="top"/>
          </w:tcPr>
          <w:p>
            <w:pPr>
              <w:spacing w:after="0"/>
            </w:pPr>
            <w:r>
              <w:rPr>
                <w:rFonts w:ascii="Calibri" w:hAnsi="Calibri" w:eastAsia="Calibri"/>
                <w:sz w:val="16"/>
              </w:rPr>
              <w:t>Replace with transport events and reconciliation; prohibit manual “sent” except controlled legacy import.</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Critical</w:t>
            </w:r>
          </w:p>
        </w:tc>
        <w:tc>
          <w:tcPr>
            <w:tcW w:type="dxa" w:w="3350"/>
            <w:tcMar>
              <w:top w:w="80" w:type="dxa"/>
              <w:start w:w="120" w:type="dxa"/>
              <w:bottom w:w="80" w:type="dxa"/>
              <w:end w:w="120" w:type="dxa"/>
            </w:tcMar>
            <w:vAlign w:val="top"/>
          </w:tcPr>
          <w:p>
            <w:pPr>
              <w:spacing w:after="0"/>
            </w:pPr>
            <w:r>
              <w:rPr>
                <w:rFonts w:ascii="Calibri" w:hAnsi="Calibri" w:eastAsia="Calibri"/>
                <w:sz w:val="16"/>
              </w:rPr>
              <w:t>Draft recorded as EMAIL_SENT</w:t>
            </w:r>
          </w:p>
        </w:tc>
        <w:tc>
          <w:tcPr>
            <w:tcW w:type="dxa" w:w="4960"/>
            <w:tcMar>
              <w:top w:w="80" w:type="dxa"/>
              <w:start w:w="120" w:type="dxa"/>
              <w:bottom w:w="80" w:type="dxa"/>
              <w:end w:w="120" w:type="dxa"/>
            </w:tcMar>
            <w:vAlign w:val="top"/>
          </w:tcPr>
          <w:p>
            <w:pPr>
              <w:spacing w:after="0"/>
            </w:pPr>
            <w:r>
              <w:rPr>
                <w:rFonts w:ascii="Calibri" w:hAnsi="Calibri" w:eastAsia="Calibri"/>
                <w:sz w:val="16"/>
              </w:rPr>
              <w:t>Introduce DRAFTED/APPROVED/SENT/RECEIVED events and correct correspondence semantics.</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Critical</w:t>
            </w:r>
          </w:p>
        </w:tc>
        <w:tc>
          <w:tcPr>
            <w:tcW w:type="dxa" w:w="3350"/>
            <w:tcMar>
              <w:top w:w="80" w:type="dxa"/>
              <w:start w:w="120" w:type="dxa"/>
              <w:bottom w:w="80" w:type="dxa"/>
              <w:end w:w="120" w:type="dxa"/>
            </w:tcMar>
            <w:vAlign w:val="top"/>
          </w:tcPr>
          <w:p>
            <w:pPr>
              <w:spacing w:after="0"/>
            </w:pPr>
            <w:r>
              <w:rPr>
                <w:rFonts w:ascii="Calibri" w:hAnsi="Calibri" w:eastAsia="Calibri"/>
                <w:sz w:val="16"/>
              </w:rPr>
              <w:t>No mailbox-scoped identity/secret controls</w:t>
            </w:r>
          </w:p>
        </w:tc>
        <w:tc>
          <w:tcPr>
            <w:tcW w:type="dxa" w:w="4960"/>
            <w:tcMar>
              <w:top w:w="80" w:type="dxa"/>
              <w:start w:w="120" w:type="dxa"/>
              <w:bottom w:w="80" w:type="dxa"/>
              <w:end w:w="120" w:type="dxa"/>
            </w:tcMar>
            <w:vAlign w:val="top"/>
          </w:tcPr>
          <w:p>
            <w:pPr>
              <w:spacing w:after="0"/>
            </w:pPr>
            <w:r>
              <w:rPr>
                <w:rFonts w:ascii="Calibri" w:hAnsi="Calibri" w:eastAsia="Calibri"/>
                <w:sz w:val="16"/>
              </w:rPr>
              <w:t>Use Entra service principal + Exchange Application RBAC; vault/rotate certificate.</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Critical</w:t>
            </w:r>
          </w:p>
        </w:tc>
        <w:tc>
          <w:tcPr>
            <w:tcW w:type="dxa" w:w="3350"/>
            <w:tcMar>
              <w:top w:w="80" w:type="dxa"/>
              <w:start w:w="120" w:type="dxa"/>
              <w:bottom w:w="80" w:type="dxa"/>
              <w:end w:w="120" w:type="dxa"/>
            </w:tcMar>
            <w:vAlign w:val="top"/>
          </w:tcPr>
          <w:p>
            <w:pPr>
              <w:spacing w:after="0"/>
            </w:pPr>
            <w:r>
              <w:rPr>
                <w:rFonts w:ascii="Calibri" w:hAnsi="Calibri" w:eastAsia="Calibri"/>
                <w:sz w:val="16"/>
              </w:rPr>
              <w:t>No raw evidence or retention model</w:t>
            </w:r>
          </w:p>
        </w:tc>
        <w:tc>
          <w:tcPr>
            <w:tcW w:type="dxa" w:w="4960"/>
            <w:tcMar>
              <w:top w:w="80" w:type="dxa"/>
              <w:start w:w="120" w:type="dxa"/>
              <w:bottom w:w="80" w:type="dxa"/>
              <w:end w:w="120" w:type="dxa"/>
            </w:tcMar>
            <w:vAlign w:val="top"/>
          </w:tcPr>
          <w:p>
            <w:pPr>
              <w:spacing w:after="0"/>
            </w:pPr>
            <w:r>
              <w:rPr>
                <w:rFonts w:ascii="Calibri" w:hAnsi="Calibri" w:eastAsia="Calibri"/>
                <w:sz w:val="16"/>
              </w:rPr>
              <w:t>Add MessageEvidence, AttachmentEvidence, hashes, custody events, Purview policy and retention class.</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High</w:t>
            </w:r>
          </w:p>
        </w:tc>
        <w:tc>
          <w:tcPr>
            <w:tcW w:type="dxa" w:w="3350"/>
            <w:tcMar>
              <w:top w:w="80" w:type="dxa"/>
              <w:start w:w="120" w:type="dxa"/>
              <w:bottom w:w="80" w:type="dxa"/>
              <w:end w:w="120" w:type="dxa"/>
            </w:tcMar>
            <w:vAlign w:val="top"/>
          </w:tcPr>
          <w:p>
            <w:pPr>
              <w:spacing w:after="0"/>
            </w:pPr>
            <w:r>
              <w:rPr>
                <w:rFonts w:ascii="Calibri" w:hAnsi="Calibri" w:eastAsia="Calibri"/>
                <w:sz w:val="16"/>
              </w:rPr>
              <w:t>Compliance actions bypass AuditEvent</w:t>
            </w:r>
          </w:p>
        </w:tc>
        <w:tc>
          <w:tcPr>
            <w:tcW w:type="dxa" w:w="4960"/>
            <w:tcMar>
              <w:top w:w="80" w:type="dxa"/>
              <w:start w:w="120" w:type="dxa"/>
              <w:bottom w:w="80" w:type="dxa"/>
              <w:end w:w="120" w:type="dxa"/>
            </w:tcMar>
            <w:vAlign w:val="top"/>
          </w:tcPr>
          <w:p>
            <w:pPr>
              <w:spacing w:after="0"/>
            </w:pPr>
            <w:r>
              <w:rPr>
                <w:rFonts w:ascii="Calibri" w:hAnsi="Calibri" w:eastAsia="Calibri"/>
                <w:sz w:val="16"/>
              </w:rPr>
              <w:t>Emit append-only domain events for draft, edit, approval, send, receipt, extract, accept, status and enforcement.</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High</w:t>
            </w:r>
          </w:p>
        </w:tc>
        <w:tc>
          <w:tcPr>
            <w:tcW w:type="dxa" w:w="3350"/>
            <w:tcMar>
              <w:top w:w="80" w:type="dxa"/>
              <w:start w:w="120" w:type="dxa"/>
              <w:bottom w:w="80" w:type="dxa"/>
              <w:end w:w="120" w:type="dxa"/>
            </w:tcMar>
            <w:vAlign w:val="top"/>
          </w:tcPr>
          <w:p>
            <w:pPr>
              <w:spacing w:after="0"/>
            </w:pPr>
            <w:r>
              <w:rPr>
                <w:rFonts w:ascii="Calibri" w:hAnsi="Calibri" w:eastAsia="Calibri"/>
                <w:sz w:val="16"/>
              </w:rPr>
              <w:t>No penalty domain</w:t>
            </w:r>
          </w:p>
        </w:tc>
        <w:tc>
          <w:tcPr>
            <w:tcW w:type="dxa" w:w="4960"/>
            <w:tcMar>
              <w:top w:w="80" w:type="dxa"/>
              <w:start w:w="120" w:type="dxa"/>
              <w:bottom w:w="80" w:type="dxa"/>
              <w:end w:w="120" w:type="dxa"/>
            </w:tcMar>
            <w:vAlign w:val="top"/>
          </w:tcPr>
          <w:p>
            <w:pPr>
              <w:spacing w:after="0"/>
            </w:pPr>
            <w:r>
              <w:rPr>
                <w:rFonts w:ascii="Calibri" w:hAnsi="Calibri" w:eastAsia="Calibri"/>
                <w:sz w:val="16"/>
              </w:rPr>
              <w:t>Add effective-dated PenaltyRule, Assessment, Notice, Response and Review/Appeal models.</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High</w:t>
            </w:r>
          </w:p>
        </w:tc>
        <w:tc>
          <w:tcPr>
            <w:tcW w:type="dxa" w:w="3350"/>
            <w:tcMar>
              <w:top w:w="80" w:type="dxa"/>
              <w:start w:w="120" w:type="dxa"/>
              <w:bottom w:w="80" w:type="dxa"/>
              <w:end w:w="120" w:type="dxa"/>
            </w:tcMar>
            <w:vAlign w:val="top"/>
          </w:tcPr>
          <w:p>
            <w:pPr>
              <w:spacing w:after="0"/>
            </w:pPr>
            <w:r>
              <w:rPr>
                <w:rFonts w:ascii="Calibri" w:hAnsi="Calibri" w:eastAsia="Calibri"/>
                <w:sz w:val="16"/>
              </w:rPr>
              <w:t>No application domain</w:t>
            </w:r>
          </w:p>
        </w:tc>
        <w:tc>
          <w:tcPr>
            <w:tcW w:type="dxa" w:w="4960"/>
            <w:tcMar>
              <w:top w:w="80" w:type="dxa"/>
              <w:start w:w="120" w:type="dxa"/>
              <w:bottom w:w="80" w:type="dxa"/>
              <w:end w:w="120" w:type="dxa"/>
            </w:tcMar>
            <w:vAlign w:val="top"/>
          </w:tcPr>
          <w:p>
            <w:pPr>
              <w:spacing w:after="0"/>
            </w:pPr>
            <w:r>
              <w:rPr>
                <w:rFonts w:ascii="Calibri" w:hAnsi="Calibri" w:eastAsia="Calibri"/>
                <w:sz w:val="16"/>
              </w:rPr>
              <w:t>Add RegulatoryCase/Application if application progress is required.</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High</w:t>
            </w:r>
          </w:p>
        </w:tc>
        <w:tc>
          <w:tcPr>
            <w:tcW w:type="dxa" w:w="3350"/>
            <w:tcMar>
              <w:top w:w="80" w:type="dxa"/>
              <w:start w:w="120" w:type="dxa"/>
              <w:bottom w:w="80" w:type="dxa"/>
              <w:end w:w="120" w:type="dxa"/>
            </w:tcMar>
            <w:vAlign w:val="top"/>
          </w:tcPr>
          <w:p>
            <w:pPr>
              <w:spacing w:after="0"/>
            </w:pPr>
            <w:r>
              <w:rPr>
                <w:rFonts w:ascii="Calibri" w:hAnsi="Calibri" w:eastAsia="Calibri"/>
                <w:sz w:val="16"/>
              </w:rPr>
              <w:t>Narrow missing-data computation</w:t>
            </w:r>
          </w:p>
        </w:tc>
        <w:tc>
          <w:tcPr>
            <w:tcW w:type="dxa" w:w="4960"/>
            <w:tcMar>
              <w:top w:w="80" w:type="dxa"/>
              <w:start w:w="120" w:type="dxa"/>
              <w:bottom w:w="80" w:type="dxa"/>
              <w:end w:w="120" w:type="dxa"/>
            </w:tcMar>
            <w:vAlign w:val="top"/>
          </w:tcPr>
          <w:p>
            <w:pPr>
              <w:spacing w:after="0"/>
            </w:pPr>
            <w:r>
              <w:rPr>
                <w:rFonts w:ascii="Calibri" w:hAnsi="Calibri" w:eastAsia="Calibri"/>
                <w:sz w:val="16"/>
              </w:rPr>
              <w:t>Use the readiness service as the single readiness source for fields, grids and files.</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High</w:t>
            </w:r>
          </w:p>
        </w:tc>
        <w:tc>
          <w:tcPr>
            <w:tcW w:type="dxa" w:w="3350"/>
            <w:tcMar>
              <w:top w:w="80" w:type="dxa"/>
              <w:start w:w="120" w:type="dxa"/>
              <w:bottom w:w="80" w:type="dxa"/>
              <w:end w:w="120" w:type="dxa"/>
            </w:tcMar>
            <w:vAlign w:val="top"/>
          </w:tcPr>
          <w:p>
            <w:pPr>
              <w:spacing w:after="0"/>
            </w:pPr>
            <w:r>
              <w:rPr>
                <w:rFonts w:ascii="Calibri" w:hAnsi="Calibri" w:eastAsia="Calibri"/>
                <w:sz w:val="16"/>
              </w:rPr>
              <w:t>Flags may be deleted on resolution</w:t>
            </w:r>
          </w:p>
        </w:tc>
        <w:tc>
          <w:tcPr>
            <w:tcW w:type="dxa" w:w="4960"/>
            <w:tcMar>
              <w:top w:w="80" w:type="dxa"/>
              <w:start w:w="120" w:type="dxa"/>
              <w:bottom w:w="80" w:type="dxa"/>
              <w:end w:w="120" w:type="dxa"/>
            </w:tcMar>
            <w:vAlign w:val="top"/>
          </w:tcPr>
          <w:p>
            <w:pPr>
              <w:spacing w:after="0"/>
            </w:pPr>
            <w:r>
              <w:rPr>
                <w:rFonts w:ascii="Calibri" w:hAnsi="Calibri" w:eastAsia="Calibri"/>
                <w:sz w:val="16"/>
              </w:rPr>
              <w:t>Retain closed flags and history; use state transitions and supersession.</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High</w:t>
            </w:r>
          </w:p>
        </w:tc>
        <w:tc>
          <w:tcPr>
            <w:tcW w:type="dxa" w:w="3350"/>
            <w:tcMar>
              <w:top w:w="80" w:type="dxa"/>
              <w:start w:w="120" w:type="dxa"/>
              <w:bottom w:w="80" w:type="dxa"/>
              <w:end w:w="120" w:type="dxa"/>
            </w:tcMar>
            <w:vAlign w:val="top"/>
          </w:tcPr>
          <w:p>
            <w:pPr>
              <w:spacing w:after="0"/>
            </w:pPr>
            <w:r>
              <w:rPr>
                <w:rFonts w:ascii="Calibri" w:hAnsi="Calibri" w:eastAsia="Calibri"/>
                <w:sz w:val="16"/>
              </w:rPr>
              <w:t>Simple template replacement</w:t>
            </w:r>
          </w:p>
        </w:tc>
        <w:tc>
          <w:tcPr>
            <w:tcW w:type="dxa" w:w="4960"/>
            <w:tcMar>
              <w:top w:w="80" w:type="dxa"/>
              <w:start w:w="120" w:type="dxa"/>
              <w:bottom w:w="80" w:type="dxa"/>
              <w:end w:w="120" w:type="dxa"/>
            </w:tcMar>
            <w:vAlign w:val="top"/>
          </w:tcPr>
          <w:p>
            <w:pPr>
              <w:spacing w:after="0"/>
            </w:pPr>
            <w:r>
              <w:rPr>
                <w:rFonts w:ascii="Calibri" w:hAnsi="Calibri" w:eastAsia="Calibri"/>
                <w:sz w:val="16"/>
              </w:rPr>
              <w:t>Add typed variables, escaping, preview, version snapshots, validation and approval policy.</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Medium</w:t>
            </w:r>
          </w:p>
        </w:tc>
        <w:tc>
          <w:tcPr>
            <w:tcW w:type="dxa" w:w="3350"/>
            <w:tcMar>
              <w:top w:w="80" w:type="dxa"/>
              <w:start w:w="120" w:type="dxa"/>
              <w:bottom w:w="80" w:type="dxa"/>
              <w:end w:w="120" w:type="dxa"/>
            </w:tcMar>
            <w:vAlign w:val="top"/>
          </w:tcPr>
          <w:p>
            <w:pPr>
              <w:spacing w:after="0"/>
            </w:pPr>
            <w:r>
              <w:rPr>
                <w:rFonts w:ascii="Calibri" w:hAnsi="Calibri" w:eastAsia="Calibri"/>
                <w:sz w:val="16"/>
              </w:rPr>
              <w:t>EmailLog API cannot fully reconstruct message</w:t>
            </w:r>
          </w:p>
        </w:tc>
        <w:tc>
          <w:tcPr>
            <w:tcW w:type="dxa" w:w="4960"/>
            <w:tcMar>
              <w:top w:w="80" w:type="dxa"/>
              <w:start w:w="120" w:type="dxa"/>
              <w:bottom w:w="80" w:type="dxa"/>
              <w:end w:w="120" w:type="dxa"/>
            </w:tcMar>
            <w:vAlign w:val="top"/>
          </w:tcPr>
          <w:p>
            <w:pPr>
              <w:spacing w:after="0"/>
            </w:pPr>
            <w:r>
              <w:rPr>
                <w:rFonts w:ascii="Calibri" w:hAnsi="Calibri" w:eastAsia="Calibri"/>
                <w:sz w:val="16"/>
              </w:rPr>
              <w:t>Expose authorised exact body/version/evidence endpoints with redaction controls.</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Medium</w:t>
            </w:r>
          </w:p>
        </w:tc>
        <w:tc>
          <w:tcPr>
            <w:tcW w:type="dxa" w:w="3350"/>
            <w:tcMar>
              <w:top w:w="80" w:type="dxa"/>
              <w:start w:w="120" w:type="dxa"/>
              <w:bottom w:w="80" w:type="dxa"/>
              <w:end w:w="120" w:type="dxa"/>
            </w:tcMar>
            <w:vAlign w:val="top"/>
          </w:tcPr>
          <w:p>
            <w:pPr>
              <w:spacing w:after="0"/>
            </w:pPr>
            <w:r>
              <w:rPr>
                <w:rFonts w:ascii="Calibri" w:hAnsi="Calibri" w:eastAsia="Calibri"/>
                <w:sz w:val="16"/>
              </w:rPr>
              <w:t>Template fixtures incomplete</w:t>
            </w:r>
          </w:p>
        </w:tc>
        <w:tc>
          <w:tcPr>
            <w:tcW w:type="dxa" w:w="4960"/>
            <w:tcMar>
              <w:top w:w="80" w:type="dxa"/>
              <w:start w:w="120" w:type="dxa"/>
              <w:bottom w:w="80" w:type="dxa"/>
              <w:end w:w="120" w:type="dxa"/>
            </w:tcMar>
            <w:vAlign w:val="top"/>
          </w:tcPr>
          <w:p>
            <w:pPr>
              <w:spacing w:after="0"/>
            </w:pPr>
            <w:r>
              <w:rPr>
                <w:rFonts w:ascii="Calibri" w:hAnsi="Calibri" w:eastAsia="Calibri"/>
                <w:sz w:val="16"/>
              </w:rPr>
              <w:t>Add controlled templates for all approved categories; penalty/final templates require Legal ownership.</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Medium</w:t>
            </w:r>
          </w:p>
        </w:tc>
        <w:tc>
          <w:tcPr>
            <w:tcW w:type="dxa" w:w="3350"/>
            <w:tcMar>
              <w:top w:w="80" w:type="dxa"/>
              <w:start w:w="120" w:type="dxa"/>
              <w:bottom w:w="80" w:type="dxa"/>
              <w:end w:w="120" w:type="dxa"/>
            </w:tcMar>
            <w:vAlign w:val="top"/>
          </w:tcPr>
          <w:p>
            <w:pPr>
              <w:spacing w:after="0"/>
            </w:pPr>
            <w:r>
              <w:rPr>
                <w:rFonts w:ascii="Calibri" w:hAnsi="Calibri" w:eastAsia="Calibri"/>
                <w:sz w:val="16"/>
              </w:rPr>
              <w:t>Scheduled jobs not demonstrably deployed</w:t>
            </w:r>
          </w:p>
        </w:tc>
        <w:tc>
          <w:tcPr>
            <w:tcW w:type="dxa" w:w="4960"/>
            <w:tcMar>
              <w:top w:w="80" w:type="dxa"/>
              <w:start w:w="120" w:type="dxa"/>
              <w:bottom w:w="80" w:type="dxa"/>
              <w:end w:w="120" w:type="dxa"/>
            </w:tcMar>
            <w:vAlign w:val="top"/>
          </w:tcPr>
          <w:p>
            <w:pPr>
              <w:spacing w:after="0"/>
            </w:pPr>
            <w:r>
              <w:rPr>
                <w:rFonts w:ascii="Calibri" w:hAnsi="Calibri" w:eastAsia="Calibri"/>
                <w:sz w:val="16"/>
              </w:rPr>
              <w:t>Configure scheduler/beat, health checks, lock/idempotency, run history and alerts.</w:t>
            </w:r>
          </w:p>
        </w:tc>
      </w:tr>
      <w:tr>
        <w:trPr>
          <w:cantSplit/>
        </w:trPr>
        <w:tc>
          <w:tcPr>
            <w:tcW w:type="dxa" w:w="1050"/>
            <w:tcMar>
              <w:top w:w="80" w:type="dxa"/>
              <w:start w:w="120" w:type="dxa"/>
              <w:bottom w:w="80" w:type="dxa"/>
              <w:end w:w="120" w:type="dxa"/>
            </w:tcMar>
            <w:vAlign w:val="top"/>
          </w:tcPr>
          <w:p>
            <w:pPr>
              <w:spacing w:after="0"/>
            </w:pPr>
            <w:r>
              <w:rPr>
                <w:rFonts w:ascii="Calibri" w:hAnsi="Calibri" w:eastAsia="Calibri"/>
                <w:sz w:val="16"/>
              </w:rPr>
              <w:t>Medium</w:t>
            </w:r>
          </w:p>
        </w:tc>
        <w:tc>
          <w:tcPr>
            <w:tcW w:type="dxa" w:w="3350"/>
            <w:tcMar>
              <w:top w:w="80" w:type="dxa"/>
              <w:start w:w="120" w:type="dxa"/>
              <w:bottom w:w="80" w:type="dxa"/>
              <w:end w:w="120" w:type="dxa"/>
            </w:tcMar>
            <w:vAlign w:val="top"/>
          </w:tcPr>
          <w:p>
            <w:pPr>
              <w:spacing w:after="0"/>
            </w:pPr>
            <w:r>
              <w:rPr>
                <w:rFonts w:ascii="Calibri" w:hAnsi="Calibri" w:eastAsia="Calibri"/>
                <w:sz w:val="16"/>
              </w:rPr>
              <w:t>Recipient data lacks assurance metadata</w:t>
            </w:r>
          </w:p>
        </w:tc>
        <w:tc>
          <w:tcPr>
            <w:tcW w:type="dxa" w:w="4960"/>
            <w:tcMar>
              <w:top w:w="80" w:type="dxa"/>
              <w:start w:w="120" w:type="dxa"/>
              <w:bottom w:w="80" w:type="dxa"/>
              <w:end w:w="120" w:type="dxa"/>
            </w:tcMar>
            <w:vAlign w:val="top"/>
          </w:tcPr>
          <w:p>
            <w:pPr>
              <w:spacing w:after="0"/>
            </w:pPr>
            <w:r>
              <w:rPr>
                <w:rFonts w:ascii="Calibri" w:hAnsi="Calibri" w:eastAsia="Calibri"/>
                <w:sz w:val="16"/>
              </w:rPr>
              <w:t>Add role, verified_at, valid_from/to, source, bounce state and contact change audit.</w:t>
            </w:r>
          </w:p>
        </w:tc>
      </w:tr>
    </w:tbl>
    <w:p>
      <w:pPr>
        <w:spacing w:after="20"/>
      </w:pPr>
    </w:p>
    <w:p>
      <w:pPr>
        <w:pStyle w:val="Heading2"/>
      </w:pPr>
      <w:r>
        <w:t>9.2 Proposed domain additions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3000"/>
            <w:shd w:fill="F2F4F7"/>
            <w:tcMar>
              <w:top w:w="80" w:type="dxa"/>
              <w:start w:w="120" w:type="dxa"/>
              <w:bottom w:w="80" w:type="dxa"/>
              <w:end w:w="120" w:type="dxa"/>
            </w:tcMar>
            <w:vAlign w:val="center"/>
          </w:tcPr>
          <w:p>
            <w:pPr>
              <w:spacing w:after="0"/>
            </w:pPr>
            <w:r>
              <w:rPr>
                <w:rFonts w:ascii="Calibri" w:hAnsi="Calibri" w:eastAsia="Calibri"/>
                <w:b/>
                <w:color w:val="163A5F"/>
                <w:sz w:val="17"/>
              </w:rPr>
              <w:t>Domain object</w:t>
            </w:r>
          </w:p>
        </w:tc>
        <w:tc>
          <w:tcPr>
            <w:tcW w:type="dxa" w:w="6360"/>
            <w:shd w:fill="F2F4F7"/>
            <w:tcMar>
              <w:top w:w="80" w:type="dxa"/>
              <w:start w:w="120" w:type="dxa"/>
              <w:bottom w:w="80" w:type="dxa"/>
              <w:end w:w="120" w:type="dxa"/>
            </w:tcMar>
            <w:vAlign w:val="center"/>
          </w:tcPr>
          <w:p>
            <w:pPr>
              <w:spacing w:after="0"/>
            </w:pPr>
            <w:r>
              <w:rPr>
                <w:rFonts w:ascii="Calibri" w:hAnsi="Calibri" w:eastAsia="Calibri"/>
                <w:b/>
                <w:color w:val="163A5F"/>
                <w:sz w:val="17"/>
              </w:rPr>
              <w:t>Purpose</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RegulatoryCase</w:t>
            </w:r>
          </w:p>
        </w:tc>
        <w:tc>
          <w:tcPr>
            <w:tcW w:type="dxa" w:w="6360"/>
            <w:tcMar>
              <w:top w:w="80" w:type="dxa"/>
              <w:start w:w="120" w:type="dxa"/>
              <w:bottom w:w="80" w:type="dxa"/>
              <w:end w:w="120" w:type="dxa"/>
            </w:tcMar>
            <w:vAlign w:val="top"/>
          </w:tcPr>
          <w:p>
            <w:pPr>
              <w:spacing w:after="0"/>
            </w:pPr>
            <w:r>
              <w:rPr>
                <w:rFonts w:ascii="Calibri" w:hAnsi="Calibri" w:eastAsia="Calibri"/>
                <w:sz w:val="17"/>
              </w:rPr>
              <w:t>Common parent for data return, application, investigation or other regulated process.</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ComplianceObligation</w:t>
            </w:r>
          </w:p>
        </w:tc>
        <w:tc>
          <w:tcPr>
            <w:tcW w:type="dxa" w:w="6360"/>
            <w:tcMar>
              <w:top w:w="80" w:type="dxa"/>
              <w:start w:w="120" w:type="dxa"/>
              <w:bottom w:w="80" w:type="dxa"/>
              <w:end w:w="120" w:type="dxa"/>
            </w:tcMar>
            <w:vAlign w:val="top"/>
          </w:tcPr>
          <w:p>
            <w:pPr>
              <w:spacing w:after="0"/>
            </w:pPr>
            <w:r>
              <w:rPr>
                <w:rFonts w:ascii="Calibri" w:hAnsi="Calibri" w:eastAsia="Calibri"/>
                <w:sz w:val="17"/>
              </w:rPr>
              <w:t>Legal/administrative requirement, accepted channel, deliverable, due date and extension history.</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Correspondence</w:t>
            </w:r>
          </w:p>
        </w:tc>
        <w:tc>
          <w:tcPr>
            <w:tcW w:type="dxa" w:w="6360"/>
            <w:tcMar>
              <w:top w:w="80" w:type="dxa"/>
              <w:start w:w="120" w:type="dxa"/>
              <w:bottom w:w="80" w:type="dxa"/>
              <w:end w:w="120" w:type="dxa"/>
            </w:tcMar>
            <w:vAlign w:val="top"/>
          </w:tcPr>
          <w:p>
            <w:pPr>
              <w:spacing w:after="0"/>
            </w:pPr>
            <w:r>
              <w:rPr>
                <w:rFonts w:ascii="Calibri" w:hAnsi="Calibri" w:eastAsia="Calibri"/>
                <w:sz w:val="17"/>
              </w:rPr>
              <w:t>Business communication with draft/approval/send/receipt lifecycle, recipients and case linkage.</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MessageEvidence</w:t>
            </w:r>
          </w:p>
        </w:tc>
        <w:tc>
          <w:tcPr>
            <w:tcW w:type="dxa" w:w="6360"/>
            <w:tcMar>
              <w:top w:w="80" w:type="dxa"/>
              <w:start w:w="120" w:type="dxa"/>
              <w:bottom w:w="80" w:type="dxa"/>
              <w:end w:w="120" w:type="dxa"/>
            </w:tcMar>
            <w:vAlign w:val="top"/>
          </w:tcPr>
          <w:p>
            <w:pPr>
              <w:spacing w:after="0"/>
            </w:pPr>
            <w:r>
              <w:rPr>
                <w:rFonts w:ascii="Calibri" w:hAnsi="Calibri" w:eastAsia="Calibri"/>
                <w:sz w:val="17"/>
              </w:rPr>
              <w:t>Exchange/MIME identifiers, header/envelope, body location, hash, timestamps and retention class.</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AttachmentEvidence</w:t>
            </w:r>
          </w:p>
        </w:tc>
        <w:tc>
          <w:tcPr>
            <w:tcW w:type="dxa" w:w="6360"/>
            <w:tcMar>
              <w:top w:w="80" w:type="dxa"/>
              <w:start w:w="120" w:type="dxa"/>
              <w:bottom w:w="80" w:type="dxa"/>
              <w:end w:w="120" w:type="dxa"/>
            </w:tcMar>
            <w:vAlign w:val="top"/>
          </w:tcPr>
          <w:p>
            <w:pPr>
              <w:spacing w:after="0"/>
            </w:pPr>
            <w:r>
              <w:rPr>
                <w:rFonts w:ascii="Calibri" w:hAnsi="Calibri" w:eastAsia="Calibri"/>
                <w:sz w:val="17"/>
              </w:rPr>
              <w:t>File metadata, hash, malware status, storage and transformation provenance.</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ExtractionRun / ExtractedFact</w:t>
            </w:r>
          </w:p>
        </w:tc>
        <w:tc>
          <w:tcPr>
            <w:tcW w:type="dxa" w:w="6360"/>
            <w:tcMar>
              <w:top w:w="80" w:type="dxa"/>
              <w:start w:w="120" w:type="dxa"/>
              <w:bottom w:w="80" w:type="dxa"/>
              <w:end w:w="120" w:type="dxa"/>
            </w:tcMar>
            <w:vAlign w:val="top"/>
          </w:tcPr>
          <w:p>
            <w:pPr>
              <w:spacing w:after="0"/>
            </w:pPr>
            <w:r>
              <w:rPr>
                <w:rFonts w:ascii="Calibri" w:hAnsi="Calibri" w:eastAsia="Calibri"/>
                <w:sz w:val="17"/>
              </w:rPr>
              <w:t>Schema/version/model, proposed values, confidence, citations and reviewer outcome.</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Task / SLAEvent</w:t>
            </w:r>
          </w:p>
        </w:tc>
        <w:tc>
          <w:tcPr>
            <w:tcW w:type="dxa" w:w="6360"/>
            <w:tcMar>
              <w:top w:w="80" w:type="dxa"/>
              <w:start w:w="120" w:type="dxa"/>
              <w:bottom w:w="80" w:type="dxa"/>
              <w:end w:w="120" w:type="dxa"/>
            </w:tcMar>
            <w:vAlign w:val="top"/>
          </w:tcPr>
          <w:p>
            <w:pPr>
              <w:spacing w:after="0"/>
            </w:pPr>
            <w:r>
              <w:rPr>
                <w:rFonts w:ascii="Calibri" w:hAnsi="Calibri" w:eastAsia="Calibri"/>
                <w:sz w:val="17"/>
              </w:rPr>
              <w:t>Owner, deadline, pause reason, escalation and completion evidence.</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PenaltyRule / Assessment / Notice</w:t>
            </w:r>
          </w:p>
        </w:tc>
        <w:tc>
          <w:tcPr>
            <w:tcW w:type="dxa" w:w="6360"/>
            <w:tcMar>
              <w:top w:w="80" w:type="dxa"/>
              <w:start w:w="120" w:type="dxa"/>
              <w:bottom w:w="80" w:type="dxa"/>
              <w:end w:w="120" w:type="dxa"/>
            </w:tcMar>
            <w:vAlign w:val="top"/>
          </w:tcPr>
          <w:p>
            <w:pPr>
              <w:spacing w:after="0"/>
            </w:pPr>
            <w:r>
              <w:rPr>
                <w:rFonts w:ascii="Calibri" w:hAnsi="Calibri" w:eastAsia="Calibri"/>
                <w:sz w:val="17"/>
              </w:rPr>
              <w:t>Effective legal rule, case calculation and authorised procedural action.</w:t>
            </w:r>
          </w:p>
        </w:tc>
      </w:tr>
      <w:tr>
        <w:trPr>
          <w:cantSplit/>
        </w:trPr>
        <w:tc>
          <w:tcPr>
            <w:tcW w:type="dxa" w:w="3000"/>
            <w:tcMar>
              <w:top w:w="80" w:type="dxa"/>
              <w:start w:w="120" w:type="dxa"/>
              <w:bottom w:w="80" w:type="dxa"/>
              <w:end w:w="120" w:type="dxa"/>
            </w:tcMar>
            <w:vAlign w:val="top"/>
          </w:tcPr>
          <w:p>
            <w:pPr>
              <w:spacing w:after="0"/>
            </w:pPr>
            <w:r>
              <w:rPr>
                <w:rFonts w:ascii="Calibri" w:hAnsi="Calibri" w:eastAsia="Calibri"/>
                <w:sz w:val="17"/>
              </w:rPr>
              <w:t>DomainEvent</w:t>
            </w:r>
          </w:p>
        </w:tc>
        <w:tc>
          <w:tcPr>
            <w:tcW w:type="dxa" w:w="6360"/>
            <w:tcMar>
              <w:top w:w="80" w:type="dxa"/>
              <w:start w:w="120" w:type="dxa"/>
              <w:bottom w:w="80" w:type="dxa"/>
              <w:end w:w="120" w:type="dxa"/>
            </w:tcMar>
            <w:vAlign w:val="top"/>
          </w:tcPr>
          <w:p>
            <w:pPr>
              <w:spacing w:after="0"/>
            </w:pPr>
            <w:r>
              <w:rPr>
                <w:rFonts w:ascii="Calibri" w:hAnsi="Calibri" w:eastAsia="Calibri"/>
                <w:sz w:val="17"/>
              </w:rPr>
              <w:t>Append-only event feeding audit, timeline, integrations and analytics.</w:t>
            </w:r>
          </w:p>
        </w:tc>
      </w:tr>
    </w:tbl>
    <w:p>
      <w:pPr>
        <w:spacing w:after="20"/>
      </w:pPr>
    </w:p>
    <w:p>
      <w:pPr>
        <w:pStyle w:val="Heading2"/>
      </w:pPr>
      <w:r>
        <w:t>9.3 API and UI changes</w:t>
      </w:r>
    </w:p>
    <w:p>
      <w:pPr>
        <w:pStyle w:val="ListBullet"/>
      </w:pPr>
      <w:r>
        <w:t>Mailbox health page: subscription expiry, last webhook, last delta sync, queue/dead-letter count, sent/NDR reconciliation, credential expiry.</w:t>
      </w:r>
    </w:p>
    <w:p>
      <w:pPr>
        <w:pStyle w:val="ListBullet"/>
      </w:pPr>
      <w:r>
        <w:t>Unified case timeline separating draft, approval, transport, receipt, extraction, workflow and enforcement events.</w:t>
      </w:r>
    </w:p>
    <w:p>
      <w:pPr>
        <w:pStyle w:val="ListBullet"/>
      </w:pPr>
      <w:r>
        <w:t>Inbox triage: unmatched/ambiguous, suspected security, confidentiality request, extension request, data response and NDR queues.</w:t>
      </w:r>
    </w:p>
    <w:p>
      <w:pPr>
        <w:pStyle w:val="ListBullet"/>
      </w:pPr>
      <w:r>
        <w:t>Draft review: exact To/Cc, source facts, template version, diff from template, approval chain and legal blocks.</w:t>
      </w:r>
    </w:p>
    <w:p>
      <w:pPr>
        <w:pStyle w:val="ListBullet"/>
      </w:pPr>
      <w:r>
        <w:t>Extraction review: side-by-side original evidence and proposed values; accept/reject/edit per value; validation errors; resulting version preview.</w:t>
      </w:r>
    </w:p>
    <w:p>
      <w:pPr>
        <w:pStyle w:val="ListBullet"/>
      </w:pPr>
      <w:r>
        <w:t>Obligation dashboard: expected, received, valid, under review, correction, approved, due soon/overdue, waiting on NCA/provider, and next action.</w:t>
      </w:r>
    </w:p>
    <w:p>
      <w:pPr>
        <w:pStyle w:val="ListBullet"/>
      </w:pPr>
      <w:r>
        <w:t>Penalty workbench: source/version, alleged facts, calculation, representations, approvals and notice history; hidden from unauthorised roles.</w:t>
      </w:r>
    </w:p>
    <w:p>
      <w:pPr>
        <w:pStyle w:val="ListBullet"/>
      </w:pPr>
      <w:r>
        <w:t>Records controls: classification, retention, hold, export/redaction and disposition state.</w:t>
      </w:r>
    </w:p>
    <w:p>
      <w:pPr>
        <w:pStyle w:val="Heading2"/>
      </w:pPr>
      <w:r>
        <w:t>9.4 Migration and reconciliation</w:t>
      </w:r>
    </w:p>
    <w:p>
      <w:r>
        <w:t>Existing EmailLog and FlagCorrespondence data should be migrated carefully. “Sent” records that were manually marked should be labelled legacy-unverified unless corroborated by mailbox evidence. Drafts currently represented as sent correspondence must be corrected through an auditable migration event, not silently rewritten. Existing resolved/deleted flag history may be unrecoverable; document the cutover limitation.</w:t>
      </w:r>
    </w:p>
    <w:p>
      <w:r>
        <w:br w:type="page"/>
      </w:r>
    </w:p>
    <w:p>
      <w:pPr>
        <w:pStyle w:val="Heading1"/>
      </w:pPr>
      <w:r>
        <w:t>10. Implementation roadmap</w:t>
      </w:r>
    </w:p>
    <w:p>
      <w:r>
        <w:t>The durations below are indicative elapsed delivery windows for a focused team and depend on Microsoft 365 licensing, Legal/Records availability, procurement/security review and the quality of provider contact data. Each phase has a go/no-go gate.</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700"/>
            <w:shd w:fill="F2F4F7"/>
            <w:tcMar>
              <w:top w:w="80" w:type="dxa"/>
              <w:start w:w="120" w:type="dxa"/>
              <w:bottom w:w="80" w:type="dxa"/>
              <w:end w:w="120" w:type="dxa"/>
            </w:tcMar>
            <w:vAlign w:val="center"/>
          </w:tcPr>
          <w:p>
            <w:pPr>
              <w:spacing w:after="0"/>
            </w:pPr>
            <w:r>
              <w:rPr>
                <w:rFonts w:ascii="Calibri" w:hAnsi="Calibri" w:eastAsia="Calibri"/>
                <w:b/>
                <w:color w:val="163A5F"/>
                <w:sz w:val="16"/>
              </w:rPr>
              <w:t>Phase</w:t>
            </w:r>
          </w:p>
        </w:tc>
        <w:tc>
          <w:tcPr>
            <w:tcW w:type="dxa" w:w="1350"/>
            <w:shd w:fill="F2F4F7"/>
            <w:tcMar>
              <w:top w:w="80" w:type="dxa"/>
              <w:start w:w="120" w:type="dxa"/>
              <w:bottom w:w="80" w:type="dxa"/>
              <w:end w:w="120" w:type="dxa"/>
            </w:tcMar>
            <w:vAlign w:val="center"/>
          </w:tcPr>
          <w:p>
            <w:pPr>
              <w:spacing w:after="0"/>
            </w:pPr>
            <w:r>
              <w:rPr>
                <w:rFonts w:ascii="Calibri" w:hAnsi="Calibri" w:eastAsia="Calibri"/>
                <w:b/>
                <w:color w:val="163A5F"/>
                <w:sz w:val="16"/>
              </w:rPr>
              <w:t>Indicative window</w:t>
            </w:r>
          </w:p>
        </w:tc>
        <w:tc>
          <w:tcPr>
            <w:tcW w:type="dxa" w:w="4470"/>
            <w:shd w:fill="F2F4F7"/>
            <w:tcMar>
              <w:top w:w="80" w:type="dxa"/>
              <w:start w:w="120" w:type="dxa"/>
              <w:bottom w:w="80" w:type="dxa"/>
              <w:end w:w="120" w:type="dxa"/>
            </w:tcMar>
            <w:vAlign w:val="center"/>
          </w:tcPr>
          <w:p>
            <w:pPr>
              <w:spacing w:after="0"/>
            </w:pPr>
            <w:r>
              <w:rPr>
                <w:rFonts w:ascii="Calibri" w:hAnsi="Calibri" w:eastAsia="Calibri"/>
                <w:b/>
                <w:color w:val="163A5F"/>
                <w:sz w:val="16"/>
              </w:rPr>
              <w:t>Deliverables</w:t>
            </w:r>
          </w:p>
        </w:tc>
        <w:tc>
          <w:tcPr>
            <w:tcW w:type="dxa" w:w="1840"/>
            <w:shd w:fill="F2F4F7"/>
            <w:tcMar>
              <w:top w:w="80" w:type="dxa"/>
              <w:start w:w="120" w:type="dxa"/>
              <w:bottom w:w="80" w:type="dxa"/>
              <w:end w:w="120" w:type="dxa"/>
            </w:tcMar>
            <w:vAlign w:val="center"/>
          </w:tcPr>
          <w:p>
            <w:pPr>
              <w:spacing w:after="0"/>
            </w:pPr>
            <w:r>
              <w:rPr>
                <w:rFonts w:ascii="Calibri" w:hAnsi="Calibri" w:eastAsia="Calibri"/>
                <w:b/>
                <w:color w:val="163A5F"/>
                <w:sz w:val="16"/>
              </w:rPr>
              <w:t>Exit gate</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0. Governance and design</w:t>
            </w:r>
          </w:p>
        </w:tc>
        <w:tc>
          <w:tcPr>
            <w:tcW w:type="dxa" w:w="1350"/>
            <w:tcMar>
              <w:top w:w="80" w:type="dxa"/>
              <w:start w:w="120" w:type="dxa"/>
              <w:bottom w:w="80" w:type="dxa"/>
              <w:end w:w="120" w:type="dxa"/>
            </w:tcMar>
            <w:vAlign w:val="top"/>
          </w:tcPr>
          <w:p>
            <w:pPr>
              <w:spacing w:after="0"/>
            </w:pPr>
            <w:r>
              <w:rPr>
                <w:rFonts w:ascii="Calibri" w:hAnsi="Calibri" w:eastAsia="Calibri"/>
                <w:sz w:val="16"/>
              </w:rPr>
              <w:t>2–4 weeks</w:t>
            </w:r>
          </w:p>
        </w:tc>
        <w:tc>
          <w:tcPr>
            <w:tcW w:type="dxa" w:w="4470"/>
            <w:tcMar>
              <w:top w:w="80" w:type="dxa"/>
              <w:start w:w="120" w:type="dxa"/>
              <w:bottom w:w="80" w:type="dxa"/>
              <w:end w:w="120" w:type="dxa"/>
            </w:tcMar>
            <w:vAlign w:val="top"/>
          </w:tcPr>
          <w:p>
            <w:pPr>
              <w:spacing w:after="0"/>
            </w:pPr>
            <w:r>
              <w:rPr>
                <w:rFonts w:ascii="Calibri" w:hAnsi="Calibri" w:eastAsia="Calibri"/>
                <w:sz w:val="16"/>
              </w:rPr>
              <w:t>Mailbox owner; channel policy; data map/DPIA; records schedule draft; approved statuses; obligation/penalty model; threat model; tenant/licence review.</w:t>
            </w:r>
          </w:p>
        </w:tc>
        <w:tc>
          <w:tcPr>
            <w:tcW w:type="dxa" w:w="1840"/>
            <w:tcMar>
              <w:top w:w="80" w:type="dxa"/>
              <w:start w:w="120" w:type="dxa"/>
              <w:bottom w:w="80" w:type="dxa"/>
              <w:end w:w="120" w:type="dxa"/>
            </w:tcMar>
            <w:vAlign w:val="top"/>
          </w:tcPr>
          <w:p>
            <w:pPr>
              <w:spacing w:after="0"/>
            </w:pPr>
            <w:r>
              <w:rPr>
                <w:rFonts w:ascii="Calibri" w:hAnsi="Calibri" w:eastAsia="Calibri"/>
                <w:sz w:val="16"/>
              </w:rPr>
              <w:t>Legal, Privacy, Records, Cybersecurity and product sign-off.</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1. Controlled outbound</w:t>
            </w:r>
          </w:p>
        </w:tc>
        <w:tc>
          <w:tcPr>
            <w:tcW w:type="dxa" w:w="1350"/>
            <w:tcMar>
              <w:top w:w="80" w:type="dxa"/>
              <w:start w:w="120" w:type="dxa"/>
              <w:bottom w:w="80" w:type="dxa"/>
              <w:end w:w="120" w:type="dxa"/>
            </w:tcMar>
            <w:vAlign w:val="top"/>
          </w:tcPr>
          <w:p>
            <w:pPr>
              <w:spacing w:after="0"/>
            </w:pPr>
            <w:r>
              <w:rPr>
                <w:rFonts w:ascii="Calibri" w:hAnsi="Calibri" w:eastAsia="Calibri"/>
                <w:sz w:val="16"/>
              </w:rPr>
              <w:t>4–6 weeks</w:t>
            </w:r>
          </w:p>
        </w:tc>
        <w:tc>
          <w:tcPr>
            <w:tcW w:type="dxa" w:w="4470"/>
            <w:tcMar>
              <w:top w:w="80" w:type="dxa"/>
              <w:start w:w="120" w:type="dxa"/>
              <w:bottom w:w="80" w:type="dxa"/>
              <w:end w:w="120" w:type="dxa"/>
            </w:tcMar>
            <w:vAlign w:val="top"/>
          </w:tcPr>
          <w:p>
            <w:pPr>
              <w:spacing w:after="0"/>
            </w:pPr>
            <w:r>
              <w:rPr>
                <w:rFonts w:ascii="Calibri" w:hAnsi="Calibri" w:eastAsia="Calibri"/>
                <w:sz w:val="16"/>
              </w:rPr>
              <w:t>Shared mailbox; DKIM/DMARC plan; Graph scoped sender; sent-item retention; versioned templates; approvals; immutable audit; NDR handling.</w:t>
            </w:r>
          </w:p>
        </w:tc>
        <w:tc>
          <w:tcPr>
            <w:tcW w:type="dxa" w:w="1840"/>
            <w:tcMar>
              <w:top w:w="80" w:type="dxa"/>
              <w:start w:w="120" w:type="dxa"/>
              <w:bottom w:w="80" w:type="dxa"/>
              <w:end w:w="120" w:type="dxa"/>
            </w:tcMar>
            <w:vAlign w:val="top"/>
          </w:tcPr>
          <w:p>
            <w:pPr>
              <w:spacing w:after="0"/>
            </w:pPr>
            <w:r>
              <w:rPr>
                <w:rFonts w:ascii="Calibri" w:hAnsi="Calibri" w:eastAsia="Calibri"/>
                <w:sz w:val="16"/>
              </w:rPr>
              <w:t>Routine acknowledgement/reminder pilot; no false delivered state.</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2. Inbound evidence and tracking</w:t>
            </w:r>
          </w:p>
        </w:tc>
        <w:tc>
          <w:tcPr>
            <w:tcW w:type="dxa" w:w="1350"/>
            <w:tcMar>
              <w:top w:w="80" w:type="dxa"/>
              <w:start w:w="120" w:type="dxa"/>
              <w:bottom w:w="80" w:type="dxa"/>
              <w:end w:w="120" w:type="dxa"/>
            </w:tcMar>
            <w:vAlign w:val="top"/>
          </w:tcPr>
          <w:p>
            <w:pPr>
              <w:spacing w:after="0"/>
            </w:pPr>
            <w:r>
              <w:rPr>
                <w:rFonts w:ascii="Calibri" w:hAnsi="Calibri" w:eastAsia="Calibri"/>
                <w:sz w:val="16"/>
              </w:rPr>
              <w:t>4–6 weeks</w:t>
            </w:r>
          </w:p>
        </w:tc>
        <w:tc>
          <w:tcPr>
            <w:tcW w:type="dxa" w:w="4470"/>
            <w:tcMar>
              <w:top w:w="80" w:type="dxa"/>
              <w:start w:w="120" w:type="dxa"/>
              <w:bottom w:w="80" w:type="dxa"/>
              <w:end w:w="120" w:type="dxa"/>
            </w:tcMar>
            <w:vAlign w:val="top"/>
          </w:tcPr>
          <w:p>
            <w:pPr>
              <w:spacing w:after="0"/>
            </w:pPr>
            <w:r>
              <w:rPr>
                <w:rFonts w:ascii="Calibri" w:hAnsi="Calibri" w:eastAsia="Calibri"/>
                <w:sz w:val="16"/>
              </w:rPr>
              <w:t>Webhook/renewal; queue; MIME/attachment store; scanner; case token/linking; triage; delta reconciliation; SLA dashboard.</w:t>
            </w:r>
          </w:p>
        </w:tc>
        <w:tc>
          <w:tcPr>
            <w:tcW w:type="dxa" w:w="1840"/>
            <w:tcMar>
              <w:top w:w="80" w:type="dxa"/>
              <w:start w:w="120" w:type="dxa"/>
              <w:bottom w:w="80" w:type="dxa"/>
              <w:end w:w="120" w:type="dxa"/>
            </w:tcMar>
            <w:vAlign w:val="top"/>
          </w:tcPr>
          <w:p>
            <w:pPr>
              <w:spacing w:after="0"/>
            </w:pPr>
            <w:r>
              <w:rPr>
                <w:rFonts w:ascii="Calibri" w:hAnsi="Calibri" w:eastAsia="Calibri"/>
                <w:sz w:val="16"/>
              </w:rPr>
              <w:t>100% reconciliation in test; recovery and access tests pass.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3. Assisted extraction</w:t>
            </w:r>
          </w:p>
        </w:tc>
        <w:tc>
          <w:tcPr>
            <w:tcW w:type="dxa" w:w="1350"/>
            <w:tcMar>
              <w:top w:w="80" w:type="dxa"/>
              <w:start w:w="120" w:type="dxa"/>
              <w:bottom w:w="80" w:type="dxa"/>
              <w:end w:w="120" w:type="dxa"/>
            </w:tcMar>
            <w:vAlign w:val="top"/>
          </w:tcPr>
          <w:p>
            <w:pPr>
              <w:spacing w:after="0"/>
            </w:pPr>
            <w:r>
              <w:rPr>
                <w:rFonts w:ascii="Calibri" w:hAnsi="Calibri" w:eastAsia="Calibri"/>
                <w:sz w:val="16"/>
              </w:rPr>
              <w:t>6–10 weeks</w:t>
            </w:r>
          </w:p>
        </w:tc>
        <w:tc>
          <w:tcPr>
            <w:tcW w:type="dxa" w:w="4470"/>
            <w:tcMar>
              <w:top w:w="80" w:type="dxa"/>
              <w:start w:w="120" w:type="dxa"/>
              <w:bottom w:w="80" w:type="dxa"/>
              <w:end w:w="120" w:type="dxa"/>
            </w:tcMar>
            <w:vAlign w:val="top"/>
          </w:tcPr>
          <w:p>
            <w:pPr>
              <w:spacing w:after="0"/>
            </w:pPr>
            <w:r>
              <w:rPr>
                <w:rFonts w:ascii="Calibri" w:hAnsi="Calibri" w:eastAsia="Calibri"/>
                <w:sz w:val="16"/>
              </w:rPr>
              <w:t>Structured templates; schema registry; deterministic parsing; AI proposal; provenance; validation; review UI; gold-set evaluation.</w:t>
            </w:r>
          </w:p>
        </w:tc>
        <w:tc>
          <w:tcPr>
            <w:tcW w:type="dxa" w:w="1840"/>
            <w:tcMar>
              <w:top w:w="80" w:type="dxa"/>
              <w:start w:w="120" w:type="dxa"/>
              <w:bottom w:w="80" w:type="dxa"/>
              <w:end w:w="120" w:type="dxa"/>
            </w:tcMar>
            <w:vAlign w:val="top"/>
          </w:tcPr>
          <w:p>
            <w:pPr>
              <w:spacing w:after="0"/>
            </w:pPr>
            <w:r>
              <w:rPr>
                <w:rFonts w:ascii="Calibri" w:hAnsi="Calibri" w:eastAsia="Calibri"/>
                <w:sz w:val="16"/>
              </w:rPr>
              <w:t>Approved accuracy/recall by field class; zero autonomous writes.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4. Application cases</w:t>
            </w:r>
          </w:p>
        </w:tc>
        <w:tc>
          <w:tcPr>
            <w:tcW w:type="dxa" w:w="1350"/>
            <w:tcMar>
              <w:top w:w="80" w:type="dxa"/>
              <w:start w:w="120" w:type="dxa"/>
              <w:bottom w:w="80" w:type="dxa"/>
              <w:end w:w="120" w:type="dxa"/>
            </w:tcMar>
            <w:vAlign w:val="top"/>
          </w:tcPr>
          <w:p>
            <w:pPr>
              <w:spacing w:after="0"/>
            </w:pPr>
            <w:r>
              <w:rPr>
                <w:rFonts w:ascii="Calibri" w:hAnsi="Calibri" w:eastAsia="Calibri"/>
                <w:sz w:val="16"/>
              </w:rPr>
              <w:t>4–8 weeks</w:t>
            </w:r>
          </w:p>
        </w:tc>
        <w:tc>
          <w:tcPr>
            <w:tcW w:type="dxa" w:w="4470"/>
            <w:tcMar>
              <w:top w:w="80" w:type="dxa"/>
              <w:start w:w="120" w:type="dxa"/>
              <w:bottom w:w="80" w:type="dxa"/>
              <w:end w:w="120" w:type="dxa"/>
            </w:tcMar>
            <w:vAlign w:val="top"/>
          </w:tcPr>
          <w:p>
            <w:pPr>
              <w:spacing w:after="0"/>
            </w:pPr>
            <w:r>
              <w:rPr>
                <w:rFonts w:ascii="Calibri" w:hAnsi="Calibri" w:eastAsia="Calibri"/>
                <w:sz w:val="16"/>
              </w:rPr>
              <w:t>RegulatoryCase/Application domain, stages, tasks, deadlines, decisions and correspondence.</w:t>
            </w:r>
          </w:p>
        </w:tc>
        <w:tc>
          <w:tcPr>
            <w:tcW w:type="dxa" w:w="1840"/>
            <w:tcMar>
              <w:top w:w="80" w:type="dxa"/>
              <w:start w:w="120" w:type="dxa"/>
              <w:bottom w:w="80" w:type="dxa"/>
              <w:end w:w="120" w:type="dxa"/>
            </w:tcMar>
            <w:vAlign w:val="top"/>
          </w:tcPr>
          <w:p>
            <w:pPr>
              <w:spacing w:after="0"/>
            </w:pPr>
            <w:r>
              <w:rPr>
                <w:rFonts w:ascii="Calibri" w:hAnsi="Calibri" w:eastAsia="Calibri"/>
                <w:sz w:val="16"/>
              </w:rPr>
              <w:t>Licensing owners confirm stages and authorities.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5. Penalty/enforcement support</w:t>
            </w:r>
          </w:p>
        </w:tc>
        <w:tc>
          <w:tcPr>
            <w:tcW w:type="dxa" w:w="1350"/>
            <w:tcMar>
              <w:top w:w="80" w:type="dxa"/>
              <w:start w:w="120" w:type="dxa"/>
              <w:bottom w:w="80" w:type="dxa"/>
              <w:end w:w="120" w:type="dxa"/>
            </w:tcMar>
            <w:vAlign w:val="top"/>
          </w:tcPr>
          <w:p>
            <w:pPr>
              <w:spacing w:after="0"/>
            </w:pPr>
            <w:r>
              <w:rPr>
                <w:rFonts w:ascii="Calibri" w:hAnsi="Calibri" w:eastAsia="Calibri"/>
                <w:sz w:val="16"/>
              </w:rPr>
              <w:t>4–8 weeks</w:t>
            </w:r>
          </w:p>
        </w:tc>
        <w:tc>
          <w:tcPr>
            <w:tcW w:type="dxa" w:w="4470"/>
            <w:tcMar>
              <w:top w:w="80" w:type="dxa"/>
              <w:start w:w="120" w:type="dxa"/>
              <w:bottom w:w="80" w:type="dxa"/>
              <w:end w:w="120" w:type="dxa"/>
            </w:tcMar>
            <w:vAlign w:val="top"/>
          </w:tcPr>
          <w:p>
            <w:pPr>
              <w:spacing w:after="0"/>
            </w:pPr>
            <w:r>
              <w:rPr>
                <w:rFonts w:ascii="Calibri" w:hAnsi="Calibri" w:eastAsia="Calibri"/>
                <w:sz w:val="16"/>
              </w:rPr>
              <w:t>Approved rule register; assessment workbench; fairness gates; notice approvals; representations and review history.</w:t>
            </w:r>
          </w:p>
        </w:tc>
        <w:tc>
          <w:tcPr>
            <w:tcW w:type="dxa" w:w="1840"/>
            <w:tcMar>
              <w:top w:w="80" w:type="dxa"/>
              <w:start w:w="120" w:type="dxa"/>
              <w:bottom w:w="80" w:type="dxa"/>
              <w:end w:w="120" w:type="dxa"/>
            </w:tcMar>
            <w:vAlign w:val="top"/>
          </w:tcPr>
          <w:p>
            <w:pPr>
              <w:spacing w:after="0"/>
            </w:pPr>
            <w:r>
              <w:rPr>
                <w:rFonts w:ascii="Calibri" w:hAnsi="Calibri" w:eastAsia="Calibri"/>
                <w:sz w:val="16"/>
              </w:rPr>
              <w:t>Legal approves each enabled rule and template; no automatic imposition.</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6"/>
              </w:rPr>
              <w:t>6. Optimisation</w:t>
            </w:r>
          </w:p>
        </w:tc>
        <w:tc>
          <w:tcPr>
            <w:tcW w:type="dxa" w:w="1350"/>
            <w:tcMar>
              <w:top w:w="80" w:type="dxa"/>
              <w:start w:w="120" w:type="dxa"/>
              <w:bottom w:w="80" w:type="dxa"/>
              <w:end w:w="120" w:type="dxa"/>
            </w:tcMar>
            <w:vAlign w:val="top"/>
          </w:tcPr>
          <w:p>
            <w:pPr>
              <w:spacing w:after="0"/>
            </w:pPr>
            <w:r>
              <w:rPr>
                <w:rFonts w:ascii="Calibri" w:hAnsi="Calibri" w:eastAsia="Calibri"/>
                <w:sz w:val="16"/>
              </w:rPr>
              <w:t>Ongoing</w:t>
            </w:r>
          </w:p>
        </w:tc>
        <w:tc>
          <w:tcPr>
            <w:tcW w:type="dxa" w:w="4470"/>
            <w:tcMar>
              <w:top w:w="80" w:type="dxa"/>
              <w:start w:w="120" w:type="dxa"/>
              <w:bottom w:w="80" w:type="dxa"/>
              <w:end w:w="120" w:type="dxa"/>
            </w:tcMar>
            <w:vAlign w:val="top"/>
          </w:tcPr>
          <w:p>
            <w:pPr>
              <w:spacing w:after="0"/>
            </w:pPr>
            <w:r>
              <w:rPr>
                <w:rFonts w:ascii="Calibri" w:hAnsi="Calibri" w:eastAsia="Calibri"/>
                <w:sz w:val="16"/>
              </w:rPr>
              <w:t>Metrics, contact quality, template performance, limited low-risk automation, model monitoring, retention disposition.</w:t>
            </w:r>
          </w:p>
        </w:tc>
        <w:tc>
          <w:tcPr>
            <w:tcW w:type="dxa" w:w="1840"/>
            <w:tcMar>
              <w:top w:w="80" w:type="dxa"/>
              <w:start w:w="120" w:type="dxa"/>
              <w:bottom w:w="80" w:type="dxa"/>
              <w:end w:w="120" w:type="dxa"/>
            </w:tcMar>
            <w:vAlign w:val="top"/>
          </w:tcPr>
          <w:p>
            <w:pPr>
              <w:spacing w:after="0"/>
            </w:pPr>
            <w:r>
              <w:rPr>
                <w:rFonts w:ascii="Calibri" w:hAnsi="Calibri" w:eastAsia="Calibri"/>
                <w:sz w:val="16"/>
              </w:rPr>
              <w:t>Quarterly control review and independent assurance.</w:t>
            </w:r>
          </w:p>
        </w:tc>
      </w:tr>
    </w:tbl>
    <w:p>
      <w:pPr>
        <w:spacing w:after="20"/>
      </w:pPr>
    </w:p>
    <w:p>
      <w:pPr>
        <w:pStyle w:val="Heading2"/>
      </w:pPr>
      <w:r>
        <w:t>10.1 First 30 days</w:t>
      </w:r>
    </w:p>
    <w:p>
      <w:pPr>
        <w:pStyle w:val="ListNumber"/>
      </w:pPr>
      <w:r>
        <w:t>Name the business owner, mailbox owner, Records owner, Privacy lead, Cybersecurity lead and Legal approver.</w:t>
      </w:r>
    </w:p>
    <w:p>
      <w:pPr>
        <w:pStyle w:val="ListNumber"/>
      </w:pPr>
      <w:r>
        <w:t>Confirm whether datacollection@nca.org.gh exists, its type/licence, delegates, aliases, retention, audit, Defender and sent-item settings.</w:t>
      </w:r>
    </w:p>
    <w:p>
      <w:pPr>
        <w:pStyle w:val="ListNumber"/>
      </w:pPr>
      <w:r>
        <w:t>Inventory all data-collection message types, current addresses, distribution lists, provider contacts and channels.</w:t>
      </w:r>
    </w:p>
    <w:p>
      <w:pPr>
        <w:pStyle w:val="ListNumber"/>
      </w:pPr>
      <w:r>
        <w:t>Define what constitutes formal receipt and submission for every in-scope return; publish/approve contingency rules.</w:t>
      </w:r>
    </w:p>
    <w:p>
      <w:pPr>
        <w:pStyle w:val="ListNumber"/>
      </w:pPr>
      <w:r>
        <w:t>Create the four-dimensional status dictionary and service-level targets.</w:t>
      </w:r>
    </w:p>
    <w:p>
      <w:pPr>
        <w:pStyle w:val="ListNumber"/>
      </w:pPr>
      <w:r>
        <w:t>Approve the case token and official subject/Reply-To convention.</w:t>
      </w:r>
    </w:p>
    <w:p>
      <w:pPr>
        <w:pStyle w:val="ListNumber"/>
      </w:pPr>
      <w:r>
        <w:t>Create an initial obligation register for one pilot form/period; identify the legal source and accepted channel.</w:t>
      </w:r>
    </w:p>
    <w:p>
      <w:pPr>
        <w:pStyle w:val="ListNumber"/>
      </w:pPr>
      <w:r>
        <w:t>Select a low-risk pilot: routine acknowledgement and reminder for a small provider cohort.</w:t>
      </w:r>
    </w:p>
    <w:p>
      <w:pPr>
        <w:pStyle w:val="ListNumber"/>
      </w:pPr>
      <w:r>
        <w:t>Create a labelled corpus of historical, lawfully usable replies for extraction evaluation, with personal/confidential data controls.</w:t>
      </w:r>
    </w:p>
    <w:p>
      <w:pPr>
        <w:pStyle w:val="ListNumber"/>
      </w:pPr>
      <w:r>
        <w:t>Resolve the public DNS DMARC/DKIM findings with the Microsoft 365/DNS administrators.</w:t>
      </w:r>
    </w:p>
    <w:p>
      <w:pPr>
        <w:pStyle w:val="Heading2"/>
      </w:pPr>
      <w:r>
        <w:t>10.2 Pilot sequence</w:t>
      </w:r>
    </w:p>
    <w:p>
      <w:r>
        <w:t>Pilot outbound first, then inbound capture, then extraction. Penalty notices should be last because they depend on the accuracy and governance of every preceding layer. During the pilot, all external sends should be human-approved and all extracted values reviewed. Compare the platform ledger against Exchange daily.</w:t>
      </w:r>
    </w:p>
    <w:p>
      <w:r>
        <w:br w:type="page"/>
      </w:r>
    </w:p>
    <w:p>
      <w:pPr>
        <w:pStyle w:val="Heading1"/>
      </w:pPr>
      <w:r>
        <w:t>11. Acceptance criteria, metrics and decisions</w:t>
      </w:r>
    </w:p>
    <w:p>
      <w:pPr>
        <w:pStyle w:val="Heading2"/>
      </w:pPr>
      <w:r>
        <w:t>11.1 Minimum acceptance tests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1700"/>
            <w:shd w:fill="F2F4F7"/>
            <w:tcMar>
              <w:top w:w="80" w:type="dxa"/>
              <w:start w:w="120" w:type="dxa"/>
              <w:bottom w:w="80" w:type="dxa"/>
              <w:end w:w="120" w:type="dxa"/>
            </w:tcMar>
            <w:vAlign w:val="center"/>
          </w:tcPr>
          <w:p>
            <w:pPr>
              <w:spacing w:after="0"/>
            </w:pPr>
            <w:r>
              <w:rPr>
                <w:rFonts w:ascii="Calibri" w:hAnsi="Calibri" w:eastAsia="Calibri"/>
                <w:b/>
                <w:color w:val="163A5F"/>
                <w:sz w:val="17"/>
              </w:rPr>
              <w:t>Area</w:t>
            </w:r>
          </w:p>
        </w:tc>
        <w:tc>
          <w:tcPr>
            <w:tcW w:type="dxa" w:w="7660"/>
            <w:shd w:fill="F2F4F7"/>
            <w:tcMar>
              <w:top w:w="80" w:type="dxa"/>
              <w:start w:w="120" w:type="dxa"/>
              <w:bottom w:w="80" w:type="dxa"/>
              <w:end w:w="120" w:type="dxa"/>
            </w:tcMar>
            <w:vAlign w:val="center"/>
          </w:tcPr>
          <w:p>
            <w:pPr>
              <w:spacing w:after="0"/>
            </w:pPr>
            <w:r>
              <w:rPr>
                <w:rFonts w:ascii="Calibri" w:hAnsi="Calibri" w:eastAsia="Calibri"/>
                <w:b/>
                <w:color w:val="163A5F"/>
                <w:sz w:val="17"/>
              </w:rPr>
              <w:t>Pass criterion</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Identity</w:t>
            </w:r>
          </w:p>
        </w:tc>
        <w:tc>
          <w:tcPr>
            <w:tcW w:type="dxa" w:w="7660"/>
            <w:tcMar>
              <w:top w:w="80" w:type="dxa"/>
              <w:start w:w="120" w:type="dxa"/>
              <w:bottom w:w="80" w:type="dxa"/>
              <w:end w:w="120" w:type="dxa"/>
            </w:tcMar>
            <w:vAlign w:val="top"/>
          </w:tcPr>
          <w:p>
            <w:pPr>
              <w:spacing w:after="0"/>
            </w:pPr>
            <w:r>
              <w:rPr>
                <w:rFonts w:ascii="Calibri" w:hAnsi="Calibri" w:eastAsia="Calibri"/>
                <w:sz w:val="17"/>
              </w:rPr>
              <w:t>The service principal cannot read or send from a non-scoped mailbox.</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Recipients</w:t>
            </w:r>
          </w:p>
        </w:tc>
        <w:tc>
          <w:tcPr>
            <w:tcW w:type="dxa" w:w="7660"/>
            <w:tcMar>
              <w:top w:w="80" w:type="dxa"/>
              <w:start w:w="120" w:type="dxa"/>
              <w:bottom w:w="80" w:type="dxa"/>
              <w:end w:w="120" w:type="dxa"/>
            </w:tcMar>
            <w:vAlign w:val="top"/>
          </w:tcPr>
          <w:p>
            <w:pPr>
              <w:spacing w:after="0"/>
            </w:pPr>
            <w:r>
              <w:rPr>
                <w:rFonts w:ascii="Calibri" w:hAnsi="Calibri" w:eastAsia="Calibri"/>
                <w:sz w:val="17"/>
              </w:rPr>
              <w:t>Preview shows exact To/Cc and blocks invalid/unverified or suppressed addresses.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Send evidence</w:t>
            </w:r>
          </w:p>
        </w:tc>
        <w:tc>
          <w:tcPr>
            <w:tcW w:type="dxa" w:w="7660"/>
            <w:tcMar>
              <w:top w:w="80" w:type="dxa"/>
              <w:start w:w="120" w:type="dxa"/>
              <w:bottom w:w="80" w:type="dxa"/>
              <w:end w:w="120" w:type="dxa"/>
            </w:tcMar>
            <w:vAlign w:val="top"/>
          </w:tcPr>
          <w:p>
            <w:pPr>
              <w:spacing w:after="0"/>
            </w:pPr>
            <w:r>
              <w:rPr>
                <w:rFonts w:ascii="Calibri" w:hAnsi="Calibri" w:eastAsia="Calibri"/>
                <w:sz w:val="17"/>
              </w:rPr>
              <w:t>A send creates one platform event and one shared-mailbox Sent Item; retry does not duplicate.</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Delivery semantics</w:t>
            </w:r>
          </w:p>
        </w:tc>
        <w:tc>
          <w:tcPr>
            <w:tcW w:type="dxa" w:w="7660"/>
            <w:tcMar>
              <w:top w:w="80" w:type="dxa"/>
              <w:start w:w="120" w:type="dxa"/>
              <w:bottom w:w="80" w:type="dxa"/>
              <w:end w:w="120" w:type="dxa"/>
            </w:tcMar>
            <w:vAlign w:val="top"/>
          </w:tcPr>
          <w:p>
            <w:pPr>
              <w:spacing w:after="0"/>
            </w:pPr>
            <w:r>
              <w:rPr>
                <w:rFonts w:ascii="Calibri" w:hAnsi="Calibri" w:eastAsia="Calibri"/>
                <w:sz w:val="17"/>
              </w:rPr>
              <w:t>Graph acceptance is not displayed as delivery; test NDR updates transport state and case task.</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Inbound</w:t>
            </w:r>
          </w:p>
        </w:tc>
        <w:tc>
          <w:tcPr>
            <w:tcW w:type="dxa" w:w="7660"/>
            <w:tcMar>
              <w:top w:w="80" w:type="dxa"/>
              <w:start w:w="120" w:type="dxa"/>
              <w:bottom w:w="80" w:type="dxa"/>
              <w:end w:w="120" w:type="dxa"/>
            </w:tcMar>
            <w:vAlign w:val="top"/>
          </w:tcPr>
          <w:p>
            <w:pPr>
              <w:spacing w:after="0"/>
            </w:pPr>
            <w:r>
              <w:rPr>
                <w:rFonts w:ascii="Calibri" w:hAnsi="Calibri" w:eastAsia="Calibri"/>
                <w:sz w:val="17"/>
              </w:rPr>
              <w:t>Duplicate webhooks and delta replay create one evidence record.</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Threading</w:t>
            </w:r>
          </w:p>
        </w:tc>
        <w:tc>
          <w:tcPr>
            <w:tcW w:type="dxa" w:w="7660"/>
            <w:tcMar>
              <w:top w:w="80" w:type="dxa"/>
              <w:start w:w="120" w:type="dxa"/>
              <w:bottom w:w="80" w:type="dxa"/>
              <w:end w:w="120" w:type="dxa"/>
            </w:tcMar>
            <w:vAlign w:val="top"/>
          </w:tcPr>
          <w:p>
            <w:pPr>
              <w:spacing w:after="0"/>
            </w:pPr>
            <w:r>
              <w:rPr>
                <w:rFonts w:ascii="Calibri" w:hAnsi="Calibri" w:eastAsia="Calibri"/>
                <w:sz w:val="17"/>
              </w:rPr>
              <w:t>Valid case token links correctly; copied token from wrong sender triggers review; ambiguous match does not auto-link.</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Evidence</w:t>
            </w:r>
          </w:p>
        </w:tc>
        <w:tc>
          <w:tcPr>
            <w:tcW w:type="dxa" w:w="7660"/>
            <w:tcMar>
              <w:top w:w="80" w:type="dxa"/>
              <w:start w:w="120" w:type="dxa"/>
              <w:bottom w:w="80" w:type="dxa"/>
              <w:end w:w="120" w:type="dxa"/>
            </w:tcMar>
            <w:vAlign w:val="top"/>
          </w:tcPr>
          <w:p>
            <w:pPr>
              <w:spacing w:after="0"/>
            </w:pPr>
            <w:r>
              <w:rPr>
                <w:rFonts w:ascii="Calibri" w:hAnsi="Calibri" w:eastAsia="Calibri"/>
                <w:sz w:val="17"/>
              </w:rPr>
              <w:t>MIME and attachment hashes verify after storage/retrieval; original remains unchanged.</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Malware</w:t>
            </w:r>
          </w:p>
        </w:tc>
        <w:tc>
          <w:tcPr>
            <w:tcW w:type="dxa" w:w="7660"/>
            <w:tcMar>
              <w:top w:w="80" w:type="dxa"/>
              <w:start w:w="120" w:type="dxa"/>
              <w:bottom w:w="80" w:type="dxa"/>
              <w:end w:w="120" w:type="dxa"/>
            </w:tcMar>
            <w:vAlign w:val="top"/>
          </w:tcPr>
          <w:p>
            <w:pPr>
              <w:spacing w:after="0"/>
            </w:pPr>
            <w:r>
              <w:rPr>
                <w:rFonts w:ascii="Calibri" w:hAnsi="Calibri" w:eastAsia="Calibri"/>
                <w:sz w:val="17"/>
              </w:rPr>
              <w:t>EICAR/test malicious file is quarantined and never reaches extraction.</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Extraction</w:t>
            </w:r>
          </w:p>
        </w:tc>
        <w:tc>
          <w:tcPr>
            <w:tcW w:type="dxa" w:w="7660"/>
            <w:tcMar>
              <w:top w:w="80" w:type="dxa"/>
              <w:start w:w="120" w:type="dxa"/>
              <w:bottom w:w="80" w:type="dxa"/>
              <w:end w:w="120" w:type="dxa"/>
            </w:tcMar>
            <w:vAlign w:val="top"/>
          </w:tcPr>
          <w:p>
            <w:pPr>
              <w:spacing w:after="0"/>
            </w:pPr>
            <w:r>
              <w:rPr>
                <w:rFonts w:ascii="Calibri" w:hAnsi="Calibri" w:eastAsia="Calibri"/>
                <w:sz w:val="17"/>
              </w:rPr>
              <w:t>Unsupported value is rejected; every proposed value has source provenance; conflict creates review.</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Workflow</w:t>
            </w:r>
          </w:p>
        </w:tc>
        <w:tc>
          <w:tcPr>
            <w:tcW w:type="dxa" w:w="7660"/>
            <w:tcMar>
              <w:top w:w="80" w:type="dxa"/>
              <w:start w:w="120" w:type="dxa"/>
              <w:bottom w:w="80" w:type="dxa"/>
              <w:end w:w="120" w:type="dxa"/>
            </w:tcMar>
            <w:vAlign w:val="top"/>
          </w:tcPr>
          <w:p>
            <w:pPr>
              <w:spacing w:after="0"/>
            </w:pPr>
            <w:r>
              <w:rPr>
                <w:rFonts w:ascii="Calibri" w:hAnsi="Calibri" w:eastAsia="Calibri"/>
                <w:sz w:val="17"/>
              </w:rPr>
              <w:t>Email receipt alone does not mark a return submitted unless the obligation explicitly accepts email and review confirms it.</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Due dates</w:t>
            </w:r>
          </w:p>
        </w:tc>
        <w:tc>
          <w:tcPr>
            <w:tcW w:type="dxa" w:w="7660"/>
            <w:tcMar>
              <w:top w:w="80" w:type="dxa"/>
              <w:start w:w="120" w:type="dxa"/>
              <w:bottom w:w="80" w:type="dxa"/>
              <w:end w:w="120" w:type="dxa"/>
            </w:tcMar>
            <w:vAlign w:val="top"/>
          </w:tcPr>
          <w:p>
            <w:pPr>
              <w:spacing w:after="0"/>
            </w:pPr>
            <w:r>
              <w:rPr>
                <w:rFonts w:ascii="Calibri" w:hAnsi="Calibri" w:eastAsia="Calibri"/>
                <w:sz w:val="17"/>
              </w:rPr>
              <w:t>Approved extension changes the effective due date with history; email request alone does not.</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Penalty</w:t>
            </w:r>
          </w:p>
        </w:tc>
        <w:tc>
          <w:tcPr>
            <w:tcW w:type="dxa" w:w="7660"/>
            <w:tcMar>
              <w:top w:w="80" w:type="dxa"/>
              <w:start w:w="120" w:type="dxa"/>
              <w:bottom w:w="80" w:type="dxa"/>
              <w:end w:w="120" w:type="dxa"/>
            </w:tcMar>
            <w:vAlign w:val="top"/>
          </w:tcPr>
          <w:p>
            <w:pPr>
              <w:spacing w:after="0"/>
            </w:pPr>
            <w:r>
              <w:rPr>
                <w:rFonts w:ascii="Calibri" w:hAnsi="Calibri" w:eastAsia="Calibri"/>
                <w:sz w:val="17"/>
              </w:rPr>
              <w:t>No notice can be sent without enabled rule version, evidence, Legal and authorised approval.</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Fairness</w:t>
            </w:r>
          </w:p>
        </w:tc>
        <w:tc>
          <w:tcPr>
            <w:tcW w:type="dxa" w:w="7660"/>
            <w:tcMar>
              <w:top w:w="80" w:type="dxa"/>
              <w:start w:w="120" w:type="dxa"/>
              <w:bottom w:w="80" w:type="dxa"/>
              <w:end w:w="120" w:type="dxa"/>
            </w:tcMar>
            <w:vAlign w:val="top"/>
          </w:tcPr>
          <w:p>
            <w:pPr>
              <w:spacing w:after="0"/>
            </w:pPr>
            <w:r>
              <w:rPr>
                <w:rFonts w:ascii="Calibri" w:hAnsi="Calibri" w:eastAsia="Calibri"/>
                <w:sz w:val="17"/>
              </w:rPr>
              <w:t>Notice includes approved response route/deadline and the decision records representations and reasons.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Audit</w:t>
            </w:r>
          </w:p>
        </w:tc>
        <w:tc>
          <w:tcPr>
            <w:tcW w:type="dxa" w:w="7660"/>
            <w:tcMar>
              <w:top w:w="80" w:type="dxa"/>
              <w:start w:w="120" w:type="dxa"/>
              <w:bottom w:w="80" w:type="dxa"/>
              <w:end w:w="120" w:type="dxa"/>
            </w:tcMar>
            <w:vAlign w:val="top"/>
          </w:tcPr>
          <w:p>
            <w:pPr>
              <w:spacing w:after="0"/>
            </w:pPr>
            <w:r>
              <w:rPr>
                <w:rFonts w:ascii="Calibri" w:hAnsi="Calibri" w:eastAsia="Calibri"/>
                <w:sz w:val="17"/>
              </w:rPr>
              <w:t>Draft/edit/approve/send/receive/extract/accept/status/notice actions are append-only and attributable.</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Retention</w:t>
            </w:r>
          </w:p>
        </w:tc>
        <w:tc>
          <w:tcPr>
            <w:tcW w:type="dxa" w:w="7660"/>
            <w:tcMar>
              <w:top w:w="80" w:type="dxa"/>
              <w:start w:w="120" w:type="dxa"/>
              <w:bottom w:w="80" w:type="dxa"/>
              <w:end w:w="120" w:type="dxa"/>
            </w:tcMar>
            <w:vAlign w:val="top"/>
          </w:tcPr>
          <w:p>
            <w:pPr>
              <w:spacing w:after="0"/>
            </w:pPr>
            <w:r>
              <w:rPr>
                <w:rFonts w:ascii="Calibri" w:hAnsi="Calibri" w:eastAsia="Calibri"/>
                <w:sz w:val="17"/>
              </w:rPr>
              <w:t>Delete/edit in mailbox remains preserved under policy; legal hold prevents disposition; platform disposition is logged.</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Recovery</w:t>
            </w:r>
          </w:p>
        </w:tc>
        <w:tc>
          <w:tcPr>
            <w:tcW w:type="dxa" w:w="7660"/>
            <w:tcMar>
              <w:top w:w="80" w:type="dxa"/>
              <w:start w:w="120" w:type="dxa"/>
              <w:bottom w:w="80" w:type="dxa"/>
              <w:end w:w="120" w:type="dxa"/>
            </w:tcMar>
            <w:vAlign w:val="top"/>
          </w:tcPr>
          <w:p>
            <w:pPr>
              <w:spacing w:after="0"/>
            </w:pPr>
            <w:r>
              <w:rPr>
                <w:rFonts w:ascii="Calibri" w:hAnsi="Calibri" w:eastAsia="Calibri"/>
                <w:sz w:val="17"/>
              </w:rPr>
              <w:t>Expired subscription is recreated; missed message appears through delta reconciliation.</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Access</w:t>
            </w:r>
          </w:p>
        </w:tc>
        <w:tc>
          <w:tcPr>
            <w:tcW w:type="dxa" w:w="7660"/>
            <w:tcMar>
              <w:top w:w="80" w:type="dxa"/>
              <w:start w:w="120" w:type="dxa"/>
              <w:bottom w:w="80" w:type="dxa"/>
              <w:end w:w="120" w:type="dxa"/>
            </w:tcMar>
            <w:vAlign w:val="top"/>
          </w:tcPr>
          <w:p>
            <w:pPr>
              <w:spacing w:after="0"/>
            </w:pPr>
            <w:r>
              <w:rPr>
                <w:rFonts w:ascii="Calibri" w:hAnsi="Calibri" w:eastAsia="Calibri"/>
                <w:sz w:val="17"/>
              </w:rPr>
              <w:t>Departed delegate loses mailbox and platform access; quarterly recertification report is reproducible.</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Privacy</w:t>
            </w:r>
          </w:p>
        </w:tc>
        <w:tc>
          <w:tcPr>
            <w:tcW w:type="dxa" w:w="7660"/>
            <w:tcMar>
              <w:top w:w="80" w:type="dxa"/>
              <w:start w:w="120" w:type="dxa"/>
              <w:bottom w:w="80" w:type="dxa"/>
              <w:end w:w="120" w:type="dxa"/>
            </w:tcMar>
            <w:vAlign w:val="top"/>
          </w:tcPr>
          <w:p>
            <w:pPr>
              <w:spacing w:after="0"/>
            </w:pPr>
            <w:r>
              <w:rPr>
                <w:rFonts w:ascii="Calibri" w:hAnsi="Calibri" w:eastAsia="Calibri"/>
                <w:sz w:val="17"/>
              </w:rPr>
              <w:t>RTI/export workflow supports classification review and redaction; unauthorised role cannot view confidential bodies/attachments.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Incident</w:t>
            </w:r>
          </w:p>
        </w:tc>
        <w:tc>
          <w:tcPr>
            <w:tcW w:type="dxa" w:w="7660"/>
            <w:tcMar>
              <w:top w:w="80" w:type="dxa"/>
              <w:start w:w="120" w:type="dxa"/>
              <w:bottom w:w="80" w:type="dxa"/>
              <w:end w:w="120" w:type="dxa"/>
            </w:tcMar>
            <w:vAlign w:val="top"/>
          </w:tcPr>
          <w:p>
            <w:pPr>
              <w:spacing w:after="0"/>
            </w:pPr>
            <w:r>
              <w:rPr>
                <w:rFonts w:ascii="Calibri" w:hAnsi="Calibri" w:eastAsia="Calibri"/>
                <w:sz w:val="17"/>
              </w:rPr>
              <w:t>Credential compromise and wrong-recipient exercises meet escalation and preservation objectives.</w:t>
            </w:r>
          </w:p>
        </w:tc>
      </w:tr>
      <w:tr>
        <w:trPr>
          <w:cantSplit/>
        </w:trPr>
        <w:tc>
          <w:tcPr>
            <w:tcW w:type="dxa" w:w="1700"/>
            <w:tcMar>
              <w:top w:w="80" w:type="dxa"/>
              <w:start w:w="120" w:type="dxa"/>
              <w:bottom w:w="80" w:type="dxa"/>
              <w:end w:w="120" w:type="dxa"/>
            </w:tcMar>
            <w:vAlign w:val="top"/>
          </w:tcPr>
          <w:p>
            <w:pPr>
              <w:spacing w:after="0"/>
            </w:pPr>
            <w:r>
              <w:rPr>
                <w:rFonts w:ascii="Calibri" w:hAnsi="Calibri" w:eastAsia="Calibri"/>
                <w:sz w:val="17"/>
              </w:rPr>
              <w:t>Performance</w:t>
            </w:r>
          </w:p>
        </w:tc>
        <w:tc>
          <w:tcPr>
            <w:tcW w:type="dxa" w:w="7660"/>
            <w:tcMar>
              <w:top w:w="80" w:type="dxa"/>
              <w:start w:w="120" w:type="dxa"/>
              <w:bottom w:w="80" w:type="dxa"/>
              <w:end w:w="120" w:type="dxa"/>
            </w:tcMar>
            <w:vAlign w:val="top"/>
          </w:tcPr>
          <w:p>
            <w:pPr>
              <w:spacing w:after="0"/>
            </w:pPr>
            <w:r>
              <w:rPr>
                <w:rFonts w:ascii="Calibri" w:hAnsi="Calibri" w:eastAsia="Calibri"/>
                <w:sz w:val="17"/>
              </w:rPr>
              <w:t>Webhook acknowledges within target; queue/backlog alerts fire; peak campaign volume does not lose or duplicate mail.</w:t>
            </w:r>
          </w:p>
        </w:tc>
      </w:tr>
    </w:tbl>
    <w:p>
      <w:pPr>
        <w:spacing w:after="20"/>
      </w:pPr>
    </w:p>
    <w:p>
      <w:pPr>
        <w:pStyle w:val="Heading2"/>
      </w:pPr>
      <w:r>
        <w:t>11.2 Operational metrics</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3350"/>
            <w:shd w:fill="F2F4F7"/>
            <w:tcMar>
              <w:top w:w="80" w:type="dxa"/>
              <w:start w:w="120" w:type="dxa"/>
              <w:bottom w:w="80" w:type="dxa"/>
              <w:end w:w="120" w:type="dxa"/>
            </w:tcMar>
            <w:vAlign w:val="center"/>
          </w:tcPr>
          <w:p>
            <w:pPr>
              <w:spacing w:after="0"/>
            </w:pPr>
            <w:r>
              <w:rPr>
                <w:rFonts w:ascii="Calibri" w:hAnsi="Calibri" w:eastAsia="Calibri"/>
                <w:b/>
                <w:color w:val="163A5F"/>
                <w:sz w:val="17"/>
              </w:rPr>
              <w:t>Metric</w:t>
            </w:r>
          </w:p>
        </w:tc>
        <w:tc>
          <w:tcPr>
            <w:tcW w:type="dxa" w:w="6010"/>
            <w:shd w:fill="F2F4F7"/>
            <w:tcMar>
              <w:top w:w="80" w:type="dxa"/>
              <w:start w:w="120" w:type="dxa"/>
              <w:bottom w:w="80" w:type="dxa"/>
              <w:end w:w="120" w:type="dxa"/>
            </w:tcMar>
            <w:vAlign w:val="center"/>
          </w:tcPr>
          <w:p>
            <w:pPr>
              <w:spacing w:after="0"/>
            </w:pPr>
            <w:r>
              <w:rPr>
                <w:rFonts w:ascii="Calibri" w:hAnsi="Calibri" w:eastAsia="Calibri"/>
                <w:b/>
                <w:color w:val="163A5F"/>
                <w:sz w:val="17"/>
              </w:rPr>
              <w:t>Purpose</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Expected vs received vs valid vs approved</w:t>
            </w:r>
          </w:p>
        </w:tc>
        <w:tc>
          <w:tcPr>
            <w:tcW w:type="dxa" w:w="6010"/>
            <w:tcMar>
              <w:top w:w="80" w:type="dxa"/>
              <w:start w:w="120" w:type="dxa"/>
              <w:bottom w:w="80" w:type="dxa"/>
              <w:end w:w="120" w:type="dxa"/>
            </w:tcMar>
            <w:vAlign w:val="top"/>
          </w:tcPr>
          <w:p>
            <w:pPr>
              <w:spacing w:after="0"/>
            </w:pPr>
            <w:r>
              <w:rPr>
                <w:rFonts w:ascii="Calibri" w:hAnsi="Calibri" w:eastAsia="Calibri"/>
                <w:sz w:val="17"/>
              </w:rPr>
              <w:t>Shows collection progress without treating receipt as quality/approval.</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On-time submission rate</w:t>
            </w:r>
          </w:p>
        </w:tc>
        <w:tc>
          <w:tcPr>
            <w:tcW w:type="dxa" w:w="6010"/>
            <w:tcMar>
              <w:top w:w="80" w:type="dxa"/>
              <w:start w:w="120" w:type="dxa"/>
              <w:bottom w:w="80" w:type="dxa"/>
              <w:end w:w="120" w:type="dxa"/>
            </w:tcMar>
            <w:vAlign w:val="top"/>
          </w:tcPr>
          <w:p>
            <w:pPr>
              <w:spacing w:after="0"/>
            </w:pPr>
            <w:r>
              <w:rPr>
                <w:rFonts w:ascii="Calibri" w:hAnsi="Calibri" w:eastAsia="Calibri"/>
                <w:sz w:val="17"/>
              </w:rPr>
              <w:t>Primary provider compliance outcome, adjusted for approved extensions.</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NCA first-response and resolution time</w:t>
            </w:r>
          </w:p>
        </w:tc>
        <w:tc>
          <w:tcPr>
            <w:tcW w:type="dxa" w:w="6010"/>
            <w:tcMar>
              <w:top w:w="80" w:type="dxa"/>
              <w:start w:w="120" w:type="dxa"/>
              <w:bottom w:w="80" w:type="dxa"/>
              <w:end w:w="120" w:type="dxa"/>
            </w:tcMar>
            <w:vAlign w:val="top"/>
          </w:tcPr>
          <w:p>
            <w:pPr>
              <w:spacing w:after="0"/>
            </w:pPr>
            <w:r>
              <w:rPr>
                <w:rFonts w:ascii="Calibri" w:hAnsi="Calibri" w:eastAsia="Calibri"/>
                <w:sz w:val="17"/>
              </w:rPr>
              <w:t>Ensures the regulator's own actions are visible.</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Awaiting NCA / awaiting provider ageing</w:t>
            </w:r>
          </w:p>
        </w:tc>
        <w:tc>
          <w:tcPr>
            <w:tcW w:type="dxa" w:w="6010"/>
            <w:tcMar>
              <w:top w:w="80" w:type="dxa"/>
              <w:start w:w="120" w:type="dxa"/>
              <w:bottom w:w="80" w:type="dxa"/>
              <w:end w:w="120" w:type="dxa"/>
            </w:tcMar>
            <w:vAlign w:val="top"/>
          </w:tcPr>
          <w:p>
            <w:pPr>
              <w:spacing w:after="0"/>
            </w:pPr>
            <w:r>
              <w:rPr>
                <w:rFonts w:ascii="Calibri" w:hAnsi="Calibri" w:eastAsia="Calibri"/>
                <w:sz w:val="17"/>
              </w:rPr>
              <w:t>Identifies the real bottleneck.</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Unmatched/ambiguous mail rate</w:t>
            </w:r>
          </w:p>
        </w:tc>
        <w:tc>
          <w:tcPr>
            <w:tcW w:type="dxa" w:w="6010"/>
            <w:tcMar>
              <w:top w:w="80" w:type="dxa"/>
              <w:start w:w="120" w:type="dxa"/>
              <w:bottom w:w="80" w:type="dxa"/>
              <w:end w:w="120" w:type="dxa"/>
            </w:tcMar>
            <w:vAlign w:val="top"/>
          </w:tcPr>
          <w:p>
            <w:pPr>
              <w:spacing w:after="0"/>
            </w:pPr>
            <w:r>
              <w:rPr>
                <w:rFonts w:ascii="Calibri" w:hAnsi="Calibri" w:eastAsia="Calibri"/>
                <w:sz w:val="17"/>
              </w:rPr>
              <w:t>Measures routing quality and case-token adoption.</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Bounce and invalid-contact rate</w:t>
            </w:r>
          </w:p>
        </w:tc>
        <w:tc>
          <w:tcPr>
            <w:tcW w:type="dxa" w:w="6010"/>
            <w:tcMar>
              <w:top w:w="80" w:type="dxa"/>
              <w:start w:w="120" w:type="dxa"/>
              <w:bottom w:w="80" w:type="dxa"/>
              <w:end w:w="120" w:type="dxa"/>
            </w:tcMar>
            <w:vAlign w:val="top"/>
          </w:tcPr>
          <w:p>
            <w:pPr>
              <w:spacing w:after="0"/>
            </w:pPr>
            <w:r>
              <w:rPr>
                <w:rFonts w:ascii="Calibri" w:hAnsi="Calibri" w:eastAsia="Calibri"/>
                <w:sz w:val="17"/>
              </w:rPr>
              <w:t>Improves contact data and avoids unfair non-response conclusions.</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Webhook lag / delta reconciliation gap</w:t>
            </w:r>
          </w:p>
        </w:tc>
        <w:tc>
          <w:tcPr>
            <w:tcW w:type="dxa" w:w="6010"/>
            <w:tcMar>
              <w:top w:w="80" w:type="dxa"/>
              <w:start w:w="120" w:type="dxa"/>
              <w:bottom w:w="80" w:type="dxa"/>
              <w:end w:w="120" w:type="dxa"/>
            </w:tcMar>
            <w:vAlign w:val="top"/>
          </w:tcPr>
          <w:p>
            <w:pPr>
              <w:spacing w:after="0"/>
            </w:pPr>
            <w:r>
              <w:rPr>
                <w:rFonts w:ascii="Calibri" w:hAnsi="Calibri" w:eastAsia="Calibri"/>
                <w:sz w:val="17"/>
              </w:rPr>
              <w:t>Measures evidence-capture reliability.</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Draft acceptance and edit distance by template</w:t>
            </w:r>
          </w:p>
        </w:tc>
        <w:tc>
          <w:tcPr>
            <w:tcW w:type="dxa" w:w="6010"/>
            <w:tcMar>
              <w:top w:w="80" w:type="dxa"/>
              <w:start w:w="120" w:type="dxa"/>
              <w:bottom w:w="80" w:type="dxa"/>
              <w:end w:w="120" w:type="dxa"/>
            </w:tcMar>
            <w:vAlign w:val="top"/>
          </w:tcPr>
          <w:p>
            <w:pPr>
              <w:spacing w:after="0"/>
            </w:pPr>
            <w:r>
              <w:rPr>
                <w:rFonts w:ascii="Calibri" w:hAnsi="Calibri" w:eastAsia="Calibri"/>
                <w:sz w:val="17"/>
              </w:rPr>
              <w:t>Measures drafting usefulness and risks.</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Extraction precision/recall by field class</w:t>
            </w:r>
          </w:p>
        </w:tc>
        <w:tc>
          <w:tcPr>
            <w:tcW w:type="dxa" w:w="6010"/>
            <w:tcMar>
              <w:top w:w="80" w:type="dxa"/>
              <w:start w:w="120" w:type="dxa"/>
              <w:bottom w:w="80" w:type="dxa"/>
              <w:end w:w="120" w:type="dxa"/>
            </w:tcMar>
            <w:vAlign w:val="top"/>
          </w:tcPr>
          <w:p>
            <w:pPr>
              <w:spacing w:after="0"/>
            </w:pPr>
            <w:r>
              <w:rPr>
                <w:rFonts w:ascii="Calibri" w:hAnsi="Calibri" w:eastAsia="Calibri"/>
                <w:sz w:val="17"/>
              </w:rPr>
              <w:t>Supports bounded automation decisions; no single aggregate hides weak fields.</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Reviewer correction and unsupported-value rate</w:t>
            </w:r>
          </w:p>
        </w:tc>
        <w:tc>
          <w:tcPr>
            <w:tcW w:type="dxa" w:w="6010"/>
            <w:tcMar>
              <w:top w:w="80" w:type="dxa"/>
              <w:start w:w="120" w:type="dxa"/>
              <w:bottom w:w="80" w:type="dxa"/>
              <w:end w:w="120" w:type="dxa"/>
            </w:tcMar>
            <w:vAlign w:val="top"/>
          </w:tcPr>
          <w:p>
            <w:pPr>
              <w:spacing w:after="0"/>
            </w:pPr>
            <w:r>
              <w:rPr>
                <w:rFonts w:ascii="Calibri" w:hAnsi="Calibri" w:eastAsia="Calibri"/>
                <w:sz w:val="17"/>
              </w:rPr>
              <w:t>Detects model/rule drift.</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Notice reversal/correction rate</w:t>
            </w:r>
          </w:p>
        </w:tc>
        <w:tc>
          <w:tcPr>
            <w:tcW w:type="dxa" w:w="6010"/>
            <w:tcMar>
              <w:top w:w="80" w:type="dxa"/>
              <w:start w:w="120" w:type="dxa"/>
              <w:bottom w:w="80" w:type="dxa"/>
              <w:end w:w="120" w:type="dxa"/>
            </w:tcMar>
            <w:vAlign w:val="top"/>
          </w:tcPr>
          <w:p>
            <w:pPr>
              <w:spacing w:after="0"/>
            </w:pPr>
            <w:r>
              <w:rPr>
                <w:rFonts w:ascii="Calibri" w:hAnsi="Calibri" w:eastAsia="Calibri"/>
                <w:sz w:val="17"/>
              </w:rPr>
              <w:t>Key adverse-action quality signal.</w:t>
            </w:r>
          </w:p>
        </w:tc>
      </w:tr>
      <w:tr>
        <w:trPr>
          <w:cantSplit/>
        </w:trPr>
        <w:tc>
          <w:tcPr>
            <w:tcW w:type="dxa" w:w="3350"/>
            <w:tcMar>
              <w:top w:w="80" w:type="dxa"/>
              <w:start w:w="120" w:type="dxa"/>
              <w:bottom w:w="80" w:type="dxa"/>
              <w:end w:w="120" w:type="dxa"/>
            </w:tcMar>
            <w:vAlign w:val="top"/>
          </w:tcPr>
          <w:p>
            <w:pPr>
              <w:spacing w:after="0"/>
            </w:pPr>
            <w:r>
              <w:rPr>
                <w:rFonts w:ascii="Calibri" w:hAnsi="Calibri" w:eastAsia="Calibri"/>
                <w:sz w:val="17"/>
              </w:rPr>
              <w:t>Access, retention and incident exceptions</w:t>
            </w:r>
          </w:p>
        </w:tc>
        <w:tc>
          <w:tcPr>
            <w:tcW w:type="dxa" w:w="6010"/>
            <w:tcMar>
              <w:top w:w="80" w:type="dxa"/>
              <w:start w:w="120" w:type="dxa"/>
              <w:bottom w:w="80" w:type="dxa"/>
              <w:end w:w="120" w:type="dxa"/>
            </w:tcMar>
            <w:vAlign w:val="top"/>
          </w:tcPr>
          <w:p>
            <w:pPr>
              <w:spacing w:after="0"/>
            </w:pPr>
            <w:r>
              <w:rPr>
                <w:rFonts w:ascii="Calibri" w:hAnsi="Calibri" w:eastAsia="Calibri"/>
                <w:sz w:val="17"/>
              </w:rPr>
              <w:t>Control-health reporting to governance bodies.</w:t>
            </w:r>
          </w:p>
        </w:tc>
      </w:tr>
    </w:tbl>
    <w:p>
      <w:pPr>
        <w:spacing w:after="20"/>
      </w:pPr>
    </w:p>
    <w:p>
      <w:pPr>
        <w:pStyle w:val="Heading2"/>
      </w:pPr>
      <w:r>
        <w:t>11.3 Decisions required from NCA</w:t>
      </w:r>
    </w:p>
    <w:p>
      <w:pPr>
        <w:pStyle w:val="ListBullet"/>
      </w:pPr>
      <w:r>
        <w:t>Is email an accepted filing channel for any return/application, or only a communication and contingency channel?</w:t>
      </w:r>
    </w:p>
    <w:p>
      <w:pPr>
        <w:pStyle w:val="ListBullet"/>
      </w:pPr>
      <w:r>
        <w:t>Which business unit owns datacollection@nca.org.gh and which roles may Send As, approve drafts and see confidential content?</w:t>
      </w:r>
    </w:p>
    <w:p>
      <w:pPr>
        <w:pStyle w:val="ListBullet"/>
      </w:pPr>
      <w:r>
        <w:t>Which forms, providers and correspondence types are in the pilot?</w:t>
      </w:r>
    </w:p>
    <w:p>
      <w:pPr>
        <w:pStyle w:val="ListBullet"/>
      </w:pPr>
      <w:r>
        <w:t>What are the NCA response SLAs, escalation hierarchy and out-of-hours rules?</w:t>
      </w:r>
    </w:p>
    <w:p>
      <w:pPr>
        <w:pStyle w:val="ListBullet"/>
      </w:pPr>
      <w:r>
        <w:t>Which licences/authorisations and legal sources govern each data obligation?</w:t>
      </w:r>
    </w:p>
    <w:p>
      <w:pPr>
        <w:pStyle w:val="ListBullet"/>
      </w:pPr>
      <w:r>
        <w:t>Which penalty schedule/version is current for each obligation, and who can authorise a warning, assessment and final notice?</w:t>
      </w:r>
    </w:p>
    <w:p>
      <w:pPr>
        <w:pStyle w:val="ListBullet"/>
      </w:pPr>
      <w:r>
        <w:t>What PRAAD-approved record classes and retention periods apply to messages, attachments, drafts, extracted facts and decisions?</w:t>
      </w:r>
    </w:p>
    <w:p>
      <w:pPr>
        <w:pStyle w:val="ListBullet"/>
      </w:pPr>
      <w:r>
        <w:t>Which AI/extraction deployment is approved, what data may it process, and what measured accuracy is required for each field class?</w:t>
      </w:r>
    </w:p>
    <w:p>
      <w:pPr>
        <w:pStyle w:val="ListBullet"/>
      </w:pPr>
      <w:r>
        <w:t>Does “applications” mean licensing/authorisation applications? If yes, approve a separate Application/RegulatoryCase workstream.</w:t>
      </w:r>
    </w:p>
    <w:tbl>
      <w:tblPr>
        <w:tblW w:type="dxa" w:w="9360"/>
        <w:jc w:val="center"/>
        <w:tblLayout w:type="fixed"/>
        <w:tblLook w:firstColumn="1" w:firstRow="1" w:lastColumn="0" w:lastRow="0" w:noHBand="0" w:noVBand="1" w:val="04A0"/>
      </w:tblPr>
      <w:tblGrid>
        <w:gridCol w:w="9360"/>
      </w:tblGrid>
      <w:tr>
        <w:tc>
          <w:tcPr>
            <w:tcW w:type="dxa" w:w="9360"/>
            <w:shd w:fill="ECFDF3"/>
            <w:tcMar>
              <w:top w:w="130" w:type="dxa"/>
              <w:start w:w="180" w:type="dxa"/>
              <w:bottom w:w="130" w:type="dxa"/>
              <w:end w:w="180" w:type="dxa"/>
            </w:tcMar>
          </w:tcPr>
          <w:p>
            <w:pPr>
              <w:spacing w:after="60"/>
            </w:pPr>
            <w:r>
              <w:rPr>
                <w:rFonts w:ascii="Calibri" w:hAnsi="Calibri" w:eastAsia="Calibri"/>
                <w:b/>
                <w:color w:val="027A48"/>
                <w:sz w:val="21"/>
              </w:rPr>
              <w:t>Recommended approval</w:t>
            </w:r>
          </w:p>
          <w:p>
            <w:pPr>
              <w:spacing w:after="0"/>
              <w:pBdr>
                <w:left w:val="single" w:sz="16" w:space="8" w:color="027A48"/>
              </w:pBdr>
            </w:pPr>
            <w:r>
              <w:t>Proceed with phases 0–2 for one low-risk reporting workflow. Hold phases 3–5 behind explicit data-protection, records, security, accuracy and legal gates.</w:t>
            </w:r>
          </w:p>
        </w:tc>
      </w:tr>
    </w:tbl>
    <w:p>
      <w:pPr>
        <w:spacing w:after="0"/>
      </w:pPr>
    </w:p>
    <w:p>
      <w:r>
        <w:br w:type="page"/>
      </w:r>
    </w:p>
    <w:p>
      <w:pPr>
        <w:pStyle w:val="Heading1"/>
      </w:pPr>
      <w:r>
        <w:t>Appendix A — Proposed status dictionary</w:t>
      </w:r>
    </w:p>
    <w:tbl>
      <w:tblPr>
        <w:tblStyle w:val="TableGrid"/>
        <w:tblW w:type="dxa" w:w="9360"/>
        <w:jc w:val="center"/>
        <w:tblLayout w:type="fixed"/>
        <w:tblLook w:firstColumn="1" w:firstRow="1" w:lastColumn="0" w:lastRow="0" w:noHBand="0" w:noVBand="1" w:val="04A0"/>
      </w:tblPr>
      <w:tblGrid>
        <w:gridCol w:w="4680"/>
        <w:gridCol w:w="4680"/>
      </w:tblGrid>
      <w:tr>
        <w:trPr>
          <w:tblHeader w:val="true"/>
          <w:cantSplit/>
        </w:trPr>
        <w:tc>
          <w:tcPr>
            <w:tcW w:type="dxa" w:w="1900"/>
            <w:shd w:fill="F2F4F7"/>
            <w:tcMar>
              <w:top w:w="80" w:type="dxa"/>
              <w:start w:w="120" w:type="dxa"/>
              <w:bottom w:w="80" w:type="dxa"/>
              <w:end w:w="120" w:type="dxa"/>
            </w:tcMar>
            <w:vAlign w:val="center"/>
          </w:tcPr>
          <w:p>
            <w:pPr>
              <w:spacing w:after="0"/>
            </w:pPr>
            <w:r>
              <w:rPr>
                <w:rFonts w:ascii="Calibri" w:hAnsi="Calibri" w:eastAsia="Calibri"/>
                <w:b/>
                <w:color w:val="163A5F"/>
                <w:sz w:val="17"/>
              </w:rPr>
              <w:t>Layer</w:t>
            </w:r>
          </w:p>
        </w:tc>
        <w:tc>
          <w:tcPr>
            <w:tcW w:type="dxa" w:w="7460"/>
            <w:shd w:fill="F2F4F7"/>
            <w:tcMar>
              <w:top w:w="80" w:type="dxa"/>
              <w:start w:w="120" w:type="dxa"/>
              <w:bottom w:w="80" w:type="dxa"/>
              <w:end w:w="120" w:type="dxa"/>
            </w:tcMar>
            <w:vAlign w:val="center"/>
          </w:tcPr>
          <w:p>
            <w:pPr>
              <w:spacing w:after="0"/>
            </w:pPr>
            <w:r>
              <w:rPr>
                <w:rFonts w:ascii="Calibri" w:hAnsi="Calibri" w:eastAsia="Calibri"/>
                <w:b/>
                <w:color w:val="163A5F"/>
                <w:sz w:val="17"/>
              </w:rPr>
              <w:t>States</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Transport</w:t>
            </w:r>
          </w:p>
        </w:tc>
        <w:tc>
          <w:tcPr>
            <w:tcW w:type="dxa" w:w="7460"/>
            <w:tcMar>
              <w:top w:w="80" w:type="dxa"/>
              <w:start w:w="120" w:type="dxa"/>
              <w:bottom w:w="80" w:type="dxa"/>
              <w:end w:w="120" w:type="dxa"/>
            </w:tcMar>
            <w:vAlign w:val="top"/>
          </w:tcPr>
          <w:p>
            <w:pPr>
              <w:spacing w:after="0"/>
            </w:pPr>
            <w:r>
              <w:rPr>
                <w:rFonts w:ascii="Calibri" w:hAnsi="Calibri" w:eastAsia="Calibri"/>
                <w:sz w:val="17"/>
              </w:rPr>
              <w:t>DRAFTED; APPROVED_TO_SEND; QUEUED; ACCEPTED_BY_GRAPH; SENT_ITEM_CONFIRMED; NDR_RECEIVED; DELIVERY_UNKNOWN</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Correspondence</w:t>
            </w:r>
          </w:p>
        </w:tc>
        <w:tc>
          <w:tcPr>
            <w:tcW w:type="dxa" w:w="7460"/>
            <w:tcMar>
              <w:top w:w="80" w:type="dxa"/>
              <w:start w:w="120" w:type="dxa"/>
              <w:bottom w:w="80" w:type="dxa"/>
              <w:end w:w="120" w:type="dxa"/>
            </w:tcMar>
            <w:vAlign w:val="top"/>
          </w:tcPr>
          <w:p>
            <w:pPr>
              <w:spacing w:after="0"/>
            </w:pPr>
            <w:r>
              <w:rPr>
                <w:rFonts w:ascii="Calibri" w:hAnsi="Calibri" w:eastAsia="Calibri"/>
                <w:sz w:val="17"/>
              </w:rPr>
              <w:t>UNTRIAGED; MATCHED; NEEDS_REVIEW; RESPONSE_DRAFTED; RESPONDED; CLOSED; SECURITY_HOLD</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Case</w:t>
            </w:r>
          </w:p>
        </w:tc>
        <w:tc>
          <w:tcPr>
            <w:tcW w:type="dxa" w:w="7460"/>
            <w:tcMar>
              <w:top w:w="80" w:type="dxa"/>
              <w:start w:w="120" w:type="dxa"/>
              <w:bottom w:w="80" w:type="dxa"/>
              <w:end w:w="120" w:type="dxa"/>
            </w:tcMar>
            <w:vAlign w:val="top"/>
          </w:tcPr>
          <w:p>
            <w:pPr>
              <w:spacing w:after="0"/>
            </w:pPr>
            <w:r>
              <w:rPr>
                <w:rFonts w:ascii="Calibri" w:hAnsi="Calibri" w:eastAsia="Calibri"/>
                <w:sz w:val="17"/>
              </w:rPr>
              <w:t>NOT_STARTED; DRAFT; SUBMITTED; UNDER_REVIEW; CORRECTION_REQUESTED; RESUBMITTED; APPROVED; REJECTED; ARCHIVED</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Due/SLA</w:t>
            </w:r>
          </w:p>
        </w:tc>
        <w:tc>
          <w:tcPr>
            <w:tcW w:type="dxa" w:w="7460"/>
            <w:tcMar>
              <w:top w:w="80" w:type="dxa"/>
              <w:start w:w="120" w:type="dxa"/>
              <w:bottom w:w="80" w:type="dxa"/>
              <w:end w:w="120" w:type="dxa"/>
            </w:tcMar>
            <w:vAlign w:val="top"/>
          </w:tcPr>
          <w:p>
            <w:pPr>
              <w:spacing w:after="0"/>
            </w:pPr>
            <w:r>
              <w:rPr>
                <w:rFonts w:ascii="Calibri" w:hAnsi="Calibri" w:eastAsia="Calibri"/>
                <w:sz w:val="17"/>
              </w:rPr>
              <w:t>NOT_OPEN; OPEN; DUE_SOON; DUE_TODAY; OVERDUE; PAUSED_BY_APPROVED_EXTENSION; CLOSED</w:t>
            </w:r>
          </w:p>
        </w:tc>
      </w:tr>
      <w:tr>
        <w:trPr>
          <w:cantSplit/>
        </w:trPr>
        <w:tc>
          <w:tcPr>
            <w:tcW w:type="dxa" w:w="1900"/>
            <w:tcMar>
              <w:top w:w="80" w:type="dxa"/>
              <w:start w:w="120" w:type="dxa"/>
              <w:bottom w:w="80" w:type="dxa"/>
              <w:end w:w="120" w:type="dxa"/>
            </w:tcMar>
            <w:vAlign w:val="top"/>
          </w:tcPr>
          <w:p>
            <w:pPr>
              <w:spacing w:after="0"/>
            </w:pPr>
            <w:r>
              <w:rPr>
                <w:rFonts w:ascii="Calibri" w:hAnsi="Calibri" w:eastAsia="Calibri"/>
                <w:sz w:val="17"/>
              </w:rPr>
              <w:t>Enforcement</w:t>
            </w:r>
          </w:p>
        </w:tc>
        <w:tc>
          <w:tcPr>
            <w:tcW w:type="dxa" w:w="7460"/>
            <w:tcMar>
              <w:top w:w="80" w:type="dxa"/>
              <w:start w:w="120" w:type="dxa"/>
              <w:bottom w:w="80" w:type="dxa"/>
              <w:end w:w="120" w:type="dxa"/>
            </w:tcMar>
            <w:vAlign w:val="top"/>
          </w:tcPr>
          <w:p>
            <w:pPr>
              <w:spacing w:after="0"/>
            </w:pPr>
            <w:r>
              <w:rPr>
                <w:rFonts w:ascii="Calibri" w:hAnsi="Calibri" w:eastAsia="Calibri"/>
                <w:sz w:val="17"/>
              </w:rPr>
              <w:t>NONE; WARNING_CONSIDERED; WARNING_APPROVED; NOTICE_ISSUED; REPRESENTATIONS_DUE; ASSESSMENT; DECIDED; REVIEW_OR_APPEAL; CLOSED</w:t>
            </w:r>
          </w:p>
        </w:tc>
      </w:tr>
    </w:tbl>
    <w:p>
      <w:pPr>
        <w:spacing w:after="20"/>
      </w:pPr>
    </w:p>
    <w:p>
      <w:pPr>
        <w:pStyle w:val="Heading1"/>
      </w:pPr>
      <w:r>
        <w:t>Appendix B — Suggested event vocabulary</w:t>
      </w:r>
    </w:p>
    <w:p>
      <w:pPr>
        <w:pStyle w:val="ListBullet"/>
      </w:pPr>
      <w:r>
        <w:t>CASE_CREATED / OBLIGATION_ASSIGNED / DUE_DATE_SET / EXTENSION_REQUESTED / EXTENSION_GRANTED / EXTENSION_REFUSED</w:t>
      </w:r>
    </w:p>
    <w:p>
      <w:pPr>
        <w:pStyle w:val="ListBullet"/>
      </w:pPr>
      <w:r>
        <w:t>EMAIL_DRAFTED / EMAIL_EDITED / EMAIL_APPROVED / EMAIL_SEND_REQUESTED / EMAIL_GRAPH_ACCEPTED / EMAIL_SENT_CONFIRMED / EMAIL_NDR_RECEIVED</w:t>
      </w:r>
    </w:p>
    <w:p>
      <w:pPr>
        <w:pStyle w:val="ListBullet"/>
      </w:pPr>
      <w:r>
        <w:t>EMAIL_RECEIVED / EMAIL_QUARANTINED / EMAIL_MATCHED / EMAIL_REASSIGNED / EMAIL_CLASSIFIED</w:t>
      </w:r>
    </w:p>
    <w:p>
      <w:pPr>
        <w:pStyle w:val="ListBullet"/>
      </w:pPr>
      <w:r>
        <w:t>EXTRACTION_STARTED / FACT_PROPOSED / FACT_ACCEPTED / FACT_CORRECTED / FACT_REJECTED / SUBMISSION_VERSION_CREATED</w:t>
      </w:r>
    </w:p>
    <w:p>
      <w:pPr>
        <w:pStyle w:val="ListBullet"/>
      </w:pPr>
      <w:r>
        <w:t>REVIEW_STARTED / CORRECTION_REQUESTED / SUBMITTED / APPROVED / REJECTED / CASE_CLOSED / CASE_REOPENED</w:t>
      </w:r>
    </w:p>
    <w:p>
      <w:pPr>
        <w:pStyle w:val="ListBullet"/>
      </w:pPr>
      <w:r>
        <w:t>PENALTY_RULE_SELECTED / ASSESSMENT_DRAFTED / LEGAL_APPROVED / NOTICE_ISSUED / REPRESENTATION_RECEIVED / DECISION_RECORDED / NOTICE_WITHDRAWN</w:t>
      </w:r>
    </w:p>
    <w:p>
      <w:pPr>
        <w:pStyle w:val="ListBullet"/>
      </w:pPr>
      <w:r>
        <w:t>RETENTION_APPLIED / LEGAL_HOLD_APPLIED / EXPORT_CREATED / REDACTION_APPROVED / DISPOSITION_APPROVED / EVIDENCE_INTEGRITY_VERIFIED</w:t>
      </w:r>
    </w:p>
    <w:p>
      <w:pPr>
        <w:pStyle w:val="Heading1"/>
      </w:pPr>
      <w:r>
        <w:t>Appendix C — Source register</w:t>
      </w:r>
    </w:p>
    <w:p>
      <w:r>
        <w:t>All sources below were accessed for this report on 30 July 2026. Legal instruments should be revalidated by NCA Legal against official gazettes, amendments, licence instruments and current policy before operational use.</w:t>
      </w:r>
    </w:p>
    <w:tbl>
      <w:tblPr>
        <w:tblStyle w:val="TableGrid"/>
        <w:tblW w:type="dxa" w:w="9360"/>
        <w:jc w:val="center"/>
        <w:tblLayout w:type="fixed"/>
        <w:tblLook w:firstColumn="1" w:firstRow="1" w:lastColumn="0" w:lastRow="0" w:noHBand="0" w:noVBand="1" w:val="04A0"/>
      </w:tblPr>
      <w:tblGrid>
        <w:gridCol w:w="3120"/>
        <w:gridCol w:w="3120"/>
        <w:gridCol w:w="3120"/>
      </w:tblGrid>
      <w:tr>
        <w:trPr>
          <w:tblHeader w:val="true"/>
        </w:trPr>
        <w:tc>
          <w:tcPr>
            <w:tcW w:type="dxa" w:w="620"/>
            <w:shd w:fill="F2F4F7"/>
            <w:tcMar>
              <w:top w:w="80" w:type="dxa"/>
              <w:start w:w="120" w:type="dxa"/>
              <w:bottom w:w="80" w:type="dxa"/>
              <w:end w:w="120" w:type="dxa"/>
            </w:tcMar>
          </w:tcPr>
          <w:p>
            <w:pPr>
              <w:spacing w:after="0"/>
            </w:pPr>
            <w:r>
              <w:rPr>
                <w:rFonts w:ascii="Calibri" w:hAnsi="Calibri" w:eastAsia="Calibri"/>
                <w:b/>
                <w:color w:val="163A5F"/>
                <w:sz w:val="17"/>
              </w:rPr>
              <w:t>No.</w:t>
            </w:r>
          </w:p>
        </w:tc>
        <w:tc>
          <w:tcPr>
            <w:tcW w:type="dxa" w:w="4640"/>
            <w:shd w:fill="F2F4F7"/>
            <w:tcMar>
              <w:top w:w="80" w:type="dxa"/>
              <w:start w:w="120" w:type="dxa"/>
              <w:bottom w:w="80" w:type="dxa"/>
              <w:end w:w="120" w:type="dxa"/>
            </w:tcMar>
          </w:tcPr>
          <w:p>
            <w:pPr>
              <w:spacing w:after="0"/>
            </w:pPr>
            <w:r>
              <w:rPr>
                <w:rFonts w:ascii="Calibri" w:hAnsi="Calibri" w:eastAsia="Calibri"/>
                <w:b/>
                <w:color w:val="163A5F"/>
                <w:sz w:val="17"/>
              </w:rPr>
              <w:t>Source</w:t>
            </w:r>
          </w:p>
        </w:tc>
        <w:tc>
          <w:tcPr>
            <w:tcW w:type="dxa" w:w="4100"/>
            <w:shd w:fill="F2F4F7"/>
            <w:tcMar>
              <w:top w:w="80" w:type="dxa"/>
              <w:start w:w="120" w:type="dxa"/>
              <w:bottom w:w="80" w:type="dxa"/>
              <w:end w:w="120" w:type="dxa"/>
            </w:tcMar>
          </w:tcPr>
          <w:p>
            <w:pPr>
              <w:spacing w:after="0"/>
            </w:pPr>
            <w:r>
              <w:rPr>
                <w:rFonts w:ascii="Calibri" w:hAnsi="Calibri" w:eastAsia="Calibri"/>
                <w:b/>
                <w:color w:val="163A5F"/>
                <w:sz w:val="17"/>
              </w:rPr>
              <w:t>Publisher / link</w:t>
            </w:r>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w:t>
            </w:r>
          </w:p>
        </w:tc>
        <w:tc>
          <w:tcPr>
            <w:tcW w:type="dxa" w:w="4640"/>
            <w:tcMar>
              <w:top w:w="60" w:type="dxa"/>
              <w:start w:w="90" w:type="dxa"/>
              <w:bottom w:w="60" w:type="dxa"/>
              <w:end w:w="90" w:type="dxa"/>
            </w:tcMar>
          </w:tcPr>
          <w:p>
            <w:pPr>
              <w:spacing w:after="0"/>
            </w:pPr>
            <w:r>
              <w:rPr>
                <w:rFonts w:ascii="Calibri" w:hAnsi="Calibri" w:eastAsia="Calibri"/>
                <w:sz w:val="16"/>
              </w:rPr>
              <w:t>National Communications Authority Act, 2008 (Act 769)</w:t>
            </w:r>
          </w:p>
        </w:tc>
        <w:tc>
          <w:tcPr>
            <w:tcW w:type="dxa" w:w="4100"/>
            <w:tcMar>
              <w:top w:w="60" w:type="dxa"/>
              <w:start w:w="90" w:type="dxa"/>
              <w:bottom w:w="60" w:type="dxa"/>
              <w:end w:w="90" w:type="dxa"/>
            </w:tcMar>
          </w:tcPr>
          <w:p>
            <w:pPr>
              <w:spacing w:after="0"/>
            </w:pPr>
            <w:r>
              <w:rPr>
                <w:rFonts w:ascii="Calibri" w:hAnsi="Calibri" w:eastAsia="Calibri"/>
                <w:sz w:val="16"/>
              </w:rPr>
              <w:t xml:space="preserve">National Communications Authority — </w:t>
            </w:r>
            <w:hyperlink r:id="rId12">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w:t>
            </w:r>
          </w:p>
        </w:tc>
        <w:tc>
          <w:tcPr>
            <w:tcW w:type="dxa" w:w="4640"/>
            <w:tcMar>
              <w:top w:w="60" w:type="dxa"/>
              <w:start w:w="90" w:type="dxa"/>
              <w:bottom w:w="60" w:type="dxa"/>
              <w:end w:w="90" w:type="dxa"/>
            </w:tcMar>
          </w:tcPr>
          <w:p>
            <w:pPr>
              <w:spacing w:after="0"/>
            </w:pPr>
            <w:r>
              <w:rPr>
                <w:rFonts w:ascii="Calibri" w:hAnsi="Calibri" w:eastAsia="Calibri"/>
                <w:sz w:val="16"/>
              </w:rPr>
              <w:t>Electronic Communications Act, 2008 (Act 775)</w:t>
            </w:r>
          </w:p>
        </w:tc>
        <w:tc>
          <w:tcPr>
            <w:tcW w:type="dxa" w:w="4100"/>
            <w:tcMar>
              <w:top w:w="60" w:type="dxa"/>
              <w:start w:w="90" w:type="dxa"/>
              <w:bottom w:w="60" w:type="dxa"/>
              <w:end w:w="90" w:type="dxa"/>
            </w:tcMar>
          </w:tcPr>
          <w:p>
            <w:pPr>
              <w:spacing w:after="0"/>
            </w:pPr>
            <w:r>
              <w:rPr>
                <w:rFonts w:ascii="Calibri" w:hAnsi="Calibri" w:eastAsia="Calibri"/>
                <w:sz w:val="16"/>
              </w:rPr>
              <w:t xml:space="preserve">National Communications Authority — </w:t>
            </w:r>
            <w:hyperlink r:id="rId13">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[3]</w:t>
            </w:r>
          </w:p>
        </w:tc>
        <w:tc>
          <w:tcPr>
            <w:tcW w:type="dxa" w:w="4640"/>
            <w:tcMar>
              <w:top w:w="60" w:type="dxa"/>
              <w:start w:w="90" w:type="dxa"/>
              <w:bottom w:w="60" w:type="dxa"/>
              <w:end w:w="90" w:type="dxa"/>
            </w:tcMar>
          </w:tcPr>
          <w:p>
            <w:pPr>
              <w:spacing w:after="0"/>
            </w:pPr>
            <w:r>
              <w:rPr>
                <w:rFonts w:ascii="Calibri" w:hAnsi="Calibri" w:eastAsia="Calibri"/>
                <w:sz w:val="16"/>
              </w:rPr>
              <w:t>Electronic Communications Regulations, 2011 (L.I. 1991)</w:t>
            </w:r>
          </w:p>
        </w:tc>
        <w:tc>
          <w:tcPr>
            <w:tcW w:type="dxa" w:w="4100"/>
            <w:tcMar>
              <w:top w:w="60" w:type="dxa"/>
              <w:start w:w="90" w:type="dxa"/>
              <w:bottom w:w="60" w:type="dxa"/>
              <w:end w:w="90" w:type="dxa"/>
            </w:tcMar>
          </w:tcPr>
          <w:p>
            <w:pPr>
              <w:spacing w:after="0"/>
            </w:pPr>
            <w:r>
              <w:rPr>
                <w:rFonts w:ascii="Calibri" w:hAnsi="Calibri" w:eastAsia="Calibri"/>
                <w:sz w:val="16"/>
              </w:rPr>
              <w:t xml:space="preserve">National Communications Authority — </w:t>
            </w:r>
            <w:hyperlink r:id="rId14">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[4]</w:t>
            </w:r>
          </w:p>
        </w:tc>
        <w:tc>
          <w:tcPr>
            <w:tcW w:type="dxa" w:w="4640"/>
            <w:tcMar>
              <w:top w:w="60" w:type="dxa"/>
              <w:start w:w="90" w:type="dxa"/>
              <w:bottom w:w="60" w:type="dxa"/>
              <w:end w:w="90" w:type="dxa"/>
            </w:tcMar>
          </w:tcPr>
          <w:p>
            <w:pPr>
              <w:spacing w:after="0"/>
            </w:pPr>
            <w:r>
              <w:rPr>
                <w:rFonts w:ascii="Calibri" w:hAnsi="Calibri" w:eastAsia="Calibri"/>
                <w:sz w:val="16"/>
              </w:rPr>
              <w:t>Schedule of Penalties, Gazette Notice of 20 April 2015</w:t>
            </w:r>
          </w:p>
        </w:tc>
        <w:tc>
          <w:tcPr>
            <w:tcW w:type="dxa" w:w="4100"/>
            <w:tcMar>
              <w:top w:w="60" w:type="dxa"/>
              <w:start w:w="90" w:type="dxa"/>
              <w:bottom w:w="60" w:type="dxa"/>
              <w:end w:w="90" w:type="dxa"/>
            </w:tcMar>
          </w:tcPr>
          <w:p>
            <w:pPr>
              <w:spacing w:after="0"/>
            </w:pPr>
            <w:r>
              <w:rPr>
                <w:rFonts w:ascii="Calibri" w:hAnsi="Calibri" w:eastAsia="Calibri"/>
                <w:sz w:val="16"/>
              </w:rPr>
              <w:t xml:space="preserve">National Communications Authority — </w:t>
            </w:r>
            <w:hyperlink r:id="rId15">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[5]</w:t>
            </w:r>
          </w:p>
        </w:tc>
        <w:tc>
          <w:tcPr>
            <w:tcW w:type="dxa" w:w="4640"/>
            <w:tcMar>
              <w:top w:w="60" w:type="dxa"/>
              <w:start w:w="90" w:type="dxa"/>
              <w:bottom w:w="60" w:type="dxa"/>
              <w:end w:w="90" w:type="dxa"/>
            </w:tcMar>
          </w:tcPr>
          <w:p>
            <w:pPr>
              <w:spacing w:after="0"/>
            </w:pPr>
            <w:r>
              <w:rPr>
                <w:rFonts w:ascii="Calibri" w:hAnsi="Calibri" w:eastAsia="Calibri"/>
                <w:sz w:val="16"/>
              </w:rPr>
              <w:t>Electronic Transactions Act, 2008 (Act 772)</w:t>
            </w:r>
          </w:p>
        </w:tc>
        <w:tc>
          <w:tcPr>
            <w:tcW w:type="dxa" w:w="4100"/>
            <w:tcMar>
              <w:top w:w="60" w:type="dxa"/>
              <w:start w:w="90" w:type="dxa"/>
              <w:bottom w:w="60" w:type="dxa"/>
              <w:end w:w="90" w:type="dxa"/>
            </w:tcMar>
          </w:tcPr>
          <w:p>
            <w:pPr>
              <w:spacing w:after="0"/>
            </w:pPr>
            <w:r>
              <w:rPr>
                <w:rFonts w:ascii="Calibri" w:hAnsi="Calibri" w:eastAsia="Calibri"/>
                <w:sz w:val="16"/>
              </w:rPr>
              <w:t xml:space="preserve">National Communications Authority — </w:t>
            </w:r>
            <w:hyperlink r:id="rId16">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[6]</w:t>
            </w:r>
          </w:p>
        </w:tc>
        <w:tc>
          <w:tcPr>
            <w:tcW w:type="dxa" w:w="4640"/>
            <w:tcMar>
              <w:top w:w="60" w:type="dxa"/>
              <w:start w:w="90" w:type="dxa"/>
              <w:bottom w:w="60" w:type="dxa"/>
              <w:end w:w="90" w:type="dxa"/>
            </w:tcMar>
          </w:tcPr>
          <w:p>
            <w:pPr>
              <w:spacing w:after="0"/>
            </w:pPr>
            <w:r>
              <w:rPr>
                <w:rFonts w:ascii="Calibri" w:hAnsi="Calibri" w:eastAsia="Calibri"/>
                <w:sz w:val="16"/>
              </w:rPr>
              <w:t>Data Protection Act, 2012 (Act 843)</w:t>
            </w:r>
          </w:p>
        </w:tc>
        <w:tc>
          <w:tcPr>
            <w:tcW w:type="dxa" w:w="4100"/>
            <w:tcMar>
              <w:top w:w="60" w:type="dxa"/>
              <w:start w:w="90" w:type="dxa"/>
              <w:bottom w:w="60" w:type="dxa"/>
              <w:end w:w="90" w:type="dxa"/>
            </w:tcMar>
          </w:tcPr>
          <w:p>
            <w:pPr>
              <w:spacing w:after="0"/>
            </w:pPr>
            <w:r>
              <w:rPr>
                <w:rFonts w:ascii="Calibri" w:hAnsi="Calibri" w:eastAsia="Calibri"/>
                <w:sz w:val="16"/>
              </w:rPr>
              <w:t xml:space="preserve">Data Protection Commission — </w:t>
            </w:r>
            <w:hyperlink r:id="rId17">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[7]</w:t>
            </w:r>
          </w:p>
        </w:tc>
        <w:tc>
          <w:tcPr>
            <w:tcW w:type="dxa" w:w="4640"/>
            <w:tcMar>
              <w:top w:w="60" w:type="dxa"/>
              <w:start w:w="90" w:type="dxa"/>
              <w:bottom w:w="60" w:type="dxa"/>
              <w:end w:w="90" w:type="dxa"/>
            </w:tcMar>
          </w:tcPr>
          <w:p>
            <w:pPr>
              <w:spacing w:after="0"/>
            </w:pPr>
            <w:r>
              <w:rPr>
                <w:rFonts w:ascii="Calibri" w:hAnsi="Calibri" w:eastAsia="Calibri"/>
                <w:sz w:val="16"/>
              </w:rPr>
              <w:t>Cybersecurity Act, 2020 (Act 1038)</w:t>
            </w:r>
          </w:p>
        </w:tc>
        <w:tc>
          <w:tcPr>
            <w:tcW w:type="dxa" w:w="4100"/>
            <w:tcMar>
              <w:top w:w="60" w:type="dxa"/>
              <w:start w:w="90" w:type="dxa"/>
              <w:bottom w:w="60" w:type="dxa"/>
              <w:end w:w="90" w:type="dxa"/>
            </w:tcMar>
          </w:tcPr>
          <w:p>
            <w:pPr>
              <w:spacing w:after="0"/>
            </w:pPr>
            <w:r>
              <w:rPr>
                <w:rFonts w:ascii="Calibri" w:hAnsi="Calibri" w:eastAsia="Calibri"/>
                <w:sz w:val="16"/>
              </w:rPr>
              <w:t xml:space="preserve">Cyber Security Authority — </w:t>
            </w:r>
            <w:hyperlink r:id="rId18">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[8]</w:t>
            </w:r>
          </w:p>
        </w:tc>
        <w:tc>
          <w:tcPr>
            <w:tcW w:type="dxa" w:w="4640"/>
            <w:tcMar>
              <w:top w:w="60" w:type="dxa"/>
              <w:start w:w="90" w:type="dxa"/>
              <w:bottom w:w="60" w:type="dxa"/>
              <w:end w:w="90" w:type="dxa"/>
            </w:tcMar>
          </w:tcPr>
          <w:p>
            <w:pPr>
              <w:spacing w:after="0"/>
            </w:pPr>
            <w:r>
              <w:rPr>
                <w:rFonts w:ascii="Calibri" w:hAnsi="Calibri" w:eastAsia="Calibri"/>
                <w:sz w:val="16"/>
              </w:rPr>
              <w:t>Public Records and Archives Administration Department Act, 1997 (Act 535)</w:t>
            </w:r>
          </w:p>
        </w:tc>
        <w:tc>
          <w:tcPr>
            <w:tcW w:type="dxa" w:w="4100"/>
            <w:tcMar>
              <w:top w:w="60" w:type="dxa"/>
              <w:start w:w="90" w:type="dxa"/>
              <w:bottom w:w="60" w:type="dxa"/>
              <w:end w:w="90" w:type="dxa"/>
            </w:tcMar>
          </w:tcPr>
          <w:p>
            <w:pPr>
              <w:spacing w:after="0"/>
            </w:pPr>
            <w:r>
              <w:rPr>
                <w:rFonts w:ascii="Calibri" w:hAnsi="Calibri" w:eastAsia="Calibri"/>
                <w:sz w:val="16"/>
              </w:rPr>
              <w:t xml:space="preserve">GhaLII — </w:t>
            </w:r>
            <w:hyperlink r:id="rId19">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[9]</w:t>
            </w:r>
          </w:p>
        </w:tc>
        <w:tc>
          <w:tcPr>
            <w:tcW w:type="dxa" w:w="4640"/>
            <w:tcMar>
              <w:top w:w="60" w:type="dxa"/>
              <w:start w:w="90" w:type="dxa"/>
              <w:bottom w:w="60" w:type="dxa"/>
              <w:end w:w="90" w:type="dxa"/>
            </w:tcMar>
          </w:tcPr>
          <w:p>
            <w:pPr>
              <w:spacing w:after="0"/>
            </w:pPr>
            <w:r>
              <w:rPr>
                <w:rFonts w:ascii="Calibri" w:hAnsi="Calibri" w:eastAsia="Calibri"/>
                <w:sz w:val="16"/>
              </w:rPr>
              <w:t>Right to Information Act, 2019 (Act 989)</w:t>
            </w:r>
          </w:p>
        </w:tc>
        <w:tc>
          <w:tcPr>
            <w:tcW w:type="dxa" w:w="4100"/>
            <w:tcMar>
              <w:top w:w="60" w:type="dxa"/>
              <w:start w:w="90" w:type="dxa"/>
              <w:bottom w:w="60" w:type="dxa"/>
              <w:end w:w="90" w:type="dxa"/>
            </w:tcMar>
          </w:tcPr>
          <w:p>
            <w:pPr>
              <w:spacing w:after="0"/>
            </w:pPr>
            <w:r>
              <w:rPr>
                <w:rFonts w:ascii="Calibri" w:hAnsi="Calibri" w:eastAsia="Calibri"/>
                <w:sz w:val="16"/>
              </w:rPr>
              <w:t xml:space="preserve">Parliament of Ghana — </w:t>
            </w:r>
            <w:hyperlink r:id="rId20">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[10]</w:t>
            </w:r>
          </w:p>
        </w:tc>
        <w:tc>
          <w:tcPr>
            <w:tcW w:type="dxa" w:w="4640"/>
            <w:tcMar>
              <w:top w:w="60" w:type="dxa"/>
              <w:start w:w="90" w:type="dxa"/>
              <w:bottom w:w="60" w:type="dxa"/>
              <w:end w:w="90" w:type="dxa"/>
            </w:tcMar>
          </w:tcPr>
          <w:p>
            <w:pPr>
              <w:spacing w:after="0"/>
            </w:pPr>
            <w:r>
              <w:rPr>
                <w:rFonts w:ascii="Calibri" w:hAnsi="Calibri" w:eastAsia="Calibri"/>
                <w:sz w:val="16"/>
              </w:rPr>
              <w:t>Privacy Policy</w:t>
            </w:r>
          </w:p>
        </w:tc>
        <w:tc>
          <w:tcPr>
            <w:tcW w:type="dxa" w:w="4100"/>
            <w:tcMar>
              <w:top w:w="60" w:type="dxa"/>
              <w:start w:w="90" w:type="dxa"/>
              <w:bottom w:w="60" w:type="dxa"/>
              <w:end w:w="90" w:type="dxa"/>
            </w:tcMar>
          </w:tcPr>
          <w:p>
            <w:pPr>
              <w:spacing w:after="0"/>
            </w:pPr>
            <w:r>
              <w:rPr>
                <w:rFonts w:ascii="Calibri" w:hAnsi="Calibri" w:eastAsia="Calibri"/>
                <w:sz w:val="16"/>
              </w:rPr>
              <w:t xml:space="preserve">National Communications Authority — </w:t>
            </w:r>
            <w:hyperlink r:id="rId21">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[11]</w:t>
            </w:r>
          </w:p>
        </w:tc>
        <w:tc>
          <w:tcPr>
            <w:tcW w:type="dxa" w:w="4640"/>
            <w:tcMar>
              <w:top w:w="60" w:type="dxa"/>
              <w:start w:w="90" w:type="dxa"/>
              <w:bottom w:w="60" w:type="dxa"/>
              <w:end w:w="90" w:type="dxa"/>
            </w:tcMar>
          </w:tcPr>
          <w:p>
            <w:pPr>
              <w:spacing w:after="0"/>
            </w:pPr>
            <w:r>
              <w:rPr>
                <w:rFonts w:ascii="Calibri" w:hAnsi="Calibri" w:eastAsia="Calibri"/>
                <w:sz w:val="16"/>
              </w:rPr>
              <w:t>Outlook mail API overview</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2">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[12]</w:t>
            </w:r>
          </w:p>
        </w:tc>
        <w:tc>
          <w:tcPr>
            <w:tcW w:type="dxa" w:w="4640"/>
            <w:tcMar>
              <w:top w:w="60" w:type="dxa"/>
              <w:start w:w="90" w:type="dxa"/>
              <w:bottom w:w="60" w:type="dxa"/>
              <w:end w:w="90" w:type="dxa"/>
            </w:tcMar>
          </w:tcPr>
          <w:p>
            <w:pPr>
              <w:spacing w:after="0"/>
            </w:pPr>
            <w:r>
              <w:rPr>
                <w:rFonts w:ascii="Calibri" w:hAnsi="Calibri" w:eastAsia="Calibri"/>
                <w:sz w:val="16"/>
              </w:rPr>
              <w:t>user: sendMail</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3">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[13]</w:t>
            </w:r>
          </w:p>
        </w:tc>
        <w:tc>
          <w:tcPr>
            <w:tcW w:type="dxa" w:w="4640"/>
            <w:tcMar>
              <w:top w:w="60" w:type="dxa"/>
              <w:start w:w="90" w:type="dxa"/>
              <w:bottom w:w="60" w:type="dxa"/>
              <w:end w:w="90" w:type="dxa"/>
            </w:tcMar>
          </w:tcPr>
          <w:p>
            <w:pPr>
              <w:spacing w:after="0"/>
            </w:pPr>
            <w:r>
              <w:rPr>
                <w:rFonts w:ascii="Calibri" w:hAnsi="Calibri" w:eastAsia="Calibri"/>
                <w:sz w:val="16"/>
              </w:rPr>
              <w:t>Send Outlook messages from another user</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4">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[14]</w:t>
            </w:r>
          </w:p>
        </w:tc>
        <w:tc>
          <w:tcPr>
            <w:tcW w:type="dxa" w:w="4640"/>
            <w:tcMar>
              <w:top w:w="60" w:type="dxa"/>
              <w:start w:w="90" w:type="dxa"/>
              <w:bottom w:w="60" w:type="dxa"/>
              <w:end w:w="90" w:type="dxa"/>
            </w:tcMar>
          </w:tcPr>
          <w:p>
            <w:pPr>
              <w:spacing w:after="0"/>
            </w:pPr>
            <w:r>
              <w:rPr>
                <w:rFonts w:ascii="Calibri" w:hAnsi="Calibri" w:eastAsia="Calibri"/>
                <w:sz w:val="16"/>
              </w:rPr>
              <w:t>Microsoft Graph permissions reference</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5">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[15]</w:t>
            </w:r>
          </w:p>
        </w:tc>
        <w:tc>
          <w:tcPr>
            <w:tcW w:type="dxa" w:w="4640"/>
            <w:tcMar>
              <w:top w:w="60" w:type="dxa"/>
              <w:start w:w="90" w:type="dxa"/>
              <w:bottom w:w="60" w:type="dxa"/>
              <w:end w:w="90" w:type="dxa"/>
            </w:tcMar>
          </w:tcPr>
          <w:p>
            <w:pPr>
              <w:spacing w:after="0"/>
            </w:pPr>
            <w:r>
              <w:rPr>
                <w:rFonts w:ascii="Calibri" w:hAnsi="Calibri" w:eastAsia="Calibri"/>
                <w:sz w:val="16"/>
              </w:rPr>
              <w:t>Application RBAC for Exchange Online</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6">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[16]</w:t>
            </w:r>
          </w:p>
        </w:tc>
        <w:tc>
          <w:tcPr>
            <w:tcW w:type="dxa" w:w="4640"/>
            <w:tcMar>
              <w:top w:w="60" w:type="dxa"/>
              <w:start w:w="90" w:type="dxa"/>
              <w:bottom w:w="60" w:type="dxa"/>
              <w:end w:w="90" w:type="dxa"/>
            </w:tcMar>
          </w:tcPr>
          <w:p>
            <w:pPr>
              <w:spacing w:after="0"/>
            </w:pPr>
            <w:r>
              <w:rPr>
                <w:rFonts w:ascii="Calibri" w:hAnsi="Calibri" w:eastAsia="Calibri"/>
                <w:sz w:val="16"/>
              </w:rPr>
              <w:t>Outlook change notifications overview</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7">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[17]</w:t>
            </w:r>
          </w:p>
        </w:tc>
        <w:tc>
          <w:tcPr>
            <w:tcW w:type="dxa" w:w="4640"/>
            <w:tcMar>
              <w:top w:w="60" w:type="dxa"/>
              <w:start w:w="90" w:type="dxa"/>
              <w:bottom w:w="60" w:type="dxa"/>
              <w:end w:w="90" w:type="dxa"/>
            </w:tcMar>
          </w:tcPr>
          <w:p>
            <w:pPr>
              <w:spacing w:after="0"/>
            </w:pPr>
            <w:r>
              <w:rPr>
                <w:rFonts w:ascii="Calibri" w:hAnsi="Calibri" w:eastAsia="Calibri"/>
                <w:sz w:val="16"/>
              </w:rPr>
              <w:t>Microsoft Graph subscription resource type</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8">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[18]</w:t>
            </w:r>
          </w:p>
        </w:tc>
        <w:tc>
          <w:tcPr>
            <w:tcW w:type="dxa" w:w="4640"/>
            <w:tcMar>
              <w:top w:w="60" w:type="dxa"/>
              <w:start w:w="90" w:type="dxa"/>
              <w:bottom w:w="60" w:type="dxa"/>
              <w:end w:w="90" w:type="dxa"/>
            </w:tcMar>
          </w:tcPr>
          <w:p>
            <w:pPr>
              <w:spacing w:after="0"/>
            </w:pPr>
            <w:r>
              <w:rPr>
                <w:rFonts w:ascii="Calibri" w:hAnsi="Calibri" w:eastAsia="Calibri"/>
                <w:sz w:val="16"/>
              </w:rPr>
              <w:t>Receive change notifications through webhooks</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29">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[19]</w:t>
            </w:r>
          </w:p>
        </w:tc>
        <w:tc>
          <w:tcPr>
            <w:tcW w:type="dxa" w:w="4640"/>
            <w:tcMar>
              <w:top w:w="60" w:type="dxa"/>
              <w:start w:w="90" w:type="dxa"/>
              <w:bottom w:w="60" w:type="dxa"/>
              <w:end w:w="90" w:type="dxa"/>
            </w:tcMar>
          </w:tcPr>
          <w:p>
            <w:pPr>
              <w:spacing w:after="0"/>
            </w:pPr>
            <w:r>
              <w:rPr>
                <w:rFonts w:ascii="Calibri" w:hAnsi="Calibri" w:eastAsia="Calibri"/>
                <w:sz w:val="16"/>
              </w:rPr>
              <w:t>Get incremental changes to messages in a folder</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0">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[20]</w:t>
            </w:r>
          </w:p>
        </w:tc>
        <w:tc>
          <w:tcPr>
            <w:tcW w:type="dxa" w:w="4640"/>
            <w:tcMar>
              <w:top w:w="60" w:type="dxa"/>
              <w:start w:w="90" w:type="dxa"/>
              <w:bottom w:w="60" w:type="dxa"/>
              <w:end w:w="90" w:type="dxa"/>
            </w:tcMar>
          </w:tcPr>
          <w:p>
            <w:pPr>
              <w:spacing w:after="0"/>
            </w:pPr>
            <w:r>
              <w:rPr>
                <w:rFonts w:ascii="Calibri" w:hAnsi="Calibri" w:eastAsia="Calibri"/>
                <w:sz w:val="16"/>
              </w:rPr>
              <w:t>Obtain immutable identifiers for Outlook resources</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1">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[21]</w:t>
            </w:r>
          </w:p>
        </w:tc>
        <w:tc>
          <w:tcPr>
            <w:tcW w:type="dxa" w:w="4640"/>
            <w:tcMar>
              <w:top w:w="60" w:type="dxa"/>
              <w:start w:w="90" w:type="dxa"/>
              <w:bottom w:w="60" w:type="dxa"/>
              <w:end w:w="90" w:type="dxa"/>
            </w:tcMar>
          </w:tcPr>
          <w:p>
            <w:pPr>
              <w:spacing w:after="0"/>
            </w:pPr>
            <w:r>
              <w:rPr>
                <w:rFonts w:ascii="Calibri" w:hAnsi="Calibri" w:eastAsia="Calibri"/>
                <w:sz w:val="16"/>
              </w:rPr>
              <w:t>Learn about retention for Exchange</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2">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[22]</w:t>
            </w:r>
          </w:p>
        </w:tc>
        <w:tc>
          <w:tcPr>
            <w:tcW w:type="dxa" w:w="4640"/>
            <w:tcMar>
              <w:top w:w="60" w:type="dxa"/>
              <w:start w:w="90" w:type="dxa"/>
              <w:bottom w:w="60" w:type="dxa"/>
              <w:end w:w="90" w:type="dxa"/>
            </w:tcMar>
          </w:tcPr>
          <w:p>
            <w:pPr>
              <w:spacing w:after="0"/>
            </w:pPr>
            <w:r>
              <w:rPr>
                <w:rFonts w:ascii="Calibri" w:hAnsi="Calibri" w:eastAsia="Calibri"/>
                <w:sz w:val="16"/>
              </w:rPr>
              <w:t>Audit log activities</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3">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[23]</w:t>
            </w:r>
          </w:p>
        </w:tc>
        <w:tc>
          <w:tcPr>
            <w:tcW w:type="dxa" w:w="4640"/>
            <w:tcMar>
              <w:top w:w="60" w:type="dxa"/>
              <w:start w:w="90" w:type="dxa"/>
              <w:bottom w:w="60" w:type="dxa"/>
              <w:end w:w="90" w:type="dxa"/>
            </w:tcMar>
          </w:tcPr>
          <w:p>
            <w:pPr>
              <w:spacing w:after="0"/>
            </w:pPr>
            <w:r>
              <w:rPr>
                <w:rFonts w:ascii="Calibri" w:hAnsi="Calibri" w:eastAsia="Calibri"/>
                <w:sz w:val="16"/>
              </w:rPr>
              <w:t>Automatically save sent items in the delegator's mailbox</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4">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[24]</w:t>
            </w:r>
          </w:p>
        </w:tc>
        <w:tc>
          <w:tcPr>
            <w:tcW w:type="dxa" w:w="4640"/>
            <w:tcMar>
              <w:top w:w="60" w:type="dxa"/>
              <w:start w:w="90" w:type="dxa"/>
              <w:bottom w:w="60" w:type="dxa"/>
              <w:end w:w="90" w:type="dxa"/>
            </w:tcMar>
          </w:tcPr>
          <w:p>
            <w:pPr>
              <w:spacing w:after="0"/>
            </w:pPr>
            <w:r>
              <w:rPr>
                <w:rFonts w:ascii="Calibri" w:hAnsi="Calibri" w:eastAsia="Calibri"/>
                <w:sz w:val="16"/>
              </w:rPr>
              <w:t>Mail flow rules in Exchange Online</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5">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[25]</w:t>
            </w:r>
          </w:p>
        </w:tc>
        <w:tc>
          <w:tcPr>
            <w:tcW w:type="dxa" w:w="4640"/>
            <w:tcMar>
              <w:top w:w="60" w:type="dxa"/>
              <w:start w:w="90" w:type="dxa"/>
              <w:bottom w:w="60" w:type="dxa"/>
              <w:end w:w="90" w:type="dxa"/>
            </w:tcMar>
          </w:tcPr>
          <w:p>
            <w:pPr>
              <w:spacing w:after="0"/>
            </w:pPr>
            <w:r>
              <w:rPr>
                <w:rFonts w:ascii="Calibri" w:hAnsi="Calibri" w:eastAsia="Calibri"/>
                <w:sz w:val="16"/>
              </w:rPr>
              <w:t>Journaling in Exchange Online</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6">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[26]</w:t>
            </w:r>
          </w:p>
        </w:tc>
        <w:tc>
          <w:tcPr>
            <w:tcW w:type="dxa" w:w="4640"/>
            <w:tcMar>
              <w:top w:w="60" w:type="dxa"/>
              <w:start w:w="90" w:type="dxa"/>
              <w:bottom w:w="60" w:type="dxa"/>
              <w:end w:w="90" w:type="dxa"/>
            </w:tcMar>
          </w:tcPr>
          <w:p>
            <w:pPr>
              <w:spacing w:after="0"/>
            </w:pPr>
            <w:r>
              <w:rPr>
                <w:rFonts w:ascii="Calibri" w:hAnsi="Calibri" w:eastAsia="Calibri"/>
                <w:sz w:val="16"/>
              </w:rPr>
              <w:t>Configure DKIM for custom domains</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7">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[27]</w:t>
            </w:r>
          </w:p>
        </w:tc>
        <w:tc>
          <w:tcPr>
            <w:tcW w:type="dxa" w:w="4640"/>
            <w:tcMar>
              <w:top w:w="60" w:type="dxa"/>
              <w:start w:w="90" w:type="dxa"/>
              <w:bottom w:w="60" w:type="dxa"/>
              <w:end w:w="90" w:type="dxa"/>
            </w:tcMar>
          </w:tcPr>
          <w:p>
            <w:pPr>
              <w:spacing w:after="0"/>
            </w:pPr>
            <w:r>
              <w:rPr>
                <w:rFonts w:ascii="Calibri" w:hAnsi="Calibri" w:eastAsia="Calibri"/>
                <w:sz w:val="16"/>
              </w:rPr>
              <w:t>Configure DMARC for inbound and outbound mail</w:t>
            </w:r>
          </w:p>
        </w:tc>
        <w:tc>
          <w:tcPr>
            <w:tcW w:type="dxa" w:w="4100"/>
            <w:tcMar>
              <w:top w:w="60" w:type="dxa"/>
              <w:start w:w="90" w:type="dxa"/>
              <w:bottom w:w="60" w:type="dxa"/>
              <w:end w:w="90" w:type="dxa"/>
            </w:tcMar>
          </w:tcPr>
          <w:p>
            <w:pPr>
              <w:spacing w:after="0"/>
            </w:pPr>
            <w:r>
              <w:rPr>
                <w:rFonts w:ascii="Calibri" w:hAnsi="Calibri" w:eastAsia="Calibri"/>
                <w:sz w:val="16"/>
              </w:rPr>
              <w:t xml:space="preserve">Microsoft Learn — </w:t>
            </w:r>
            <w:hyperlink r:id="rId38">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[28]</w:t>
            </w:r>
          </w:p>
        </w:tc>
        <w:tc>
          <w:tcPr>
            <w:tcW w:type="dxa" w:w="4640"/>
            <w:tcMar>
              <w:top w:w="60" w:type="dxa"/>
              <w:start w:w="90" w:type="dxa"/>
              <w:bottom w:w="60" w:type="dxa"/>
              <w:end w:w="90" w:type="dxa"/>
            </w:tcMar>
          </w:tcPr>
          <w:p>
            <w:pPr>
              <w:spacing w:after="0"/>
            </w:pPr>
            <w:r>
              <w:rPr>
                <w:rFonts w:ascii="Calibri" w:hAnsi="Calibri" w:eastAsia="Calibri"/>
                <w:sz w:val="16"/>
              </w:rPr>
              <w:t>Artificial Intelligence Risk Management Framework</w:t>
            </w:r>
          </w:p>
        </w:tc>
        <w:tc>
          <w:tcPr>
            <w:tcW w:type="dxa" w:w="4100"/>
            <w:tcMar>
              <w:top w:w="60" w:type="dxa"/>
              <w:start w:w="90" w:type="dxa"/>
              <w:bottom w:w="60" w:type="dxa"/>
              <w:end w:w="90" w:type="dxa"/>
            </w:tcMar>
          </w:tcPr>
          <w:p>
            <w:pPr>
              <w:spacing w:after="0"/>
            </w:pPr>
            <w:r>
              <w:rPr>
                <w:rFonts w:ascii="Calibri" w:hAnsi="Calibri" w:eastAsia="Calibri"/>
                <w:sz w:val="16"/>
              </w:rPr>
              <w:t xml:space="preserve">NIST — </w:t>
            </w:r>
            <w:hyperlink r:id="rId39">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[29]</w:t>
            </w:r>
          </w:p>
        </w:tc>
        <w:tc>
          <w:tcPr>
            <w:tcW w:type="dxa" w:w="4640"/>
            <w:tcMar>
              <w:top w:w="60" w:type="dxa"/>
              <w:start w:w="90" w:type="dxa"/>
              <w:bottom w:w="60" w:type="dxa"/>
              <w:end w:w="90" w:type="dxa"/>
            </w:tcMar>
          </w:tcPr>
          <w:p>
            <w:pPr>
              <w:spacing w:after="0"/>
            </w:pPr>
            <w:r>
              <w:rPr>
                <w:rFonts w:ascii="Calibri" w:hAnsi="Calibri" w:eastAsia="Calibri"/>
                <w:sz w:val="16"/>
              </w:rPr>
              <w:t>Artificial Intelligence Risk Management Framework: Generative AI Profile (NIST AI 600-1)</w:t>
            </w:r>
          </w:p>
        </w:tc>
        <w:tc>
          <w:tcPr>
            <w:tcW w:type="dxa" w:w="4100"/>
            <w:tcMar>
              <w:top w:w="60" w:type="dxa"/>
              <w:start w:w="90" w:type="dxa"/>
              <w:bottom w:w="60" w:type="dxa"/>
              <w:end w:w="90" w:type="dxa"/>
            </w:tcMar>
          </w:tcPr>
          <w:p>
            <w:pPr>
              <w:spacing w:after="0"/>
            </w:pPr>
            <w:r>
              <w:rPr>
                <w:rFonts w:ascii="Calibri" w:hAnsi="Calibri" w:eastAsia="Calibri"/>
                <w:sz w:val="16"/>
              </w:rPr>
              <w:t xml:space="preserve">NIST — </w:t>
            </w:r>
            <w:hyperlink r:id="rId40">
              <w:r>
                <w:rPr>
                  <w:rFonts w:ascii="Calibri" w:hAnsi="Calibri"/>
                  <w:color w:val="2E74B5"/>
                  <w:sz w:val="20"/>
                  <w:u w:val="single"/>
                </w:rPr>
                <w:t>open source</w:t>
              </w:r>
            </w:hyperlink>
          </w:p>
        </w:tc>
      </w:tr>
      <w:tr>
        <w:trPr>
          <w:cantSplit/>
        </w:trPr>
        <w:tc>
          <w:tcPr>
            <w:tcW w:type="dxa" w:w="620"/>
            <w:tcMar>
              <w:top w:w="60" w:type="dxa"/>
              <w:start w:w="90" w:type="dxa"/>
              <w:bottom w:w="60" w:type="dxa"/>
              <w:end w:w="90" w:type="dxa"/>
            </w:tcMar>
          </w:tcPr>
          <w:p>
            <w:pPr>
              <w:spacing w:after="0"/>
            </w:pPr>
            <w:r>
              <w:rPr>
                <w:rFonts w:ascii="Calibri" w:hAnsi="Calibri" w:eastAsia="Calibri"/>
                <w:b/>
                <w:color w:val="163A5F"/>
                <w:sz w:val="16"/>
              </w:rPr>
              <w:t>[30]</w:t>
            </w:r>
          </w:p>
        </w:tc>
        <w:tc>
          <w:tcPr>
            <w:tcW w:type="dxa" w:w="4640"/>
            <w:tcMar>
              <w:top w:w="60" w:type="dxa"/>
              <w:start w:w="90" w:type="dxa"/>
              <w:bottom w:w="60" w:type="dxa"/>
              <w:end w:w="90" w:type="dxa"/>
            </w:tcMar>
          </w:tcPr>
          <w:p>
            <w:pPr>
              <w:spacing w:after="0"/>
            </w:pPr>
            <w:r>
              <w:rPr>
                <w:rFonts w:ascii="Calibri" w:hAnsi="Calibri" w:eastAsia="Calibri"/>
                <w:sz w:val="16"/>
              </w:rPr>
              <w:t>LLM Prompt Injection Prevention Cheat Sheet</w:t>
            </w:r>
          </w:p>
        </w:tc>
        <w:tc>
          <w:tcPr>
            <w:tcW w:type="dxa" w:w="4100"/>
            <w:tcMar>
              <w:top w:w="60" w:type="dxa"/>
              <w:start w:w="90" w:type="dxa"/>
              <w:bottom w:w="60" w:type="dxa"/>
              <w:end w:w="90" w:type="dxa"/>
            </w:tcMar>
          </w:tcPr>
          <w:p>
            <w:pPr>
              <w:spacing w:after="0"/>
            </w:pPr>
            <w:r>
              <w:rPr>
                <w:rFonts w:ascii="Calibri" w:hAnsi="Calibri" w:eastAsia="Calibri"/>
                <w:sz w:val="16"/>
              </w:rPr>
              <w:t xml:space="preserve">OWASP Foundation — </w:t>
            </w:r>
            <w:hyperlink r:id="rId41">
              <w:r>
                <w:rPr>
                  <w:rFonts w:ascii="Calibri" w:hAnsi="Calibri"/>
                  <w:color w:val="2E74B5"/>
                  <w:sz w:val="20"/>
                  <w:u w:val="single"/>
                </w:rPr>
                <w:t>open source</w:t>
              </w:r>
            </w:hyperlink>
          </w:p>
        </w:tc>
      </w:tr>
    </w:tbl>
    <w:p>
      <w:pPr>
        <w:pStyle w:val="Heading1"/>
      </w:pPr>
      <w:r>
        <w:t>Appendix D — Research limitations</w:t>
      </w:r>
    </w:p>
    <w:p>
      <w:pPr>
        <w:pStyle w:val="ListBullet"/>
      </w:pPr>
      <w:r>
        <w:t>This was a code/document review of the supplied workspace, not a live inspection of the NCA Microsoft 365 tenant, DNS administration, security tooling, records schedule or provider contracts.</w:t>
      </w:r>
    </w:p>
    <w:p>
      <w:pPr>
        <w:pStyle w:val="ListBullet"/>
      </w:pPr>
      <w:r>
        <w:t>Public DNS results are point-in-time and do not prove every internal or tenant configuration.</w:t>
      </w:r>
    </w:p>
    <w:p>
      <w:pPr>
        <w:pStyle w:val="ListBullet"/>
      </w:pPr>
      <w:r>
        <w:t>The report does not determine that a particular provider has breached an obligation or that a particular penalty applies.</w:t>
      </w:r>
    </w:p>
    <w:p>
      <w:pPr>
        <w:pStyle w:val="ListBullet"/>
      </w:pPr>
      <w:r>
        <w:t>The project repository may contain uncommitted work beyond the baseline described in its planning documents; findings reflect the files reviewed on the report date.</w:t>
      </w:r>
    </w:p>
    <w:p>
      <w:pPr>
        <w:pStyle w:val="ListBullet"/>
      </w:pPr>
      <w:r>
        <w:t>Licensing, data residency and feature availability for Microsoft 365/Purview/Defender must be confirmed against the NCA tenant and current Microsoft terms.</w:t>
      </w:r>
    </w:p>
    <w:sectPr w:rsidR="00FC693F" w:rsidRPr="0006063C" w:rsidSect="00034616">
      <w:headerReference w:type="default" r:id="rId9"/>
      <w:footerReference w:type="default" r:id="rId10"/>
      <w:pgSz w:w="12240" w:h="15840"/>
      <w:pgMar w:top="1181" w:right="1440" w:bottom="1080" w:left="1440" w:header="547"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667085"/>
        <w:sz w:val="17"/>
      </w:rPr>
      <w:t xml:space="preserve">Research report  •  30 July 2026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5B9BD5"/>
      </w:pBdr>
    </w:pPr>
    <w:r>
      <w:rPr>
        <w:rFonts w:ascii="Calibri" w:hAnsi="Calibri" w:eastAsia="Calibri"/>
        <w:b/>
        <w:color w:val="667085"/>
        <w:sz w:val="17"/>
      </w:rPr>
      <w:t>NCA  |  EMAIL INTEGRATION FOR COMPLIANCE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color w:val="1D293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eastAsia="Calibri"/>
      <w:b/>
      <w:bCs/>
      <w:color w:val="16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libri" w:hAnsi="Calibri" w:eastAsia="Calibri"/>
      <w:b/>
      <w:color w:val="163A5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Calibri" w:hAnsi="Calibri" w:eastAsia="Calibri"/>
      <w:b w:val="0"/>
      <w:i/>
      <w:iCs/>
      <w:color w:val="667085"/>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59" w:lineRule="auto"/>
      <w:ind w:left="720" w:hanging="360"/>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59" w:lineRule="auto"/>
      <w:ind w:left="720" w:hanging="360"/>
      <w:contextualSpacing/>
    </w:pPr>
    <w:rPr>
      <w:rFonts w:ascii="Calibri" w:hAnsi="Calibri" w:eastAsia="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nca.org.gh/wp-content/uploads/2020/09/Ghana-National-Communications-Authority-Act-769.pdf" TargetMode="External"/><Relationship Id="rId13" Type="http://schemas.openxmlformats.org/officeDocument/2006/relationships/hyperlink" Target="https://nca.org.gh/wp-content/uploads/2023/04/NCA-Electronic-Communications-Act-775.pdf" TargetMode="External"/><Relationship Id="rId14" Type="http://schemas.openxmlformats.org/officeDocument/2006/relationships/hyperlink" Target="https://nca.org.gh/wp-content/uploads/2020/09/Electronic-Communications-Regulations-LI1993.pdf" TargetMode="External"/><Relationship Id="rId15" Type="http://schemas.openxmlformats.org/officeDocument/2006/relationships/hyperlink" Target="https://nca.org.gh/wp-content/uploads/2020/09/Schedule-of-Penalties-Amendment-Gazette-Notice-May-2016.pdf" TargetMode="External"/><Relationship Id="rId16" Type="http://schemas.openxmlformats.org/officeDocument/2006/relationships/hyperlink" Target="https://nca.org.gh/wp-content/uploads/2023/03/Electronic_Transactions_Act_no_772_2008.pdf" TargetMode="External"/><Relationship Id="rId17" Type="http://schemas.openxmlformats.org/officeDocument/2006/relationships/hyperlink" Target="https://dataprotection.org.gh/wp-content/uploads/2025/05/Data-Protection-Act-2012-Act-843.pdf" TargetMode="External"/><Relationship Id="rId18" Type="http://schemas.openxmlformats.org/officeDocument/2006/relationships/hyperlink" Target="https://www.csa.gov.gh/resources/cybersecurity_Act_2020%28Act_1038%29.pdf" TargetMode="External"/><Relationship Id="rId19" Type="http://schemas.openxmlformats.org/officeDocument/2006/relationships/hyperlink" Target="https://ghalii.org/akn/gh/act/1997/535/eng%402007-05-24" TargetMode="External"/><Relationship Id="rId20" Type="http://schemas.openxmlformats.org/officeDocument/2006/relationships/hyperlink" Target="https://repository.parliament.gh/bitstream/handle/123456789/2142/RIGHT%20TO%20INFORMATION%20ACT%2C%202019%20%28ACT%20989%29.pdf?isAllowed=y&amp;sequence=1" TargetMode="External"/><Relationship Id="rId21" Type="http://schemas.openxmlformats.org/officeDocument/2006/relationships/hyperlink" Target="https://nca.org.gh/privacy-policy/" TargetMode="External"/><Relationship Id="rId22" Type="http://schemas.openxmlformats.org/officeDocument/2006/relationships/hyperlink" Target="https://learn.microsoft.com/en-us/graph/api/resources/mail-api-overview?view=graph-rest-1.0" TargetMode="External"/><Relationship Id="rId23" Type="http://schemas.openxmlformats.org/officeDocument/2006/relationships/hyperlink" Target="https://learn.microsoft.com/en-us/graph/api/user-sendmail?view=graph-rest-1.0" TargetMode="External"/><Relationship Id="rId24" Type="http://schemas.openxmlformats.org/officeDocument/2006/relationships/hyperlink" Target="https://learn.microsoft.com/en-us/graph/outlook-send-mail-from-other-user" TargetMode="External"/><Relationship Id="rId25" Type="http://schemas.openxmlformats.org/officeDocument/2006/relationships/hyperlink" Target="https://learn.microsoft.com/en-us/graph/permissions-reference" TargetMode="External"/><Relationship Id="rId26" Type="http://schemas.openxmlformats.org/officeDocument/2006/relationships/hyperlink" Target="https://learn.microsoft.com/en-us/exchange/permissions-exo/application-rbac" TargetMode="External"/><Relationship Id="rId27" Type="http://schemas.openxmlformats.org/officeDocument/2006/relationships/hyperlink" Target="https://learn.microsoft.com/en-us/graph/outlook-change-notifications-overview" TargetMode="External"/><Relationship Id="rId28" Type="http://schemas.openxmlformats.org/officeDocument/2006/relationships/hyperlink" Target="https://learn.microsoft.com/en-us/graph/api/resources/subscription?view=graph-rest-1.0" TargetMode="External"/><Relationship Id="rId29" Type="http://schemas.openxmlformats.org/officeDocument/2006/relationships/hyperlink" Target="https://learn.microsoft.com/en-us/graph/change-notifications-delivery-webhooks" TargetMode="External"/><Relationship Id="rId30" Type="http://schemas.openxmlformats.org/officeDocument/2006/relationships/hyperlink" Target="https://learn.microsoft.com/en-us/graph/delta-query-messages" TargetMode="External"/><Relationship Id="rId31" Type="http://schemas.openxmlformats.org/officeDocument/2006/relationships/hyperlink" Target="https://learn.microsoft.com/en-us/graph/outlook-immutable-id" TargetMode="External"/><Relationship Id="rId32" Type="http://schemas.openxmlformats.org/officeDocument/2006/relationships/hyperlink" Target="https://learn.microsoft.com/en-us/purview/retention-policies-exchange" TargetMode="External"/><Relationship Id="rId33" Type="http://schemas.openxmlformats.org/officeDocument/2006/relationships/hyperlink" Target="https://learn.microsoft.com/en-us/purview/audit-log-activities" TargetMode="External"/><Relationship Id="rId34" Type="http://schemas.openxmlformats.org/officeDocument/2006/relationships/hyperlink" Target="https://learn.microsoft.com/en-us/exchange/recipients-in-exchange-online/manage-user-mailboxes/automatically-save-sent-items-in-delegator-s-mailbox" TargetMode="External"/><Relationship Id="rId35" Type="http://schemas.openxmlformats.org/officeDocument/2006/relationships/hyperlink" Target="https://learn.microsoft.com/en-gb/exchange/security-and-compliance/mail-flow-rules/mail-flow-rules" TargetMode="External"/><Relationship Id="rId36" Type="http://schemas.openxmlformats.org/officeDocument/2006/relationships/hyperlink" Target="https://learn.microsoft.com/en-us/exchange/security-and-compliance/journaling/journaling" TargetMode="External"/><Relationship Id="rId37" Type="http://schemas.openxmlformats.org/officeDocument/2006/relationships/hyperlink" Target="https://learn.microsoft.com/en-us/defender-office-365/email-authentication-dkim-configure" TargetMode="External"/><Relationship Id="rId38" Type="http://schemas.openxmlformats.org/officeDocument/2006/relationships/hyperlink" Target="https://learn.microsoft.com/en-us/defender-office-365/email-authentication-dmarc-configure" TargetMode="External"/><Relationship Id="rId39" Type="http://schemas.openxmlformats.org/officeDocument/2006/relationships/hyperlink" Target="https://www.nist.gov/itl/ai-risk-management-framework" TargetMode="External"/><Relationship Id="rId40" Type="http://schemas.openxmlformats.org/officeDocument/2006/relationships/hyperlink" Target="https://nvlpubs.nist.gov/nistpubs/ai/NIST.AI.600-1.pdf" TargetMode="External"/><Relationship Id="rId41" Type="http://schemas.openxmlformats.org/officeDocument/2006/relationships/hyperlink" Target="https://cheatsheetseries.owasp.org/cheatsheets/LLM_Prompt_Injection_Prevention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Email Integration for Compliance and Data Collection</dc:title>
  <dc:subject>Project review, regulatory research, target operating model and implementation roadmap</dc:subject>
  <dc:creator>OpenAI Codex</dc:creator>
  <cp:keywords>NCA, Ghana, compliance, email, Microsoft 365, Graph, data collection, penalties</cp:keywords>
  <dc:description>Prepared from a review of the supplied project and authoritative sources available on 30 July 2026.</dc:description>
  <cp:lastModifiedBy/>
  <cp:revision>1</cp:revision>
  <dcterms:created xsi:type="dcterms:W3CDTF">2013-12-23T23:15:00Z</dcterms:created>
  <dcterms:modified xsi:type="dcterms:W3CDTF">2013-12-23T23:15:00Z</dcterms:modified>
  <cp:category/>
</cp:coreProperties>
</file>