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64" w:lineRule="auto"/>
        <w:jc w:val="left"/>
      </w:pPr>
      <w:r>
        <w:rPr>
          <w:rFonts w:ascii="Calibri" w:hAnsi="Calibri"/>
          <w:b/>
          <w:i w:val="0"/>
          <w:color w:val="2E74B5"/>
          <w:sz w:val="20"/>
        </w:rPr>
        <w:t>PROJECT STATUS REPORT</w:t>
      </w:r>
    </w:p>
    <w:p>
      <w:pPr>
        <w:spacing w:before="0" w:after="80" w:line="264" w:lineRule="auto"/>
        <w:jc w:val="left"/>
      </w:pPr>
      <w:r>
        <w:rPr>
          <w:rFonts w:ascii="Calibri" w:hAnsi="Calibri"/>
          <w:b/>
          <w:i w:val="0"/>
          <w:color w:val="0B2545"/>
          <w:sz w:val="46"/>
        </w:rPr>
        <w:t>NCA Data Collection System</w:t>
      </w:r>
    </w:p>
    <w:p>
      <w:pPr>
        <w:spacing w:before="0" w:after="320" w:line="264" w:lineRule="auto"/>
        <w:jc w:val="left"/>
      </w:pPr>
      <w:r>
        <w:rPr>
          <w:rFonts w:ascii="Calibri" w:hAnsi="Calibri"/>
          <w:b w:val="0"/>
          <w:i w:val="0"/>
          <w:color w:val="5B6573"/>
          <w:sz w:val="26"/>
        </w:rPr>
        <w:t>Current status, priority gaps and two-workstream remediation plan</w:t>
      </w:r>
    </w:p>
    <w:tbl>
      <w:tblPr>
        <w:tblStyle w:val="TableGrid"/>
        <w:tblW w:type="dxa" w:w="9360"/>
        <w:tblLayout w:type="fixed"/>
        <w:tblLook w:firstColumn="1" w:firstRow="1" w:lastColumn="0" w:lastRow="0" w:noHBand="0" w:noVBand="1" w:val="04A0"/>
        <w:tblInd w:w="120" w:type="dxa"/>
      </w:tblPr>
      <w:tblGrid>
        <w:gridCol w:w="1656"/>
        <w:gridCol w:w="7704"/>
      </w:tblGrid>
      <w:tr>
        <w:tc>
          <w:tcPr>
            <w:tcW w:type="dxa" w:w="1656"/>
            <w:tcMar>
              <w:top w:w="80" w:type="dxa"/>
              <w:start w:w="120" w:type="dxa"/>
              <w:bottom w:w="80" w:type="dxa"/>
              <w:end w:w="120" w:type="dxa"/>
            </w:tcMar>
            <w:vAlign w:val="center"/>
            <w:shd w:fill="F2F4F7"/>
          </w:tcPr>
          <w:p>
            <w:pPr>
              <w:spacing w:before="0" w:after="0" w:line="264" w:lineRule="auto"/>
              <w:jc w:val="left"/>
            </w:pPr>
            <w:r>
              <w:rPr>
                <w:rFonts w:ascii="Calibri" w:hAnsi="Calibri"/>
                <w:b/>
                <w:i w:val="0"/>
                <w:color w:val="0B2545"/>
                <w:sz w:val="19"/>
              </w:rPr>
              <w:t>Date</w:t>
            </w:r>
          </w:p>
        </w:tc>
        <w:tc>
          <w:tcPr>
            <w:tcW w:type="dxa" w:w="7704"/>
            <w:tcMar>
              <w:top w:w="80" w:type="dxa"/>
              <w:start w:w="120" w:type="dxa"/>
              <w:bottom w:w="80" w:type="dxa"/>
              <w:end w:w="120" w:type="dxa"/>
            </w:tcMar>
            <w:vAlign w:val="center"/>
          </w:tcPr>
          <w:p>
            <w:pPr>
              <w:spacing w:before="0" w:after="0" w:line="264" w:lineRule="auto"/>
              <w:jc w:val="left"/>
            </w:pPr>
            <w:r>
              <w:rPr>
                <w:rFonts w:ascii="Calibri" w:hAnsi="Calibri"/>
                <w:b w:val="0"/>
                <w:i w:val="0"/>
                <w:color w:val="1A1A1A"/>
                <w:sz w:val="19"/>
              </w:rPr>
              <w:t>10 August 2026</w:t>
            </w:r>
          </w:p>
        </w:tc>
      </w:tr>
      <w:tr>
        <w:tc>
          <w:tcPr>
            <w:tcW w:type="dxa" w:w="1656"/>
            <w:tcMar>
              <w:top w:w="80" w:type="dxa"/>
              <w:start w:w="120" w:type="dxa"/>
              <w:bottom w:w="80" w:type="dxa"/>
              <w:end w:w="120" w:type="dxa"/>
            </w:tcMar>
            <w:vAlign w:val="center"/>
            <w:shd w:fill="F2F4F7"/>
          </w:tcPr>
          <w:p>
            <w:pPr>
              <w:spacing w:before="0" w:after="0" w:line="264" w:lineRule="auto"/>
              <w:jc w:val="left"/>
            </w:pPr>
            <w:r>
              <w:rPr>
                <w:rFonts w:ascii="Calibri" w:hAnsi="Calibri"/>
                <w:b/>
                <w:i w:val="0"/>
                <w:color w:val="0B2545"/>
                <w:sz w:val="19"/>
              </w:rPr>
              <w:t>Scope</w:t>
            </w:r>
          </w:p>
        </w:tc>
        <w:tc>
          <w:tcPr>
            <w:tcW w:type="dxa" w:w="7704"/>
            <w:tcMar>
              <w:top w:w="80" w:type="dxa"/>
              <w:start w:w="120" w:type="dxa"/>
              <w:bottom w:w="80" w:type="dxa"/>
              <w:end w:w="120" w:type="dxa"/>
            </w:tcMar>
            <w:vAlign w:val="center"/>
          </w:tcPr>
          <w:p>
            <w:pPr>
              <w:spacing w:before="0" w:after="0" w:line="264" w:lineRule="auto"/>
              <w:jc w:val="left"/>
            </w:pPr>
            <w:r>
              <w:rPr>
                <w:rFonts w:ascii="Calibri" w:hAnsi="Calibri"/>
                <w:b w:val="0"/>
                <w:i w:val="0"/>
                <w:color w:val="1A1A1A"/>
                <w:sz w:val="19"/>
              </w:rPr>
              <w:t>Eleven partner findings reviewed against current code, data, tests and configuration</w:t>
            </w:r>
          </w:p>
        </w:tc>
      </w:tr>
      <w:tr>
        <w:tc>
          <w:tcPr>
            <w:tcW w:type="dxa" w:w="1656"/>
            <w:tcMar>
              <w:top w:w="80" w:type="dxa"/>
              <w:start w:w="120" w:type="dxa"/>
              <w:bottom w:w="80" w:type="dxa"/>
              <w:end w:w="120" w:type="dxa"/>
            </w:tcMar>
            <w:vAlign w:val="center"/>
            <w:shd w:fill="F2F4F7"/>
          </w:tcPr>
          <w:p>
            <w:pPr>
              <w:spacing w:before="0" w:after="0" w:line="264" w:lineRule="auto"/>
              <w:jc w:val="left"/>
            </w:pPr>
            <w:r>
              <w:rPr>
                <w:rFonts w:ascii="Calibri" w:hAnsi="Calibri"/>
                <w:b/>
                <w:i w:val="0"/>
                <w:color w:val="0B2545"/>
                <w:sz w:val="19"/>
              </w:rPr>
              <w:t>Overall position</w:t>
            </w:r>
          </w:p>
        </w:tc>
        <w:tc>
          <w:tcPr>
            <w:tcW w:type="dxa" w:w="7704"/>
            <w:tcMar>
              <w:top w:w="80" w:type="dxa"/>
              <w:start w:w="120" w:type="dxa"/>
              <w:bottom w:w="80" w:type="dxa"/>
              <w:end w:w="120" w:type="dxa"/>
            </w:tcMar>
            <w:vAlign w:val="center"/>
          </w:tcPr>
          <w:p>
            <w:pPr>
              <w:spacing w:before="0" w:after="0" w:line="264" w:lineRule="auto"/>
              <w:jc w:val="left"/>
            </w:pPr>
            <w:r>
              <w:rPr>
                <w:rFonts w:ascii="Calibri" w:hAnsi="Calibri"/>
                <w:b w:val="0"/>
                <w:i w:val="0"/>
                <w:color w:val="1A1A1A"/>
                <w:sz w:val="19"/>
              </w:rPr>
              <w:t>Core workflow operates, but real NCA production data, integration and access controls remain incomplete</w:t>
            </w:r>
          </w:p>
        </w:tc>
      </w:tr>
      <w:tr>
        <w:tc>
          <w:tcPr>
            <w:tcW w:type="dxa" w:w="1656"/>
            <w:tcMar>
              <w:top w:w="80" w:type="dxa"/>
              <w:start w:w="120" w:type="dxa"/>
              <w:bottom w:w="80" w:type="dxa"/>
              <w:end w:w="120" w:type="dxa"/>
            </w:tcMar>
            <w:vAlign w:val="center"/>
            <w:shd w:fill="F2F4F7"/>
          </w:tcPr>
          <w:p>
            <w:pPr>
              <w:spacing w:before="0" w:after="0" w:line="264" w:lineRule="auto"/>
              <w:jc w:val="left"/>
            </w:pPr>
            <w:r>
              <w:rPr>
                <w:rFonts w:ascii="Calibri" w:hAnsi="Calibri"/>
                <w:b/>
                <w:i w:val="0"/>
                <w:color w:val="0B2545"/>
                <w:sz w:val="19"/>
              </w:rPr>
              <w:t>Verification</w:t>
            </w:r>
          </w:p>
        </w:tc>
        <w:tc>
          <w:tcPr>
            <w:tcW w:type="dxa" w:w="7704"/>
            <w:tcMar>
              <w:top w:w="80" w:type="dxa"/>
              <w:start w:w="120" w:type="dxa"/>
              <w:bottom w:w="80" w:type="dxa"/>
              <w:end w:w="120" w:type="dxa"/>
            </w:tcMar>
            <w:vAlign w:val="center"/>
          </w:tcPr>
          <w:p>
            <w:pPr>
              <w:spacing w:before="0" w:after="0" w:line="264" w:lineRule="auto"/>
              <w:jc w:val="left"/>
            </w:pPr>
            <w:r>
              <w:rPr>
                <w:rFonts w:ascii="Calibri" w:hAnsi="Calibri"/>
                <w:b w:val="0"/>
                <w:i w:val="0"/>
                <w:color w:val="1A1A1A"/>
                <w:sz w:val="19"/>
              </w:rPr>
              <w:t>21/21 backend tests passed; frontend compiled, type-checked and generated all pages</w:t>
            </w:r>
          </w:p>
        </w:tc>
      </w:tr>
    </w:tbl>
    <w:p>
      <w:pPr>
        <w:spacing w:after="40"/>
      </w:pP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6DD"/>
          </w:tcPr>
          <w:p>
            <w:pPr>
              <w:spacing w:before="0" w:after="60" w:line="264" w:lineRule="auto"/>
              <w:jc w:val="left"/>
            </w:pPr>
            <w:r>
              <w:rPr>
                <w:rFonts w:ascii="Calibri" w:hAnsi="Calibri"/>
                <w:b/>
                <w:i w:val="0"/>
                <w:color w:val="0B2545"/>
                <w:sz w:val="22"/>
              </w:rPr>
              <w:t>Correction to finding 11</w:t>
            </w:r>
          </w:p>
          <w:p>
            <w:pPr>
              <w:spacing w:before="0" w:after="0" w:line="264" w:lineRule="auto"/>
              <w:jc w:val="left"/>
            </w:pPr>
            <w:r>
              <w:rPr>
                <w:rFonts w:ascii="Calibri" w:hAnsi="Calibri"/>
                <w:b w:val="0"/>
                <w:i w:val="0"/>
                <w:color w:val="1A1A1A"/>
                <w:sz w:val="22"/>
              </w:rPr>
              <w:t>The requirement is the Industry Dashboard integration that is still outstanding. The existing NCA and provider operational dashboards are separate features and must not be used as evidence that the Industry Dashboard is complete.</w:t>
            </w:r>
          </w:p>
        </w:tc>
      </w:tr>
    </w:tbl>
    <w:p>
      <w:pPr>
        <w:spacing w:after="40"/>
      </w:pPr>
    </w:p>
    <w:p>
      <w:pPr>
        <w:spacing w:before="320" w:after="160" w:line="264" w:lineRule="auto"/>
        <w:jc w:val="left"/>
      </w:pPr>
      <w:r>
        <w:rPr>
          <w:rFonts w:ascii="Calibri" w:hAnsi="Calibri"/>
          <w:b/>
          <w:i w:val="0"/>
          <w:color w:val="2E74B5"/>
          <w:sz w:val="32"/>
        </w:rPr>
        <w:t>Executive status</w:t>
      </w:r>
    </w:p>
    <w:p>
      <w:pPr>
        <w:spacing w:before="0" w:after="120" w:line="264" w:lineRule="auto"/>
        <w:jc w:val="left"/>
      </w:pPr>
      <w:r>
        <w:rPr>
          <w:rFonts w:ascii="Calibri" w:hAnsi="Calibri"/>
          <w:b w:val="0"/>
          <w:i w:val="0"/>
          <w:color w:val="1A1A1A"/>
          <w:sz w:val="22"/>
        </w:rPr>
        <w:t>The platform has a functioning core submission workflow, controlled data-request downloads and operational dashboards. It is not yet ready to receive and distribute production regulatory data because the live form content, provider-to-form assignment, OneDrive analytics connection, user-role changes and Industry Dashboard integration are incomplete.</w:t>
      </w:r>
    </w:p>
    <w:p>
      <w:pPr>
        <w:spacing w:before="0" w:after="120" w:line="264" w:lineRule="auto"/>
        <w:jc w:val="left"/>
      </w:pPr>
      <w:r>
        <w:rPr>
          <w:rFonts w:ascii="Calibri" w:hAnsi="Calibri"/>
          <w:b w:val="0"/>
          <w:i w:val="0"/>
          <w:color w:val="1A1A1A"/>
          <w:sz w:val="22"/>
        </w:rPr>
        <w:t>Only finding 5 is fully verified in code. Finding 1 has a working download path but lacks a data preview; the remaining findings need either implementation, formal NCA inputs or both.</w:t>
      </w:r>
    </w:p>
    <w:p>
      <w:pPr>
        <w:spacing w:before="320" w:after="160" w:line="264" w:lineRule="auto"/>
        <w:jc w:val="left"/>
      </w:pPr>
      <w:r>
        <w:rPr>
          <w:rFonts w:ascii="Calibri" w:hAnsi="Calibri"/>
          <w:b/>
          <w:i w:val="0"/>
          <w:color w:val="2E74B5"/>
          <w:sz w:val="32"/>
        </w:rPr>
        <w:t>Findings status</w:t>
      </w:r>
    </w:p>
    <w:tbl>
      <w:tblPr>
        <w:tblStyle w:val="TableGrid"/>
        <w:tblW w:type="dxa" w:w="9360"/>
        <w:tblLayout w:type="fixed"/>
        <w:tblLook w:firstColumn="1" w:firstRow="1" w:lastColumn="0" w:lastRow="0" w:noHBand="0" w:noVBand="1" w:val="04A0"/>
        <w:tblInd w:w="120" w:type="dxa"/>
      </w:tblPr>
      <w:tblGrid>
        <w:gridCol w:w="648"/>
        <w:gridCol w:w="1584"/>
        <w:gridCol w:w="7128"/>
      </w:tblGrid>
      <w:tr>
        <w:trPr>
          <w:tblHeader w:val="true"/>
        </w:trPr>
        <w:tc>
          <w:tcPr>
            <w:tcW w:type="dxa" w:w="648"/>
            <w:tcMar>
              <w:top w:w="80" w:type="dxa"/>
              <w:start w:w="120" w:type="dxa"/>
              <w:bottom w:w="80" w:type="dxa"/>
              <w:end w:w="120" w:type="dxa"/>
            </w:tcMar>
            <w:vAlign w:val="center"/>
            <w:shd w:fill="F2F4F7"/>
          </w:tcPr>
          <w:p>
            <w:pPr>
              <w:spacing w:before="0" w:after="0" w:line="264" w:lineRule="auto"/>
              <w:jc w:val="left"/>
            </w:pPr>
            <w:r>
              <w:rPr>
                <w:rFonts w:ascii="Calibri" w:hAnsi="Calibri"/>
                <w:b/>
                <w:i w:val="0"/>
                <w:color w:val="0B2545"/>
                <w:sz w:val="20"/>
              </w:rPr>
              <w:t>#</w:t>
            </w:r>
          </w:p>
        </w:tc>
        <w:tc>
          <w:tcPr>
            <w:tcW w:type="dxa" w:w="1584"/>
            <w:tcMar>
              <w:top w:w="80" w:type="dxa"/>
              <w:start w:w="120" w:type="dxa"/>
              <w:bottom w:w="80" w:type="dxa"/>
              <w:end w:w="120" w:type="dxa"/>
            </w:tcMar>
            <w:vAlign w:val="center"/>
            <w:shd w:fill="F2F4F7"/>
          </w:tcPr>
          <w:p>
            <w:pPr>
              <w:spacing w:before="0" w:after="0" w:line="264" w:lineRule="auto"/>
              <w:jc w:val="left"/>
            </w:pPr>
            <w:r>
              <w:rPr>
                <w:rFonts w:ascii="Calibri" w:hAnsi="Calibri"/>
                <w:b/>
                <w:i w:val="0"/>
                <w:color w:val="0B2545"/>
                <w:sz w:val="20"/>
              </w:rPr>
              <w:t>Status</w:t>
            </w:r>
          </w:p>
        </w:tc>
        <w:tc>
          <w:tcPr>
            <w:tcW w:type="dxa" w:w="7128"/>
            <w:tcMar>
              <w:top w:w="80" w:type="dxa"/>
              <w:start w:w="120" w:type="dxa"/>
              <w:bottom w:w="80" w:type="dxa"/>
              <w:end w:w="120" w:type="dxa"/>
            </w:tcMar>
            <w:vAlign w:val="center"/>
            <w:shd w:fill="F2F4F7"/>
          </w:tcPr>
          <w:p>
            <w:pPr>
              <w:spacing w:before="0" w:after="0" w:line="264" w:lineRule="auto"/>
              <w:jc w:val="left"/>
            </w:pPr>
            <w:r>
              <w:rPr>
                <w:rFonts w:ascii="Calibri" w:hAnsi="Calibri"/>
                <w:b/>
                <w:i w:val="0"/>
                <w:color w:val="0B2545"/>
                <w:sz w:val="20"/>
              </w:rPr>
              <w:t>Current state and next action</w:t>
            </w:r>
          </w:p>
        </w:tc>
      </w:tr>
      <w:tr>
        <w:tc>
          <w:tcPr>
            <w:tcW w:type="dxa" w:w="648"/>
            <w:vAlign w:val="center"/>
          </w:tcPr>
          <w:p>
            <w:pPr>
              <w:spacing w:before="0" w:after="0" w:line="264" w:lineRule="auto"/>
              <w:jc w:val="center"/>
            </w:pPr>
            <w:r>
              <w:rPr>
                <w:rFonts w:ascii="Calibri" w:hAnsi="Calibri"/>
                <w:b/>
                <w:i w:val="0"/>
                <w:color w:val="0B2545"/>
                <w:sz w:val="20"/>
              </w:rPr>
              <w:t>1</w:t>
            </w:r>
          </w:p>
        </w:tc>
        <w:tc>
          <w:tcPr>
            <w:tcW w:type="dxa" w:w="1584"/>
            <w:vAlign w:val="center"/>
            <w:shd w:fill="FFF6DD"/>
          </w:tcPr>
          <w:p>
            <w:pPr>
              <w:spacing w:before="0" w:after="0" w:line="264" w:lineRule="auto"/>
              <w:jc w:val="left"/>
            </w:pPr>
            <w:r>
              <w:rPr>
                <w:rFonts w:ascii="Calibri" w:hAnsi="Calibri"/>
                <w:b/>
                <w:i w:val="0"/>
                <w:color w:val="0B2545"/>
                <w:sz w:val="19"/>
              </w:rPr>
              <w:t>Partial</w:t>
            </w:r>
          </w:p>
        </w:tc>
        <w:tc>
          <w:tcPr>
            <w:tcW w:type="dxa" w:w="7128"/>
            <w:vAlign w:val="center"/>
          </w:tcPr>
          <w:p>
            <w:pPr>
              <w:spacing w:before="0" w:after="0" w:line="264" w:lineRule="auto"/>
              <w:jc w:val="left"/>
            </w:pPr>
            <w:r>
              <w:rPr>
                <w:rFonts w:ascii="Calibri" w:hAnsi="Calibri"/>
                <w:b w:val="0"/>
                <w:i w:val="0"/>
                <w:color w:val="1A1A1A"/>
                <w:sz w:val="18"/>
              </w:rPr>
              <w:t>Governed CSV, XLSX and PDF downloads work once a request is approved and ready. Add a pre-download data preview, manifest, row count and expiry details.</w:t>
            </w:r>
          </w:p>
        </w:tc>
      </w:tr>
      <w:tr>
        <w:tc>
          <w:tcPr>
            <w:tcW w:type="dxa" w:w="648"/>
            <w:vAlign w:val="center"/>
          </w:tcPr>
          <w:p>
            <w:pPr>
              <w:spacing w:before="0" w:after="0" w:line="264" w:lineRule="auto"/>
              <w:jc w:val="center"/>
            </w:pPr>
            <w:r>
              <w:rPr>
                <w:rFonts w:ascii="Calibri" w:hAnsi="Calibri"/>
                <w:b/>
                <w:i w:val="0"/>
                <w:color w:val="0B2545"/>
                <w:sz w:val="20"/>
              </w:rPr>
              <w:t>2</w:t>
            </w:r>
          </w:p>
        </w:tc>
        <w:tc>
          <w:tcPr>
            <w:tcW w:type="dxa" w:w="1584"/>
            <w:vAlign w:val="center"/>
            <w:shd w:fill="FDEBEC"/>
          </w:tcPr>
          <w:p>
            <w:pPr>
              <w:spacing w:before="0" w:after="0" w:line="264" w:lineRule="auto"/>
              <w:jc w:val="left"/>
            </w:pPr>
            <w:r>
              <w:rPr>
                <w:rFonts w:ascii="Calibri" w:hAnsi="Calibri"/>
                <w:b/>
                <w:i w:val="0"/>
                <w:color w:val="0B2545"/>
                <w:sz w:val="19"/>
              </w:rPr>
              <w:t>Incomplete</w:t>
            </w:r>
          </w:p>
        </w:tc>
        <w:tc>
          <w:tcPr>
            <w:tcW w:type="dxa" w:w="7128"/>
            <w:vAlign w:val="center"/>
          </w:tcPr>
          <w:p>
            <w:pPr>
              <w:spacing w:before="0" w:after="0" w:line="264" w:lineRule="auto"/>
              <w:jc w:val="left"/>
            </w:pPr>
            <w:r>
              <w:rPr>
                <w:rFonts w:ascii="Calibri" w:hAnsi="Calibri"/>
                <w:b w:val="0"/>
                <w:i w:val="0"/>
                <w:color w:val="1A1A1A"/>
                <w:sz w:val="18"/>
              </w:rPr>
              <w:t>Seven demo providers are present, but only four demo forms exist. Create an approved provider-to-form register and reconcile it to the source PRD and collection policy.</w:t>
            </w:r>
          </w:p>
        </w:tc>
      </w:tr>
      <w:tr>
        <w:tc>
          <w:tcPr>
            <w:tcW w:type="dxa" w:w="648"/>
            <w:vAlign w:val="center"/>
          </w:tcPr>
          <w:p>
            <w:pPr>
              <w:spacing w:before="0" w:after="0" w:line="264" w:lineRule="auto"/>
              <w:jc w:val="center"/>
            </w:pPr>
            <w:r>
              <w:rPr>
                <w:rFonts w:ascii="Calibri" w:hAnsi="Calibri"/>
                <w:b/>
                <w:i w:val="0"/>
                <w:color w:val="0B2545"/>
                <w:sz w:val="20"/>
              </w:rPr>
              <w:t>3</w:t>
            </w:r>
          </w:p>
        </w:tc>
        <w:tc>
          <w:tcPr>
            <w:tcW w:type="dxa" w:w="1584"/>
            <w:vAlign w:val="center"/>
            <w:shd w:fill="FDEBEC"/>
          </w:tcPr>
          <w:p>
            <w:pPr>
              <w:spacing w:before="0" w:after="0" w:line="264" w:lineRule="auto"/>
              <w:jc w:val="left"/>
            </w:pPr>
            <w:r>
              <w:rPr>
                <w:rFonts w:ascii="Calibri" w:hAnsi="Calibri"/>
                <w:b/>
                <w:i w:val="0"/>
                <w:color w:val="0B2545"/>
                <w:sz w:val="19"/>
              </w:rPr>
              <w:t>Missing</w:t>
            </w:r>
          </w:p>
        </w:tc>
        <w:tc>
          <w:tcPr>
            <w:tcW w:type="dxa" w:w="7128"/>
            <w:vAlign w:val="center"/>
          </w:tcPr>
          <w:p>
            <w:pPr>
              <w:spacing w:before="0" w:after="0" w:line="264" w:lineRule="auto"/>
              <w:jc w:val="left"/>
            </w:pPr>
            <w:r>
              <w:rPr>
                <w:rFonts w:ascii="Calibri" w:hAnsi="Calibri"/>
                <w:b w:val="0"/>
                <w:i w:val="0"/>
                <w:color w:val="1A1A1A"/>
                <w:sz w:val="18"/>
              </w:rPr>
              <w:t>No OneDrive/Excel Graph, Power Query or scheduled analytics integration exists. The target analysis workbook needs to be supplied and its data contract agreed.</w:t>
            </w:r>
          </w:p>
        </w:tc>
      </w:tr>
      <w:tr>
        <w:tc>
          <w:tcPr>
            <w:tcW w:type="dxa" w:w="648"/>
            <w:vAlign w:val="center"/>
          </w:tcPr>
          <w:p>
            <w:pPr>
              <w:spacing w:before="0" w:after="0" w:line="264" w:lineRule="auto"/>
              <w:jc w:val="center"/>
            </w:pPr>
            <w:r>
              <w:rPr>
                <w:rFonts w:ascii="Calibri" w:hAnsi="Calibri"/>
                <w:b/>
                <w:i w:val="0"/>
                <w:color w:val="0B2545"/>
                <w:sz w:val="20"/>
              </w:rPr>
              <w:t>4</w:t>
            </w:r>
          </w:p>
        </w:tc>
        <w:tc>
          <w:tcPr>
            <w:tcW w:type="dxa" w:w="1584"/>
            <w:vAlign w:val="center"/>
            <w:shd w:fill="FDEBEC"/>
          </w:tcPr>
          <w:p>
            <w:pPr>
              <w:spacing w:before="0" w:after="0" w:line="264" w:lineRule="auto"/>
              <w:jc w:val="left"/>
            </w:pPr>
            <w:r>
              <w:rPr>
                <w:rFonts w:ascii="Calibri" w:hAnsi="Calibri"/>
                <w:b/>
                <w:i w:val="0"/>
                <w:color w:val="0B2545"/>
                <w:sz w:val="19"/>
              </w:rPr>
              <w:t>Missing</w:t>
            </w:r>
          </w:p>
        </w:tc>
        <w:tc>
          <w:tcPr>
            <w:tcW w:type="dxa" w:w="7128"/>
            <w:vAlign w:val="center"/>
          </w:tcPr>
          <w:p>
            <w:pPr>
              <w:spacing w:before="0" w:after="0" w:line="264" w:lineRule="auto"/>
              <w:jc w:val="left"/>
            </w:pPr>
            <w:r>
              <w:rPr>
                <w:rFonts w:ascii="Calibri" w:hAnsi="Calibri"/>
                <w:b w:val="0"/>
                <w:i w:val="0"/>
                <w:color w:val="1A1A1A"/>
                <w:sz w:val="18"/>
              </w:rPr>
              <w:t>Forms record source reference, hash and mapping-complete status, but no field-level gap analysis, owner, severity, evidence or resolution workflow exists.</w:t>
            </w:r>
          </w:p>
        </w:tc>
      </w:tr>
      <w:tr>
        <w:tc>
          <w:tcPr>
            <w:tcW w:type="dxa" w:w="648"/>
            <w:vAlign w:val="center"/>
          </w:tcPr>
          <w:p>
            <w:pPr>
              <w:spacing w:before="0" w:after="0" w:line="264" w:lineRule="auto"/>
              <w:jc w:val="center"/>
            </w:pPr>
            <w:r>
              <w:rPr>
                <w:rFonts w:ascii="Calibri" w:hAnsi="Calibri"/>
                <w:b/>
                <w:i w:val="0"/>
                <w:color w:val="0B2545"/>
                <w:sz w:val="20"/>
              </w:rPr>
              <w:t>5</w:t>
            </w:r>
          </w:p>
        </w:tc>
        <w:tc>
          <w:tcPr>
            <w:tcW w:type="dxa" w:w="1584"/>
            <w:vAlign w:val="center"/>
            <w:shd w:fill="EAF5EE"/>
          </w:tcPr>
          <w:p>
            <w:pPr>
              <w:spacing w:before="0" w:after="0" w:line="264" w:lineRule="auto"/>
              <w:jc w:val="left"/>
            </w:pPr>
            <w:r>
              <w:rPr>
                <w:rFonts w:ascii="Calibri" w:hAnsi="Calibri"/>
                <w:b/>
                <w:i w:val="0"/>
                <w:color w:val="0B2545"/>
                <w:sz w:val="19"/>
              </w:rPr>
              <w:t>Verified</w:t>
            </w:r>
          </w:p>
        </w:tc>
        <w:tc>
          <w:tcPr>
            <w:tcW w:type="dxa" w:w="7128"/>
            <w:vAlign w:val="center"/>
          </w:tcPr>
          <w:p>
            <w:pPr>
              <w:spacing w:before="0" w:after="0" w:line="264" w:lineRule="auto"/>
              <w:jc w:val="left"/>
            </w:pPr>
            <w:r>
              <w:rPr>
                <w:rFonts w:ascii="Calibri" w:hAnsi="Calibri"/>
                <w:b w:val="0"/>
                <w:i w:val="0"/>
                <w:color w:val="1A1A1A"/>
                <w:sz w:val="18"/>
              </w:rPr>
              <w:t>Data Entry to Provider Approver to NCA workflow passed automated tests. Carry out live UAT with real role accounts and a representative mapped form.</w:t>
            </w:r>
          </w:p>
        </w:tc>
      </w:tr>
      <w:tr>
        <w:tc>
          <w:tcPr>
            <w:tcW w:type="dxa" w:w="648"/>
            <w:vAlign w:val="center"/>
          </w:tcPr>
          <w:p>
            <w:pPr>
              <w:spacing w:before="0" w:after="0" w:line="264" w:lineRule="auto"/>
              <w:jc w:val="center"/>
            </w:pPr>
            <w:r>
              <w:rPr>
                <w:rFonts w:ascii="Calibri" w:hAnsi="Calibri"/>
                <w:b/>
                <w:i w:val="0"/>
                <w:color w:val="0B2545"/>
                <w:sz w:val="20"/>
              </w:rPr>
              <w:t>6</w:t>
            </w:r>
          </w:p>
        </w:tc>
        <w:tc>
          <w:tcPr>
            <w:tcW w:type="dxa" w:w="1584"/>
            <w:vAlign w:val="center"/>
            <w:shd w:fill="FDEBEC"/>
          </w:tcPr>
          <w:p>
            <w:pPr>
              <w:spacing w:before="0" w:after="0" w:line="264" w:lineRule="auto"/>
              <w:jc w:val="left"/>
            </w:pPr>
            <w:r>
              <w:rPr>
                <w:rFonts w:ascii="Calibri" w:hAnsi="Calibri"/>
                <w:b/>
                <w:i w:val="0"/>
                <w:color w:val="0B2545"/>
                <w:sz w:val="19"/>
              </w:rPr>
              <w:t>Incomplete</w:t>
            </w:r>
          </w:p>
        </w:tc>
        <w:tc>
          <w:tcPr>
            <w:tcW w:type="dxa" w:w="7128"/>
            <w:vAlign w:val="center"/>
          </w:tcPr>
          <w:p>
            <w:pPr>
              <w:spacing w:before="0" w:after="0" w:line="264" w:lineRule="auto"/>
              <w:jc w:val="left"/>
            </w:pPr>
            <w:r>
              <w:rPr>
                <w:rFonts w:ascii="Calibri" w:hAnsi="Calibri"/>
                <w:b w:val="0"/>
                <w:i w:val="0"/>
                <w:color w:val="1A1A1A"/>
                <w:sz w:val="18"/>
              </w:rPr>
              <w:t>The entry engine supports real fields and grids, but every current form has only one General Information section, eight scalar fields and no grids. Real NCA forms are not loaded.</w:t>
            </w:r>
          </w:p>
        </w:tc>
      </w:tr>
      <w:tr>
        <w:tc>
          <w:tcPr>
            <w:tcW w:type="dxa" w:w="648"/>
            <w:vAlign w:val="center"/>
          </w:tcPr>
          <w:p>
            <w:pPr>
              <w:spacing w:before="0" w:after="0" w:line="264" w:lineRule="auto"/>
              <w:jc w:val="center"/>
            </w:pPr>
            <w:r>
              <w:rPr>
                <w:rFonts w:ascii="Calibri" w:hAnsi="Calibri"/>
                <w:b/>
                <w:i w:val="0"/>
                <w:color w:val="0B2545"/>
                <w:sz w:val="20"/>
              </w:rPr>
              <w:t>7</w:t>
            </w:r>
          </w:p>
        </w:tc>
        <w:tc>
          <w:tcPr>
            <w:tcW w:type="dxa" w:w="1584"/>
            <w:vAlign w:val="center"/>
            <w:shd w:fill="FDEBEC"/>
          </w:tcPr>
          <w:p>
            <w:pPr>
              <w:spacing w:before="0" w:after="0" w:line="264" w:lineRule="auto"/>
              <w:jc w:val="left"/>
            </w:pPr>
            <w:r>
              <w:rPr>
                <w:rFonts w:ascii="Calibri" w:hAnsi="Calibri"/>
                <w:b/>
                <w:i w:val="0"/>
                <w:color w:val="0B2545"/>
                <w:sz w:val="19"/>
              </w:rPr>
              <w:t>Not compliant</w:t>
            </w:r>
          </w:p>
        </w:tc>
        <w:tc>
          <w:tcPr>
            <w:tcW w:type="dxa" w:w="7128"/>
            <w:vAlign w:val="center"/>
          </w:tcPr>
          <w:p>
            <w:pPr>
              <w:spacing w:before="0" w:after="0" w:line="264" w:lineRule="auto"/>
              <w:jc w:val="left"/>
            </w:pPr>
            <w:r>
              <w:rPr>
                <w:rFonts w:ascii="Calibri" w:hAnsi="Calibri"/>
                <w:b w:val="0"/>
                <w:i w:val="0"/>
                <w:color w:val="1A1A1A"/>
                <w:sz w:val="18"/>
              </w:rPr>
              <w:t>Provider Data Entry users can access Inquiries and direct compliance email links. Restrict official communication to Provider Approvers in both UI and API permissions.</w:t>
            </w:r>
          </w:p>
        </w:tc>
      </w:tr>
      <w:tr>
        <w:tc>
          <w:tcPr>
            <w:tcW w:type="dxa" w:w="648"/>
            <w:vAlign w:val="center"/>
          </w:tcPr>
          <w:p>
            <w:pPr>
              <w:spacing w:before="0" w:after="0" w:line="264" w:lineRule="auto"/>
              <w:jc w:val="center"/>
            </w:pPr>
            <w:r>
              <w:rPr>
                <w:rFonts w:ascii="Calibri" w:hAnsi="Calibri"/>
                <w:b/>
                <w:i w:val="0"/>
                <w:color w:val="0B2545"/>
                <w:sz w:val="20"/>
              </w:rPr>
              <w:t>8</w:t>
            </w:r>
          </w:p>
        </w:tc>
        <w:tc>
          <w:tcPr>
            <w:tcW w:type="dxa" w:w="1584"/>
            <w:vAlign w:val="center"/>
            <w:shd w:fill="FFF6DD"/>
          </w:tcPr>
          <w:p>
            <w:pPr>
              <w:spacing w:before="0" w:after="0" w:line="264" w:lineRule="auto"/>
              <w:jc w:val="left"/>
            </w:pPr>
            <w:r>
              <w:rPr>
                <w:rFonts w:ascii="Calibri" w:hAnsi="Calibri"/>
                <w:b/>
                <w:i w:val="0"/>
                <w:color w:val="0B2545"/>
                <w:sz w:val="19"/>
              </w:rPr>
              <w:t>Partial</w:t>
            </w:r>
          </w:p>
        </w:tc>
        <w:tc>
          <w:tcPr>
            <w:tcW w:type="dxa" w:w="7128"/>
            <w:vAlign w:val="center"/>
          </w:tcPr>
          <w:p>
            <w:pPr>
              <w:spacing w:before="0" w:after="0" w:line="264" w:lineRule="auto"/>
              <w:jc w:val="left"/>
            </w:pPr>
            <w:r>
              <w:rPr>
                <w:rFonts w:ascii="Calibri" w:hAnsi="Calibri"/>
                <w:b w:val="0"/>
                <w:i w:val="0"/>
                <w:color w:val="1A1A1A"/>
                <w:sz w:val="18"/>
              </w:rPr>
              <w:t>NCA Officers can review submissions, manage compliance and export data, but cannot manage forms, providers, periods, governance, support or audit functions as requested.</w:t>
            </w:r>
          </w:p>
        </w:tc>
      </w:tr>
      <w:tr>
        <w:tc>
          <w:tcPr>
            <w:tcW w:type="dxa" w:w="648"/>
            <w:vAlign w:val="center"/>
          </w:tcPr>
          <w:p>
            <w:pPr>
              <w:spacing w:before="0" w:after="0" w:line="264" w:lineRule="auto"/>
              <w:jc w:val="center"/>
            </w:pPr>
            <w:r>
              <w:rPr>
                <w:rFonts w:ascii="Calibri" w:hAnsi="Calibri"/>
                <w:b/>
                <w:i w:val="0"/>
                <w:color w:val="0B2545"/>
                <w:sz w:val="20"/>
              </w:rPr>
              <w:t>9</w:t>
            </w:r>
          </w:p>
        </w:tc>
        <w:tc>
          <w:tcPr>
            <w:tcW w:type="dxa" w:w="1584"/>
            <w:vAlign w:val="center"/>
            <w:shd w:fill="FFF6DD"/>
          </w:tcPr>
          <w:p>
            <w:pPr>
              <w:spacing w:before="0" w:after="0" w:line="264" w:lineRule="auto"/>
              <w:jc w:val="left"/>
            </w:pPr>
            <w:r>
              <w:rPr>
                <w:rFonts w:ascii="Calibri" w:hAnsi="Calibri"/>
                <w:b/>
                <w:i w:val="0"/>
                <w:color w:val="0B2545"/>
                <w:sz w:val="19"/>
              </w:rPr>
              <w:t>Partial</w:t>
            </w:r>
          </w:p>
        </w:tc>
        <w:tc>
          <w:tcPr>
            <w:tcW w:type="dxa" w:w="7128"/>
            <w:vAlign w:val="center"/>
          </w:tcPr>
          <w:p>
            <w:pPr>
              <w:spacing w:before="0" w:after="0" w:line="264" w:lineRule="auto"/>
              <w:jc w:val="left"/>
            </w:pPr>
            <w:r>
              <w:rPr>
                <w:rFonts w:ascii="Calibri" w:hAnsi="Calibri"/>
                <w:b w:val="0"/>
                <w:i w:val="0"/>
                <w:color w:val="1A1A1A"/>
                <w:sz w:val="18"/>
              </w:rPr>
              <w:t>Email is unique per user, but Viewer accounts have no division or grade attributes. Add these to identity data and create individual Viewer accounts.</w:t>
            </w:r>
          </w:p>
        </w:tc>
      </w:tr>
      <w:tr>
        <w:tc>
          <w:tcPr>
            <w:tcW w:type="dxa" w:w="648"/>
            <w:vAlign w:val="center"/>
          </w:tcPr>
          <w:p>
            <w:pPr>
              <w:spacing w:before="0" w:after="0" w:line="264" w:lineRule="auto"/>
              <w:jc w:val="center"/>
            </w:pPr>
            <w:r>
              <w:rPr>
                <w:rFonts w:ascii="Calibri" w:hAnsi="Calibri"/>
                <w:b/>
                <w:i w:val="0"/>
                <w:color w:val="0B2545"/>
                <w:sz w:val="20"/>
              </w:rPr>
              <w:t>10</w:t>
            </w:r>
          </w:p>
        </w:tc>
        <w:tc>
          <w:tcPr>
            <w:tcW w:type="dxa" w:w="1584"/>
            <w:vAlign w:val="center"/>
            <w:shd w:fill="FFF6DD"/>
          </w:tcPr>
          <w:p>
            <w:pPr>
              <w:spacing w:before="0" w:after="0" w:line="264" w:lineRule="auto"/>
              <w:jc w:val="left"/>
            </w:pPr>
            <w:r>
              <w:rPr>
                <w:rFonts w:ascii="Calibri" w:hAnsi="Calibri"/>
                <w:b/>
                <w:i w:val="0"/>
                <w:color w:val="0B2545"/>
                <w:sz w:val="19"/>
              </w:rPr>
              <w:t>Partial</w:t>
            </w:r>
          </w:p>
        </w:tc>
        <w:tc>
          <w:tcPr>
            <w:tcW w:type="dxa" w:w="7128"/>
            <w:vAlign w:val="center"/>
          </w:tcPr>
          <w:p>
            <w:pPr>
              <w:spacing w:before="0" w:after="0" w:line="264" w:lineRule="auto"/>
              <w:jc w:val="left"/>
            </w:pPr>
            <w:r>
              <w:rPr>
                <w:rFonts w:ascii="Calibri" w:hAnsi="Calibri"/>
                <w:b w:val="0"/>
                <w:i w:val="0"/>
                <w:color w:val="1A1A1A"/>
                <w:sz w:val="18"/>
              </w:rPr>
              <w:t>Local JWT/password authentication works. NCA SSO, Entra/AD group mapping and working MFA are not integrated. Development and UAT can proceed before NCA integration.</w:t>
            </w:r>
          </w:p>
        </w:tc>
      </w:tr>
      <w:tr>
        <w:tc>
          <w:tcPr>
            <w:tcW w:type="dxa" w:w="648"/>
            <w:vAlign w:val="center"/>
          </w:tcPr>
          <w:p>
            <w:pPr>
              <w:spacing w:before="0" w:after="0" w:line="264" w:lineRule="auto"/>
              <w:jc w:val="center"/>
            </w:pPr>
            <w:r>
              <w:rPr>
                <w:rFonts w:ascii="Calibri" w:hAnsi="Calibri"/>
                <w:b/>
                <w:i w:val="0"/>
                <w:color w:val="0B2545"/>
                <w:sz w:val="20"/>
              </w:rPr>
              <w:t>11</w:t>
            </w:r>
          </w:p>
        </w:tc>
        <w:tc>
          <w:tcPr>
            <w:tcW w:type="dxa" w:w="1584"/>
            <w:vAlign w:val="center"/>
            <w:shd w:fill="FDEBEC"/>
          </w:tcPr>
          <w:p>
            <w:pPr>
              <w:spacing w:before="0" w:after="0" w:line="264" w:lineRule="auto"/>
              <w:jc w:val="left"/>
            </w:pPr>
            <w:r>
              <w:rPr>
                <w:rFonts w:ascii="Calibri" w:hAnsi="Calibri"/>
                <w:b/>
                <w:i w:val="0"/>
                <w:color w:val="0B2545"/>
                <w:sz w:val="19"/>
              </w:rPr>
              <w:t>Not integrated</w:t>
            </w:r>
          </w:p>
        </w:tc>
        <w:tc>
          <w:tcPr>
            <w:tcW w:type="dxa" w:w="7128"/>
            <w:vAlign w:val="center"/>
          </w:tcPr>
          <w:p>
            <w:pPr>
              <w:spacing w:before="0" w:after="0" w:line="264" w:lineRule="auto"/>
              <w:jc w:val="left"/>
            </w:pPr>
            <w:r>
              <w:rPr>
                <w:rFonts w:ascii="Calibri" w:hAnsi="Calibri"/>
                <w:b w:val="0"/>
                <w:i w:val="0"/>
                <w:color w:val="1A1A1A"/>
                <w:sz w:val="18"/>
              </w:rPr>
              <w:t>This refers to the Industry Dashboard, not the current internal dashboards. No Industry Dashboard route, dataset, access model, visualization integration or refresh contract exists.</w:t>
            </w:r>
          </w:p>
        </w:tc>
      </w:tr>
    </w:tbl>
    <w:p>
      <w:pPr>
        <w:spacing w:before="320" w:after="160" w:line="264" w:lineRule="auto"/>
        <w:jc w:val="left"/>
      </w:pPr>
      <w:r>
        <w:rPr>
          <w:rFonts w:ascii="Calibri" w:hAnsi="Calibri"/>
          <w:b/>
          <w:i w:val="0"/>
          <w:color w:val="2E74B5"/>
          <w:sz w:val="32"/>
        </w:rPr>
        <w:t>Current provider and form position</w:t>
      </w:r>
    </w:p>
    <w:p>
      <w:pPr>
        <w:spacing w:before="0" w:after="120" w:line="264" w:lineRule="auto"/>
        <w:jc w:val="left"/>
      </w:pPr>
      <w:r>
        <w:rPr>
          <w:rFonts w:ascii="Calibri" w:hAnsi="Calibri"/>
          <w:b w:val="0"/>
          <w:i w:val="0"/>
          <w:color w:val="1A1A1A"/>
          <w:sz w:val="22"/>
        </w:rPr>
        <w:t>The current local data contains seven demonstration providers and four active demonstration forms. All forms carry the source reference LEGACY-DEMO-NOT-FOR-PRODUCTION. Each has one General Information section, eight scalar fields and no grids; therefore the data-entry experience is technically functional but not populated with the real regulatory returns.</w:t>
      </w:r>
    </w:p>
    <w:tbl>
      <w:tblPr>
        <w:tblStyle w:val="TableGrid"/>
        <w:tblW w:type="dxa" w:w="9360"/>
        <w:tblLayout w:type="fixed"/>
        <w:tblLook w:firstColumn="1" w:firstRow="1" w:lastColumn="0" w:lastRow="0" w:noHBand="0" w:noVBand="1" w:val="04A0"/>
        <w:tblInd w:w="120" w:type="dxa"/>
      </w:tblPr>
      <w:tblGrid>
        <w:gridCol w:w="4464"/>
        <w:gridCol w:w="2232"/>
        <w:gridCol w:w="2664"/>
      </w:tblGrid>
      <w:tr>
        <w:trPr>
          <w:tblHeader w:val="true"/>
        </w:trPr>
        <w:tc>
          <w:tcPr>
            <w:tcW w:type="dxa" w:w="4464"/>
            <w:tcMar>
              <w:top w:w="80" w:type="dxa"/>
              <w:start w:w="120" w:type="dxa"/>
              <w:bottom w:w="80" w:type="dxa"/>
              <w:end w:w="120" w:type="dxa"/>
            </w:tcMar>
            <w:vAlign w:val="center"/>
            <w:shd w:fill="F2F4F7"/>
          </w:tcPr>
          <w:p>
            <w:pPr>
              <w:spacing w:before="0" w:after="0" w:line="264" w:lineRule="auto"/>
              <w:jc w:val="left"/>
            </w:pPr>
            <w:r>
              <w:rPr>
                <w:rFonts w:ascii="Calibri" w:hAnsi="Calibri"/>
                <w:b/>
                <w:i w:val="0"/>
                <w:color w:val="0B2545"/>
                <w:sz w:val="20"/>
              </w:rPr>
              <w:t>Provider</w:t>
            </w:r>
          </w:p>
        </w:tc>
        <w:tc>
          <w:tcPr>
            <w:tcW w:type="dxa" w:w="2232"/>
            <w:tcMar>
              <w:top w:w="80" w:type="dxa"/>
              <w:start w:w="120" w:type="dxa"/>
              <w:bottom w:w="80" w:type="dxa"/>
              <w:end w:w="120" w:type="dxa"/>
            </w:tcMar>
            <w:vAlign w:val="center"/>
            <w:shd w:fill="F2F4F7"/>
          </w:tcPr>
          <w:p>
            <w:pPr>
              <w:spacing w:before="0" w:after="0" w:line="264" w:lineRule="auto"/>
              <w:jc w:val="left"/>
            </w:pPr>
            <w:r>
              <w:rPr>
                <w:rFonts w:ascii="Calibri" w:hAnsi="Calibri"/>
                <w:b/>
                <w:i w:val="0"/>
                <w:color w:val="0B2545"/>
                <w:sz w:val="20"/>
              </w:rPr>
              <w:t>Category</w:t>
            </w:r>
          </w:p>
        </w:tc>
        <w:tc>
          <w:tcPr>
            <w:tcW w:type="dxa" w:w="2664"/>
            <w:tcMar>
              <w:top w:w="80" w:type="dxa"/>
              <w:start w:w="120" w:type="dxa"/>
              <w:bottom w:w="80" w:type="dxa"/>
              <w:end w:w="120" w:type="dxa"/>
            </w:tcMar>
            <w:vAlign w:val="center"/>
            <w:shd w:fill="F2F4F7"/>
          </w:tcPr>
          <w:p>
            <w:pPr>
              <w:spacing w:before="0" w:after="0" w:line="264" w:lineRule="auto"/>
              <w:jc w:val="left"/>
            </w:pPr>
            <w:r>
              <w:rPr>
                <w:rFonts w:ascii="Calibri" w:hAnsi="Calibri"/>
                <w:b/>
                <w:i w:val="0"/>
                <w:color w:val="0B2545"/>
                <w:sz w:val="20"/>
              </w:rPr>
              <w:t>Current form</w:t>
            </w:r>
          </w:p>
        </w:tc>
      </w:tr>
      <w:tr>
        <w:tc>
          <w:tcPr>
            <w:tcW w:type="dxa" w:w="4464"/>
          </w:tcPr>
          <w:p>
            <w:pPr>
              <w:spacing w:before="0" w:after="0" w:line="264" w:lineRule="auto"/>
              <w:jc w:val="left"/>
            </w:pPr>
            <w:r>
              <w:rPr>
                <w:rFonts w:ascii="Calibri" w:hAnsi="Calibri"/>
                <w:b w:val="0"/>
                <w:i w:val="0"/>
                <w:color w:val="1A1A1A"/>
                <w:sz w:val="19"/>
              </w:rPr>
              <w:t>ATC Ghana</w:t>
            </w:r>
          </w:p>
        </w:tc>
        <w:tc>
          <w:tcPr>
            <w:tcW w:type="dxa" w:w="2232"/>
          </w:tcPr>
          <w:p>
            <w:pPr>
              <w:spacing w:before="0" w:after="0" w:line="264" w:lineRule="auto"/>
              <w:jc w:val="left"/>
            </w:pPr>
            <w:r>
              <w:rPr>
                <w:rFonts w:ascii="Calibri" w:hAnsi="Calibri"/>
                <w:b w:val="0"/>
                <w:i w:val="0"/>
                <w:color w:val="1A1A1A"/>
                <w:sz w:val="19"/>
              </w:rPr>
              <w:t>Tower Operator</w:t>
            </w:r>
          </w:p>
        </w:tc>
        <w:tc>
          <w:tcPr>
            <w:tcW w:type="dxa" w:w="2664"/>
          </w:tcPr>
          <w:p>
            <w:pPr>
              <w:spacing w:before="0" w:after="0" w:line="264" w:lineRule="auto"/>
              <w:jc w:val="left"/>
            </w:pPr>
            <w:r>
              <w:rPr>
                <w:rFonts w:ascii="Calibri" w:hAnsi="Calibri"/>
                <w:b w:val="0"/>
                <w:i w:val="0"/>
                <w:color w:val="1A1A1A"/>
                <w:sz w:val="19"/>
              </w:rPr>
              <w:t>DC-ITC04</w:t>
            </w:r>
          </w:p>
        </w:tc>
      </w:tr>
      <w:tr>
        <w:tc>
          <w:tcPr>
            <w:tcW w:type="dxa" w:w="4464"/>
          </w:tcPr>
          <w:p>
            <w:pPr>
              <w:spacing w:before="0" w:after="0" w:line="264" w:lineRule="auto"/>
              <w:jc w:val="left"/>
            </w:pPr>
            <w:r>
              <w:rPr>
                <w:rFonts w:ascii="Calibri" w:hAnsi="Calibri"/>
                <w:b w:val="0"/>
                <w:i w:val="0"/>
                <w:color w:val="1A1A1A"/>
                <w:sz w:val="19"/>
              </w:rPr>
              <w:t>AirtelTigo Ghana</w:t>
            </w:r>
          </w:p>
        </w:tc>
        <w:tc>
          <w:tcPr>
            <w:tcW w:type="dxa" w:w="2232"/>
          </w:tcPr>
          <w:p>
            <w:pPr>
              <w:spacing w:before="0" w:after="0" w:line="264" w:lineRule="auto"/>
              <w:jc w:val="left"/>
            </w:pPr>
            <w:r>
              <w:rPr>
                <w:rFonts w:ascii="Calibri" w:hAnsi="Calibri"/>
                <w:b w:val="0"/>
                <w:i w:val="0"/>
                <w:color w:val="1A1A1A"/>
                <w:sz w:val="19"/>
              </w:rPr>
              <w:t>MNO</w:t>
            </w:r>
          </w:p>
        </w:tc>
        <w:tc>
          <w:tcPr>
            <w:tcW w:type="dxa" w:w="2664"/>
          </w:tcPr>
          <w:p>
            <w:pPr>
              <w:spacing w:before="0" w:after="0" w:line="264" w:lineRule="auto"/>
              <w:jc w:val="left"/>
            </w:pPr>
            <w:r>
              <w:rPr>
                <w:rFonts w:ascii="Calibri" w:hAnsi="Calibri"/>
                <w:b w:val="0"/>
                <w:i w:val="0"/>
                <w:color w:val="1A1A1A"/>
                <w:sz w:val="19"/>
              </w:rPr>
              <w:t>MNO-MONTHLY</w:t>
            </w:r>
          </w:p>
        </w:tc>
      </w:tr>
      <w:tr>
        <w:tc>
          <w:tcPr>
            <w:tcW w:type="dxa" w:w="4464"/>
          </w:tcPr>
          <w:p>
            <w:pPr>
              <w:spacing w:before="0" w:after="0" w:line="264" w:lineRule="auto"/>
              <w:jc w:val="left"/>
            </w:pPr>
            <w:r>
              <w:rPr>
                <w:rFonts w:ascii="Calibri" w:hAnsi="Calibri"/>
                <w:b w:val="0"/>
                <w:i w:val="0"/>
                <w:color w:val="1A1A1A"/>
                <w:sz w:val="19"/>
              </w:rPr>
              <w:t>MTN Ghana Limited</w:t>
            </w:r>
          </w:p>
        </w:tc>
        <w:tc>
          <w:tcPr>
            <w:tcW w:type="dxa" w:w="2232"/>
          </w:tcPr>
          <w:p>
            <w:pPr>
              <w:spacing w:before="0" w:after="0" w:line="264" w:lineRule="auto"/>
              <w:jc w:val="left"/>
            </w:pPr>
            <w:r>
              <w:rPr>
                <w:rFonts w:ascii="Calibri" w:hAnsi="Calibri"/>
                <w:b w:val="0"/>
                <w:i w:val="0"/>
                <w:color w:val="1A1A1A"/>
                <w:sz w:val="19"/>
              </w:rPr>
              <w:t>MNO</w:t>
            </w:r>
          </w:p>
        </w:tc>
        <w:tc>
          <w:tcPr>
            <w:tcW w:type="dxa" w:w="2664"/>
          </w:tcPr>
          <w:p>
            <w:pPr>
              <w:spacing w:before="0" w:after="0" w:line="264" w:lineRule="auto"/>
              <w:jc w:val="left"/>
            </w:pPr>
            <w:r>
              <w:rPr>
                <w:rFonts w:ascii="Calibri" w:hAnsi="Calibri"/>
                <w:b w:val="0"/>
                <w:i w:val="0"/>
                <w:color w:val="1A1A1A"/>
                <w:sz w:val="19"/>
              </w:rPr>
              <w:t>MNO-MONTHLY</w:t>
            </w:r>
          </w:p>
        </w:tc>
      </w:tr>
      <w:tr>
        <w:tc>
          <w:tcPr>
            <w:tcW w:type="dxa" w:w="4464"/>
          </w:tcPr>
          <w:p>
            <w:pPr>
              <w:spacing w:before="0" w:after="0" w:line="264" w:lineRule="auto"/>
              <w:jc w:val="left"/>
            </w:pPr>
            <w:r>
              <w:rPr>
                <w:rFonts w:ascii="Calibri" w:hAnsi="Calibri"/>
                <w:b w:val="0"/>
                <w:i w:val="0"/>
                <w:color w:val="1A1A1A"/>
                <w:sz w:val="19"/>
              </w:rPr>
              <w:t>Vodafone Ghana Limited</w:t>
            </w:r>
          </w:p>
        </w:tc>
        <w:tc>
          <w:tcPr>
            <w:tcW w:type="dxa" w:w="2232"/>
          </w:tcPr>
          <w:p>
            <w:pPr>
              <w:spacing w:before="0" w:after="0" w:line="264" w:lineRule="auto"/>
              <w:jc w:val="left"/>
            </w:pPr>
            <w:r>
              <w:rPr>
                <w:rFonts w:ascii="Calibri" w:hAnsi="Calibri"/>
                <w:b w:val="0"/>
                <w:i w:val="0"/>
                <w:color w:val="1A1A1A"/>
                <w:sz w:val="19"/>
              </w:rPr>
              <w:t>MNO</w:t>
            </w:r>
          </w:p>
        </w:tc>
        <w:tc>
          <w:tcPr>
            <w:tcW w:type="dxa" w:w="2664"/>
          </w:tcPr>
          <w:p>
            <w:pPr>
              <w:spacing w:before="0" w:after="0" w:line="264" w:lineRule="auto"/>
              <w:jc w:val="left"/>
            </w:pPr>
            <w:r>
              <w:rPr>
                <w:rFonts w:ascii="Calibri" w:hAnsi="Calibri"/>
                <w:b w:val="0"/>
                <w:i w:val="0"/>
                <w:color w:val="1A1A1A"/>
                <w:sz w:val="19"/>
              </w:rPr>
              <w:t>MNO-MONTHLY</w:t>
            </w:r>
          </w:p>
        </w:tc>
      </w:tr>
      <w:tr>
        <w:tc>
          <w:tcPr>
            <w:tcW w:type="dxa" w:w="4464"/>
          </w:tcPr>
          <w:p>
            <w:pPr>
              <w:spacing w:before="0" w:after="0" w:line="264" w:lineRule="auto"/>
              <w:jc w:val="left"/>
            </w:pPr>
            <w:r>
              <w:rPr>
                <w:rFonts w:ascii="Calibri" w:hAnsi="Calibri"/>
                <w:b w:val="0"/>
                <w:i w:val="0"/>
                <w:color w:val="1A1A1A"/>
                <w:sz w:val="19"/>
              </w:rPr>
              <w:t>Busy Internet</w:t>
            </w:r>
          </w:p>
        </w:tc>
        <w:tc>
          <w:tcPr>
            <w:tcW w:type="dxa" w:w="2232"/>
          </w:tcPr>
          <w:p>
            <w:pPr>
              <w:spacing w:before="0" w:after="0" w:line="264" w:lineRule="auto"/>
              <w:jc w:val="left"/>
            </w:pPr>
            <w:r>
              <w:rPr>
                <w:rFonts w:ascii="Calibri" w:hAnsi="Calibri"/>
                <w:b w:val="0"/>
                <w:i w:val="0"/>
                <w:color w:val="1A1A1A"/>
                <w:sz w:val="19"/>
              </w:rPr>
              <w:t>ISP</w:t>
            </w:r>
          </w:p>
        </w:tc>
        <w:tc>
          <w:tcPr>
            <w:tcW w:type="dxa" w:w="2664"/>
          </w:tcPr>
          <w:p>
            <w:pPr>
              <w:spacing w:before="0" w:after="0" w:line="264" w:lineRule="auto"/>
              <w:jc w:val="left"/>
            </w:pPr>
            <w:r>
              <w:rPr>
                <w:rFonts w:ascii="Calibri" w:hAnsi="Calibri"/>
                <w:b w:val="0"/>
                <w:i w:val="0"/>
                <w:color w:val="1A1A1A"/>
                <w:sz w:val="19"/>
              </w:rPr>
              <w:t>DC-ISP06</w:t>
            </w:r>
          </w:p>
        </w:tc>
      </w:tr>
      <w:tr>
        <w:tc>
          <w:tcPr>
            <w:tcW w:type="dxa" w:w="4464"/>
          </w:tcPr>
          <w:p>
            <w:pPr>
              <w:spacing w:before="0" w:after="0" w:line="264" w:lineRule="auto"/>
              <w:jc w:val="left"/>
            </w:pPr>
            <w:r>
              <w:rPr>
                <w:rFonts w:ascii="Calibri" w:hAnsi="Calibri"/>
                <w:b w:val="0"/>
                <w:i w:val="0"/>
                <w:color w:val="1A1A1A"/>
                <w:sz w:val="19"/>
              </w:rPr>
              <w:t>Surfline Communications</w:t>
            </w:r>
          </w:p>
        </w:tc>
        <w:tc>
          <w:tcPr>
            <w:tcW w:type="dxa" w:w="2232"/>
          </w:tcPr>
          <w:p>
            <w:pPr>
              <w:spacing w:before="0" w:after="0" w:line="264" w:lineRule="auto"/>
              <w:jc w:val="left"/>
            </w:pPr>
            <w:r>
              <w:rPr>
                <w:rFonts w:ascii="Calibri" w:hAnsi="Calibri"/>
                <w:b w:val="0"/>
                <w:i w:val="0"/>
                <w:color w:val="1A1A1A"/>
                <w:sz w:val="19"/>
              </w:rPr>
              <w:t>ISP</w:t>
            </w:r>
          </w:p>
        </w:tc>
        <w:tc>
          <w:tcPr>
            <w:tcW w:type="dxa" w:w="2664"/>
          </w:tcPr>
          <w:p>
            <w:pPr>
              <w:spacing w:before="0" w:after="0" w:line="264" w:lineRule="auto"/>
              <w:jc w:val="left"/>
            </w:pPr>
            <w:r>
              <w:rPr>
                <w:rFonts w:ascii="Calibri" w:hAnsi="Calibri"/>
                <w:b w:val="0"/>
                <w:i w:val="0"/>
                <w:color w:val="1A1A1A"/>
                <w:sz w:val="19"/>
              </w:rPr>
              <w:t>DC-ISP06</w:t>
            </w:r>
          </w:p>
        </w:tc>
      </w:tr>
      <w:tr>
        <w:tc>
          <w:tcPr>
            <w:tcW w:type="dxa" w:w="4464"/>
          </w:tcPr>
          <w:p>
            <w:pPr>
              <w:spacing w:before="0" w:after="0" w:line="264" w:lineRule="auto"/>
              <w:jc w:val="left"/>
            </w:pPr>
            <w:r>
              <w:rPr>
                <w:rFonts w:ascii="Calibri" w:hAnsi="Calibri"/>
                <w:b w:val="0"/>
                <w:i w:val="0"/>
                <w:color w:val="1A1A1A"/>
                <w:sz w:val="19"/>
              </w:rPr>
              <w:t>StarTimes Ghana</w:t>
            </w:r>
          </w:p>
        </w:tc>
        <w:tc>
          <w:tcPr>
            <w:tcW w:type="dxa" w:w="2232"/>
          </w:tcPr>
          <w:p>
            <w:pPr>
              <w:spacing w:before="0" w:after="0" w:line="264" w:lineRule="auto"/>
              <w:jc w:val="left"/>
            </w:pPr>
            <w:r>
              <w:rPr>
                <w:rFonts w:ascii="Calibri" w:hAnsi="Calibri"/>
                <w:b w:val="0"/>
                <w:i w:val="0"/>
                <w:color w:val="1A1A1A"/>
                <w:sz w:val="19"/>
              </w:rPr>
              <w:t>Pay TV</w:t>
            </w:r>
          </w:p>
        </w:tc>
        <w:tc>
          <w:tcPr>
            <w:tcW w:type="dxa" w:w="2664"/>
          </w:tcPr>
          <w:p>
            <w:pPr>
              <w:spacing w:before="0" w:after="0" w:line="264" w:lineRule="auto"/>
              <w:jc w:val="left"/>
            </w:pPr>
            <w:r>
              <w:rPr>
                <w:rFonts w:ascii="Calibri" w:hAnsi="Calibri"/>
                <w:b w:val="0"/>
                <w:i w:val="0"/>
                <w:color w:val="1A1A1A"/>
                <w:sz w:val="19"/>
              </w:rPr>
              <w:t>DC-TB02</w:t>
            </w:r>
          </w:p>
        </w:tc>
      </w:tr>
    </w:tbl>
    <w:p>
      <w:pPr>
        <w:spacing w:before="0" w:after="160" w:line="264" w:lineRule="auto"/>
        <w:jc w:val="left"/>
      </w:pPr>
      <w:r>
        <w:rPr>
          <w:rFonts w:ascii="Calibri" w:hAnsi="Calibri"/>
          <w:b w:val="0"/>
          <w:i/>
          <w:color w:val="5B6573"/>
          <w:sz w:val="22"/>
        </w:rPr>
        <w:t>The previously supplied PRD assessment states that seven pilot forms are required. The exact authoritative provider-to-form register and canonical source-form list must be supplied by NCA before production configuration. Its G-11 reference concerns email/Graph integration, while UC-11 concerns progress monitoring; provider/form matching should instead be reconciled to the form-mapping and frequency requirements.</w:t>
      </w:r>
    </w:p>
    <w:p>
      <w:pPr>
        <w:spacing w:before="320" w:after="160" w:line="264" w:lineRule="auto"/>
        <w:jc w:val="left"/>
      </w:pPr>
      <w:r>
        <w:rPr>
          <w:rFonts w:ascii="Calibri" w:hAnsi="Calibri"/>
          <w:b/>
          <w:i w:val="0"/>
          <w:color w:val="2E74B5"/>
          <w:sz w:val="32"/>
        </w:rPr>
        <w:t>Industry Dashboard integration</w:t>
      </w:r>
    </w:p>
    <w:p>
      <w:pPr>
        <w:spacing w:before="0" w:after="120" w:line="264" w:lineRule="auto"/>
        <w:jc w:val="left"/>
      </w:pPr>
      <w:r>
        <w:rPr>
          <w:rFonts w:ascii="Calibri" w:hAnsi="Calibri"/>
          <w:b w:val="0"/>
          <w:i w:val="0"/>
          <w:color w:val="1A1A1A"/>
          <w:sz w:val="22"/>
        </w:rPr>
        <w:t>Status: not integrated. The project currently has internal NCA operational dashboards and provider work dashboards only. There is no implemented Industry Dashboard route, data contract, visual component integration, refresh process or access model.</w:t>
      </w:r>
    </w:p>
    <w:p>
      <w:pPr>
        <w:spacing w:before="0" w:after="120" w:line="264" w:lineRule="auto"/>
        <w:jc w:val="left"/>
      </w:pPr>
      <w:r>
        <w:rPr>
          <w:rFonts w:ascii="Calibri" w:hAnsi="Calibri"/>
          <w:b/>
          <w:i w:val="0"/>
          <w:color w:val="1A1A1A"/>
          <w:sz w:val="22"/>
        </w:rPr>
        <w:t xml:space="preserve">Decision needed: </w:t>
      </w:r>
      <w:r>
        <w:rPr>
          <w:rFonts w:ascii="Calibri" w:hAnsi="Calibri"/>
          <w:b w:val="0"/>
          <w:i w:val="0"/>
          <w:color w:val="1A1A1A"/>
          <w:sz w:val="22"/>
        </w:rPr>
        <w:t>Before building it, confirm the following:</w:t>
      </w:r>
    </w:p>
    <w:p>
      <w:pPr>
        <w:pStyle w:val="ListBullet"/>
        <w:spacing w:before="0" w:after="160" w:line="280" w:lineRule="auto"/>
        <w:ind w:left="720" w:hanging="360"/>
        <w:jc w:val="left"/>
      </w:pPr>
      <w:r>
        <w:rPr>
          <w:rFonts w:ascii="Calibri" w:hAnsi="Calibri"/>
          <w:b w:val="0"/>
          <w:i w:val="0"/>
          <w:color w:val="1A1A1A"/>
          <w:sz w:val="22"/>
        </w:rPr>
        <w:t>Target users and access level: public, NCA-only, provider-visible or a mixed model.</w:t>
      </w:r>
    </w:p>
    <w:p>
      <w:pPr>
        <w:pStyle w:val="ListBullet"/>
        <w:spacing w:before="0" w:after="160" w:line="280" w:lineRule="auto"/>
        <w:ind w:left="720" w:hanging="360"/>
        <w:jc w:val="left"/>
      </w:pPr>
      <w:r>
        <w:rPr>
          <w:rFonts w:ascii="Calibri" w:hAnsi="Calibri"/>
          <w:b w:val="0"/>
          <w:i w:val="0"/>
          <w:color w:val="1A1A1A"/>
          <w:sz w:val="22"/>
        </w:rPr>
        <w:t>Approved metrics, aggregation rules, time periods and suppression thresholds for commercially sensitive data.</w:t>
      </w:r>
    </w:p>
    <w:p>
      <w:pPr>
        <w:pStyle w:val="ListBullet"/>
        <w:spacing w:before="0" w:after="160" w:line="280" w:lineRule="auto"/>
        <w:ind w:left="720" w:hanging="360"/>
        <w:jc w:val="left"/>
      </w:pPr>
      <w:r>
        <w:rPr>
          <w:rFonts w:ascii="Calibri" w:hAnsi="Calibri"/>
          <w:b w:val="0"/>
          <w:i w:val="0"/>
          <w:color w:val="1A1A1A"/>
          <w:sz w:val="22"/>
        </w:rPr>
        <w:t>Source dataset: direct analytical view, curated export, OneDrive analysis workbook or another approved source.</w:t>
      </w:r>
    </w:p>
    <w:p>
      <w:pPr>
        <w:pStyle w:val="ListBullet"/>
        <w:spacing w:before="0" w:after="160" w:line="280" w:lineRule="auto"/>
        <w:ind w:left="720" w:hanging="360"/>
        <w:jc w:val="left"/>
      </w:pPr>
      <w:r>
        <w:rPr>
          <w:rFonts w:ascii="Calibri" w:hAnsi="Calibri"/>
          <w:b w:val="0"/>
          <w:i w:val="0"/>
          <w:color w:val="1A1A1A"/>
          <w:sz w:val="22"/>
        </w:rPr>
        <w:t>Required visuals, filters, drill-down behaviour, export permissions and refresh frequency.</w:t>
      </w:r>
    </w:p>
    <w:p>
      <w:pPr>
        <w:pStyle w:val="ListBullet"/>
        <w:spacing w:before="0" w:after="160" w:line="280" w:lineRule="auto"/>
        <w:ind w:left="720" w:hanging="360"/>
        <w:jc w:val="left"/>
      </w:pPr>
      <w:r>
        <w:rPr>
          <w:rFonts w:ascii="Calibri" w:hAnsi="Calibri"/>
          <w:b w:val="0"/>
          <w:i w:val="0"/>
          <w:color w:val="1A1A1A"/>
          <w:sz w:val="22"/>
        </w:rPr>
        <w:t>Ownership of metric definitions and a sign-off process for changes.</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before="0" w:after="60" w:line="264" w:lineRule="auto"/>
              <w:jc w:val="left"/>
            </w:pPr>
            <w:r>
              <w:rPr>
                <w:rFonts w:ascii="Calibri" w:hAnsi="Calibri"/>
                <w:b/>
                <w:i w:val="0"/>
                <w:color w:val="0B2545"/>
                <w:sz w:val="22"/>
              </w:rPr>
              <w:t>Recommended design boundary</w:t>
            </w:r>
          </w:p>
          <w:p>
            <w:pPr>
              <w:spacing w:before="0" w:after="0" w:line="264" w:lineRule="auto"/>
              <w:jc w:val="left"/>
            </w:pPr>
            <w:r>
              <w:rPr>
                <w:rFonts w:ascii="Calibri" w:hAnsi="Calibri"/>
                <w:b w:val="0"/>
                <w:i w:val="0"/>
                <w:color w:val="1A1A1A"/>
                <w:sz w:val="22"/>
              </w:rPr>
              <w:t>Keep the Industry Dashboard separate from the internal operational dashboard. Publish only aggregated, approved measures through a curated analytics API or scheduled dataset; do not expose raw provider-level data or direct production database credentials.</w:t>
            </w:r>
          </w:p>
        </w:tc>
      </w:tr>
    </w:tbl>
    <w:p>
      <w:pPr>
        <w:spacing w:after="40"/>
      </w:pPr>
    </w:p>
    <w:p>
      <w:pPr>
        <w:spacing w:before="320" w:after="160" w:line="264" w:lineRule="auto"/>
        <w:jc w:val="left"/>
      </w:pPr>
      <w:r>
        <w:rPr>
          <w:rFonts w:ascii="Calibri" w:hAnsi="Calibri"/>
          <w:b/>
          <w:i w:val="0"/>
          <w:color w:val="2E74B5"/>
          <w:sz w:val="32"/>
        </w:rPr>
        <w:t>Authentication position</w:t>
      </w:r>
    </w:p>
    <w:p>
      <w:pPr>
        <w:spacing w:before="0" w:after="120" w:line="264" w:lineRule="auto"/>
        <w:jc w:val="left"/>
      </w:pPr>
      <w:r>
        <w:rPr>
          <w:rFonts w:ascii="Calibri" w:hAnsi="Calibri"/>
          <w:b w:val="0"/>
          <w:i w:val="0"/>
          <w:color w:val="1A1A1A"/>
          <w:sz w:val="22"/>
        </w:rPr>
        <w:t>Development and UAT do not need to wait for the NCA identity integration. Local JWT/password accounts can continue to support form mapping, role testing and workflow validation. Production authentication cannot be finalized until NCA confirms its identity provider, group/claim mapping, MFA policy, provider-user approach and account lifecycle process.</w:t>
      </w:r>
    </w:p>
    <w:p>
      <w:pPr>
        <w:spacing w:before="320" w:after="160" w:line="264" w:lineRule="auto"/>
        <w:jc w:val="left"/>
      </w:pPr>
      <w:r>
        <w:rPr>
          <w:rFonts w:ascii="Calibri" w:hAnsi="Calibri"/>
          <w:b/>
          <w:i w:val="0"/>
          <w:color w:val="2E74B5"/>
          <w:sz w:val="32"/>
        </w:rPr>
        <w:t>Two-workstream implementation split</w:t>
      </w:r>
    </w:p>
    <w:tbl>
      <w:tblPr>
        <w:tblStyle w:val="TableGrid"/>
        <w:tblW w:type="dxa" w:w="9360"/>
        <w:tblLayout w:type="fixed"/>
        <w:tblLook w:firstColumn="1" w:firstRow="1" w:lastColumn="0" w:lastRow="0" w:noHBand="0" w:noVBand="1" w:val="04A0"/>
        <w:tblInd w:w="120" w:type="dxa"/>
      </w:tblPr>
      <w:tblGrid>
        <w:gridCol w:w="1800"/>
        <w:gridCol w:w="2880"/>
        <w:gridCol w:w="4680"/>
      </w:tblGrid>
      <w:tr>
        <w:trPr>
          <w:tblHeader w:val="true"/>
        </w:trPr>
        <w:tc>
          <w:tcPr>
            <w:tcW w:type="dxa" w:w="1800"/>
            <w:tcMar>
              <w:top w:w="80" w:type="dxa"/>
              <w:start w:w="120" w:type="dxa"/>
              <w:bottom w:w="80" w:type="dxa"/>
              <w:end w:w="120" w:type="dxa"/>
            </w:tcMar>
            <w:vAlign w:val="center"/>
            <w:shd w:fill="E8EEF5"/>
          </w:tcPr>
          <w:p>
            <w:pPr>
              <w:spacing w:before="0" w:after="0" w:line="264" w:lineRule="auto"/>
              <w:jc w:val="left"/>
            </w:pPr>
            <w:r>
              <w:rPr>
                <w:rFonts w:ascii="Calibri" w:hAnsi="Calibri"/>
                <w:b/>
                <w:i w:val="0"/>
                <w:color w:val="0B2545"/>
                <w:sz w:val="20"/>
              </w:rPr>
              <w:t>Owner</w:t>
            </w:r>
          </w:p>
        </w:tc>
        <w:tc>
          <w:tcPr>
            <w:tcW w:type="dxa" w:w="2880"/>
            <w:tcMar>
              <w:top w:w="80" w:type="dxa"/>
              <w:start w:w="120" w:type="dxa"/>
              <w:bottom w:w="80" w:type="dxa"/>
              <w:end w:w="120" w:type="dxa"/>
            </w:tcMar>
            <w:vAlign w:val="center"/>
            <w:shd w:fill="E8EEF5"/>
          </w:tcPr>
          <w:p>
            <w:pPr>
              <w:spacing w:before="0" w:after="0" w:line="264" w:lineRule="auto"/>
              <w:jc w:val="left"/>
            </w:pPr>
            <w:r>
              <w:rPr>
                <w:rFonts w:ascii="Calibri" w:hAnsi="Calibri"/>
                <w:b/>
                <w:i w:val="0"/>
                <w:color w:val="0B2545"/>
                <w:sz w:val="20"/>
              </w:rPr>
              <w:t>Scope</w:t>
            </w:r>
          </w:p>
        </w:tc>
        <w:tc>
          <w:tcPr>
            <w:tcW w:type="dxa" w:w="4680"/>
            <w:tcMar>
              <w:top w:w="80" w:type="dxa"/>
              <w:start w:w="120" w:type="dxa"/>
              <w:bottom w:w="80" w:type="dxa"/>
              <w:end w:w="120" w:type="dxa"/>
            </w:tcMar>
            <w:vAlign w:val="center"/>
            <w:shd w:fill="E8EEF5"/>
          </w:tcPr>
          <w:p>
            <w:pPr>
              <w:spacing w:before="0" w:after="0" w:line="264" w:lineRule="auto"/>
              <w:jc w:val="left"/>
            </w:pPr>
            <w:r>
              <w:rPr>
                <w:rFonts w:ascii="Calibri" w:hAnsi="Calibri"/>
                <w:b/>
                <w:i w:val="0"/>
                <w:color w:val="0B2545"/>
                <w:sz w:val="20"/>
              </w:rPr>
              <w:t>Deliverables</w:t>
            </w:r>
          </w:p>
        </w:tc>
      </w:tr>
      <w:tr>
        <w:tc>
          <w:tcPr>
            <w:tcW w:type="dxa" w:w="1800"/>
          </w:tcPr>
          <w:p>
            <w:pPr>
              <w:spacing w:before="0" w:after="0" w:line="264" w:lineRule="auto"/>
              <w:jc w:val="left"/>
            </w:pPr>
            <w:r>
              <w:rPr>
                <w:rFonts w:ascii="Calibri" w:hAnsi="Calibri"/>
                <w:b/>
                <w:i w:val="0"/>
                <w:color w:val="1A1A1A"/>
                <w:sz w:val="19"/>
              </w:rPr>
              <w:t>Workstream A</w:t>
            </w:r>
          </w:p>
        </w:tc>
        <w:tc>
          <w:tcPr>
            <w:tcW w:type="dxa" w:w="2880"/>
          </w:tcPr>
          <w:p>
            <w:pPr>
              <w:spacing w:before="0" w:after="0" w:line="264" w:lineRule="auto"/>
              <w:jc w:val="left"/>
            </w:pPr>
            <w:r>
              <w:rPr>
                <w:rFonts w:ascii="Calibri" w:hAnsi="Calibri"/>
                <w:b w:val="0"/>
                <w:i w:val="0"/>
                <w:color w:val="1A1A1A"/>
                <w:sz w:val="19"/>
              </w:rPr>
              <w:t>Data, forms and analysis integration</w:t>
            </w:r>
          </w:p>
        </w:tc>
        <w:tc>
          <w:tcPr>
            <w:tcW w:type="dxa" w:w="4680"/>
          </w:tcPr>
          <w:p>
            <w:pPr>
              <w:spacing w:before="0" w:after="0" w:line="264" w:lineRule="auto"/>
              <w:jc w:val="left"/>
            </w:pPr>
            <w:r>
              <w:rPr>
                <w:rFonts w:ascii="Calibri" w:hAnsi="Calibri"/>
                <w:b w:val="0"/>
                <w:i w:val="0"/>
                <w:color w:val="1A1A1A"/>
                <w:sz w:val="19"/>
              </w:rPr>
              <w:t>Provider-to-form register; form import and field-level gap analysis; requester preview; OneDrive analysis workbook integration; export/data-contract tests.</w:t>
            </w:r>
          </w:p>
        </w:tc>
      </w:tr>
      <w:tr>
        <w:tc>
          <w:tcPr>
            <w:tcW w:type="dxa" w:w="1800"/>
          </w:tcPr>
          <w:p>
            <w:pPr>
              <w:spacing w:before="0" w:after="0" w:line="264" w:lineRule="auto"/>
              <w:jc w:val="left"/>
            </w:pPr>
            <w:r>
              <w:rPr>
                <w:rFonts w:ascii="Calibri" w:hAnsi="Calibri"/>
                <w:b/>
                <w:i w:val="0"/>
                <w:color w:val="1A1A1A"/>
                <w:sz w:val="19"/>
              </w:rPr>
              <w:t>Workstream B</w:t>
            </w:r>
          </w:p>
        </w:tc>
        <w:tc>
          <w:tcPr>
            <w:tcW w:type="dxa" w:w="2880"/>
          </w:tcPr>
          <w:p>
            <w:pPr>
              <w:spacing w:before="0" w:after="0" w:line="264" w:lineRule="auto"/>
              <w:jc w:val="left"/>
            </w:pPr>
            <w:r>
              <w:rPr>
                <w:rFonts w:ascii="Calibri" w:hAnsi="Calibri"/>
                <w:b w:val="0"/>
                <w:i w:val="0"/>
                <w:color w:val="1A1A1A"/>
                <w:sz w:val="19"/>
              </w:rPr>
              <w:t>Workflow, access and identity</w:t>
            </w:r>
          </w:p>
        </w:tc>
        <w:tc>
          <w:tcPr>
            <w:tcW w:type="dxa" w:w="4680"/>
          </w:tcPr>
          <w:p>
            <w:pPr>
              <w:spacing w:before="0" w:after="0" w:line="264" w:lineRule="auto"/>
              <w:jc w:val="left"/>
            </w:pPr>
            <w:r>
              <w:rPr>
                <w:rFonts w:ascii="Calibri" w:hAnsi="Calibri"/>
                <w:b w:val="0"/>
                <w:i w:val="0"/>
                <w:color w:val="1A1A1A"/>
                <w:sz w:val="19"/>
              </w:rPr>
              <w:t>Live provider-to-approver UAT; approver-only official communication; NCA Officer RBAC expansion; Viewer division/grade identity; NCA authentication adapter; Industry Dashboard integration.</w:t>
            </w:r>
          </w:p>
        </w:tc>
      </w:tr>
    </w:tbl>
    <w:p>
      <w:pPr>
        <w:spacing w:before="240" w:after="120" w:line="264" w:lineRule="auto"/>
        <w:jc w:val="left"/>
      </w:pPr>
      <w:r>
        <w:rPr>
          <w:rFonts w:ascii="Calibri" w:hAnsi="Calibri"/>
          <w:b/>
          <w:i w:val="0"/>
          <w:color w:val="2E74B5"/>
          <w:sz w:val="26"/>
        </w:rPr>
        <w:t>Shared merge and acceptance gates</w:t>
      </w:r>
    </w:p>
    <w:p>
      <w:pPr>
        <w:pStyle w:val="ListNumber"/>
        <w:spacing w:before="0" w:after="160" w:line="280" w:lineRule="auto"/>
        <w:ind w:left="720" w:hanging="360"/>
        <w:jc w:val="left"/>
      </w:pPr>
      <w:r>
        <w:rPr>
          <w:rFonts w:ascii="Calibri" w:hAnsi="Calibri"/>
          <w:b w:val="0"/>
          <w:i w:val="0"/>
          <w:color w:val="1A1A1A"/>
          <w:sz w:val="22"/>
        </w:rPr>
        <w:t>Agree the corrected PRD reference, formal role matrix and authoritative provider-to-form register before either workstream changes production configuration.</w:t>
      </w:r>
    </w:p>
    <w:p>
      <w:pPr>
        <w:pStyle w:val="ListNumber"/>
        <w:spacing w:before="0" w:after="160" w:line="280" w:lineRule="auto"/>
        <w:ind w:left="720" w:hanging="360"/>
        <w:jc w:val="left"/>
      </w:pPr>
      <w:r>
        <w:rPr>
          <w:rFonts w:ascii="Calibri" w:hAnsi="Calibri"/>
          <w:b w:val="0"/>
          <w:i w:val="0"/>
          <w:color w:val="1A1A1A"/>
          <w:sz w:val="22"/>
        </w:rPr>
        <w:t>After real forms are loaded, rerun the Data Entry to Provider Approver to NCA flow against every representative form category.</w:t>
      </w:r>
    </w:p>
    <w:p>
      <w:pPr>
        <w:pStyle w:val="ListNumber"/>
        <w:spacing w:before="0" w:after="160" w:line="280" w:lineRule="auto"/>
        <w:ind w:left="720" w:hanging="360"/>
        <w:jc w:val="left"/>
      </w:pPr>
      <w:r>
        <w:rPr>
          <w:rFonts w:ascii="Calibri" w:hAnsi="Calibri"/>
          <w:b w:val="0"/>
          <w:i w:val="0"/>
          <w:color w:val="1A1A1A"/>
          <w:sz w:val="22"/>
        </w:rPr>
        <w:t>Use the Viewer division/grade model to confirm which datasets and Industry Dashboard views each account may access.</w:t>
      </w:r>
    </w:p>
    <w:p>
      <w:pPr>
        <w:pStyle w:val="ListNumber"/>
        <w:spacing w:before="0" w:after="160" w:line="280" w:lineRule="auto"/>
        <w:ind w:left="720" w:hanging="360"/>
        <w:jc w:val="left"/>
      </w:pPr>
      <w:r>
        <w:rPr>
          <w:rFonts w:ascii="Calibri" w:hAnsi="Calibri"/>
          <w:b w:val="0"/>
          <w:i w:val="0"/>
          <w:color w:val="1A1A1A"/>
          <w:sz w:val="22"/>
        </w:rPr>
        <w:t>Complete one joint UAT: entry of real form data, approver submission, NCA review, approved data request, preview/download, OneDrive refresh and Industry Dashboard data validation.</w:t>
      </w:r>
    </w:p>
    <w:p>
      <w:pPr>
        <w:spacing w:before="320" w:after="160" w:line="264" w:lineRule="auto"/>
        <w:jc w:val="left"/>
      </w:pPr>
      <w:r>
        <w:rPr>
          <w:rFonts w:ascii="Calibri" w:hAnsi="Calibri"/>
          <w:b/>
          <w:i w:val="0"/>
          <w:color w:val="2E74B5"/>
          <w:sz w:val="32"/>
        </w:rPr>
        <w:t>Immediate priorities</w:t>
      </w:r>
    </w:p>
    <w:p>
      <w:pPr>
        <w:pStyle w:val="ListBullet"/>
        <w:spacing w:before="0" w:after="160" w:line="280" w:lineRule="auto"/>
        <w:ind w:left="720" w:hanging="360"/>
        <w:jc w:val="left"/>
      </w:pPr>
      <w:r>
        <w:rPr>
          <w:rFonts w:ascii="Calibri" w:hAnsi="Calibri"/>
          <w:b w:val="0"/>
          <w:i w:val="0"/>
          <w:color w:val="1A1A1A"/>
          <w:sz w:val="22"/>
        </w:rPr>
        <w:t>Obtain NCA-approved source forms and the provider-to-form obligation register.</w:t>
      </w:r>
    </w:p>
    <w:p>
      <w:pPr>
        <w:pStyle w:val="ListBullet"/>
        <w:spacing w:before="0" w:after="160" w:line="280" w:lineRule="auto"/>
        <w:ind w:left="720" w:hanging="360"/>
        <w:jc w:val="left"/>
      </w:pPr>
      <w:r>
        <w:rPr>
          <w:rFonts w:ascii="Calibri" w:hAnsi="Calibri"/>
          <w:b w:val="0"/>
          <w:i w:val="0"/>
          <w:color w:val="1A1A1A"/>
          <w:sz w:val="22"/>
        </w:rPr>
        <w:t>Load and approve real form structures before relying on provider data entry.</w:t>
      </w:r>
    </w:p>
    <w:p>
      <w:pPr>
        <w:pStyle w:val="ListBullet"/>
        <w:spacing w:before="0" w:after="160" w:line="280" w:lineRule="auto"/>
        <w:ind w:left="720" w:hanging="360"/>
        <w:jc w:val="left"/>
      </w:pPr>
      <w:r>
        <w:rPr>
          <w:rFonts w:ascii="Calibri" w:hAnsi="Calibri"/>
          <w:b w:val="0"/>
          <w:i w:val="0"/>
          <w:color w:val="1A1A1A"/>
          <w:sz w:val="22"/>
        </w:rPr>
        <w:t>Remove direct NCA email paths from Provider Data Entry users and enforce the restriction in the API.</w:t>
      </w:r>
    </w:p>
    <w:p>
      <w:pPr>
        <w:pStyle w:val="ListBullet"/>
        <w:spacing w:before="0" w:after="160" w:line="280" w:lineRule="auto"/>
        <w:ind w:left="720" w:hanging="360"/>
        <w:jc w:val="left"/>
      </w:pPr>
      <w:r>
        <w:rPr>
          <w:rFonts w:ascii="Calibri" w:hAnsi="Calibri"/>
          <w:b w:val="0"/>
          <w:i w:val="0"/>
          <w:color w:val="1A1A1A"/>
          <w:sz w:val="22"/>
        </w:rPr>
        <w:t>Agree the Industry Dashboard specification and the OneDrive workbook data contract.</w:t>
      </w:r>
    </w:p>
    <w:p>
      <w:pPr>
        <w:pStyle w:val="ListBullet"/>
        <w:spacing w:before="0" w:after="160" w:line="280" w:lineRule="auto"/>
        <w:ind w:left="720" w:hanging="360"/>
        <w:jc w:val="left"/>
      </w:pPr>
      <w:r>
        <w:rPr>
          <w:rFonts w:ascii="Calibri" w:hAnsi="Calibri"/>
          <w:b w:val="0"/>
          <w:i w:val="0"/>
          <w:color w:val="1A1A1A"/>
          <w:sz w:val="22"/>
        </w:rPr>
        <w:t>Finalize NCA Officer, Viewer, division and grade permissions before onboarding users.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right"/>
    </w:pPr>
    <w:r>
      <w:rPr>
        <w:rFonts w:ascii="Calibri" w:hAnsi="Calibri"/>
        <w:b w:val="0"/>
        <w:i w:val="0"/>
        <w:color w:val="5B6573"/>
        <w:sz w:val="17"/>
      </w:rPr>
      <w:t xml:space="preserve">Internal working report  |  10 August 2026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64" w:lineRule="auto"/>
      <w:jc w:val="left"/>
    </w:pPr>
    <w:r>
      <w:rPr>
        <w:rFonts w:ascii="Calibri" w:hAnsi="Calibri"/>
        <w:b/>
        <w:i w:val="0"/>
        <w:color w:val="5B6573"/>
        <w:sz w:val="17"/>
      </w:rPr>
      <w:t>NCA DATA COLLECTION SYSTEM</w:t>
    </w:r>
    <w:r>
      <w:rPr>
        <w:rFonts w:ascii="Calibri" w:hAnsi="Calibri"/>
        <w:b w:val="0"/>
        <w:i w:val="0"/>
        <w:color w:val="5B6573"/>
        <w:sz w:val="17"/>
      </w:rPr>
      <w:t xml:space="preserve">  |  Status Report and Workstream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