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both"/>
        <w:spacing w:after="40"/>
        <w:rPr>
          <w:b w:val="1"/>
          <w:color w:val="1F3864"/>
          <w:sz w:val="40"/>
          <w:szCs w:val="40"/>
          <w:shd w:val="clear" w:color="auto" w:fill="auto"/>
          <w:rFonts w:ascii="나눔고딕" w:eastAsia="나눔고딕" w:hAnsi="나눔고딕" w:cs="나눔고딕" w:hint="eastAsia"/>
        </w:rPr>
      </w:pPr>
      <w:r>
        <w:rPr>
          <w:b w:val="1"/>
          <w:color w:val="1F3864"/>
          <w:sz w:val="40"/>
          <w:szCs w:val="40"/>
          <w:shd w:val="clear" w:color="auto" w:fill="auto"/>
          <w:rFonts w:ascii="나눔고딕" w:eastAsia="나눔고딕" w:hAnsi="나눔고딕" w:cs="나눔고딕"/>
        </w:rPr>
        <w:t xml:space="preserve">Case Study</w:t>
      </w:r>
      <w:r>
        <w:rPr>
          <w:b w:val="1"/>
          <w:color w:val="1F3864"/>
          <w:sz w:val="40"/>
          <w:szCs w:val="40"/>
          <w:shd w:val="clear" w:color="auto" w:fill="auto"/>
          <w:rFonts w:ascii="나눔고딕" w:eastAsia="나눔고딕" w:hAnsi="나눔고딕" w:cs="나눔고딕" w:hint="eastAsia"/>
        </w:rPr>
        <w:t xml:space="preserve">: 한앤컴퍼니</w:t>
      </w:r>
    </w:p>
    <w:p>
      <w:pPr>
        <w:jc w:val="both"/>
        <w:spacing w:after="80"/>
        <w:rPr>
          <w:color w:val="595959"/>
          <w:sz w:val="20"/>
          <w:szCs w:val="20"/>
          <w:shd w:val="clear" w:color="auto" w:fill="auto"/>
          <w:rFonts w:ascii="나눔고딕" w:eastAsia="나눔고딕" w:hAnsi="나눔고딕" w:cs="나눔고딕"/>
        </w:rPr>
      </w:pPr>
      <w:r>
        <w:rPr>
          <w:color w:val="595959"/>
          <w:sz w:val="20"/>
          <w:szCs w:val="20"/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jc w:val="both"/>
        <w:spacing w:after="80"/>
        <w:ind w:firstLine="7380"/>
        <w:rPr>
          <w:b w:val="1"/>
          <w:sz w:val="20"/>
          <w:szCs w:val="2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z w:val="20"/>
          <w:szCs w:val="20"/>
          <w:shd w:val="clear" w:color="auto" w:fill="auto"/>
          <w:rFonts w:ascii="나눔고딕" w:eastAsia="나눔고딕" w:hAnsi="나눔고딕" w:cs="나눔고딕"/>
        </w:rPr>
        <w:t xml:space="preserve">작성팀: 3조</w:t>
      </w:r>
    </w:p>
    <w:p>
      <w:pPr>
        <w:jc w:val="both"/>
        <w:spacing w:after="80"/>
        <w:ind w:firstLine="7380"/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z w:val="20"/>
          <w:szCs w:val="20"/>
          <w:shd w:val="clear" w:color="auto" w:fill="auto"/>
          <w:rFonts w:ascii="나눔고딕" w:eastAsia="나눔고딕" w:hAnsi="나눔고딕" w:cs="나눔고딕"/>
        </w:rPr>
        <w:t xml:space="preserve">작성일: 2026.07.21</w:t>
      </w: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1. [한앤컴퍼니] Highlight</w:t>
      </w:r>
    </w:p>
    <w:p>
      <w:pPr>
        <w:pStyle w:val="PO9"/>
        <w:jc w:val="both"/>
        <w:spacing w:before="280" w:after="80"/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" w:name="_1ghtj67lttur"/>
      <w:bookmarkEnd w:id="1"/>
      <w: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1) 한 줄 요약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한국 기업의 경영권 인수에 특화된 국내 최대급 바이아웃 PEF로, 대기업 카브아웃과 볼트온 M&amp;A를 통해 </w:t>
      </w:r>
      <w:r>
        <w:rPr>
          <w:shd w:val="clear" w:color="auto" w:fill="auto"/>
          <w:rFonts w:ascii="나눔고딕" w:eastAsia="나눔고딕" w:hAnsi="나눔고딕" w:cs="나눔고딕"/>
        </w:rPr>
        <w:t xml:space="preserve">기업가치를 높이며 최근 반도체 소재·헬스케어·부동산·크레딧으로 영역을 확장해 종합 대체투자 하우스로 </w:t>
      </w:r>
      <w:r>
        <w:rPr>
          <w:shd w:val="clear" w:color="auto" w:fill="auto"/>
          <w:rFonts w:ascii="나눔고딕" w:eastAsia="나눔고딕" w:hAnsi="나눔고딕" w:cs="나눔고딕"/>
        </w:rPr>
        <w:t xml:space="preserve">전환하고 있다.</w:t>
      </w:r>
    </w:p>
    <w:p>
      <w:pPr>
        <w:pStyle w:val="PO9"/>
        <w:jc w:val="both"/>
        <w:spacing w:before="280" w:after="80"/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2" w:name="_fkoha1tunxxi"/>
      <w:bookmarkEnd w:id="2"/>
      <w: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2) 기본 정보</w:t>
      </w:r>
    </w:p>
    <w:p>
      <w:pPr>
        <w:numPr>
          <w:numId w:val="1"/>
          <w:ilvl w:val="0"/>
        </w:numPr>
        <w:jc w:val="both"/>
        <w:spacing w:lineRule="auto" w:line="360" w:before="24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설립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 시기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>:</w:t>
      </w:r>
      <w:r>
        <w:rPr>
          <w:shd w:val="clear" w:color="auto" w:fill="auto"/>
          <w:rFonts w:ascii="나눔고딕" w:eastAsia="나눔고딕" w:hAnsi="나눔고딕" w:cs="나눔고딕"/>
        </w:rPr>
        <w:t xml:space="preserve"> 2010</w:t>
      </w:r>
      <w:r>
        <w:rPr>
          <w:shd w:val="clear" w:color="auto" w:fill="auto"/>
          <w:rFonts w:ascii="나눔고딕" w:eastAsia="나눔고딕" w:hAnsi="나눔고딕" w:cs="나눔고딕" w:hint="eastAsia"/>
        </w:rPr>
        <w:t>.0</w:t>
      </w:r>
      <w:r>
        <w:rPr>
          <w:shd w:val="clear" w:color="auto" w:fill="auto"/>
          <w:rFonts w:ascii="나눔고딕" w:eastAsia="나눔고딕" w:hAnsi="나눔고딕" w:cs="나눔고딕"/>
        </w:rPr>
        <w:t xml:space="preserve">5 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본사 위치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>:</w:t>
      </w:r>
      <w:r>
        <w:rPr>
          <w:shd w:val="clear" w:color="auto" w:fill="auto"/>
          <w:rFonts w:ascii="나눔고딕" w:eastAsia="나눔고딕" w:hAnsi="나눔고딕" w:cs="나눔고딕"/>
        </w:rPr>
        <w:t xml:space="preserve">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서울특별시 중구 을지로 5길 19 페럼타워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운용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>규모:</w:t>
      </w:r>
      <w:r>
        <w:rPr>
          <w:shd w:val="clear" w:color="auto" w:fill="auto"/>
          <w:rFonts w:ascii="나눔고딕" w:eastAsia="나눔고딕" w:hAnsi="나눔고딕" w:cs="나눔고딕"/>
        </w:rPr>
        <w:t xml:space="preserve"> 금감원 집계 약정액 기준 약 13조 6,000억 원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투자했으며, </w:t>
      </w:r>
      <w:r>
        <w:rPr>
          <w:shd w:val="clear" w:color="auto" w:fill="auto"/>
          <w:rFonts w:ascii="나눔고딕" w:eastAsia="나눔고딕" w:hAnsi="나눔고딕" w:cs="나눔고딕"/>
        </w:rPr>
        <w:t xml:space="preserve">회사 발표 기준 2010년 </w:t>
      </w:r>
      <w:r>
        <w:rPr>
          <w:shd w:val="clear" w:color="auto" w:fill="auto"/>
          <w:rFonts w:ascii="나눔고딕" w:eastAsia="나눔고딕" w:hAnsi="나눔고딕" w:cs="나눔고딕"/>
        </w:rPr>
        <w:t xml:space="preserve">이후 한국 기업 38곳 이상에 누적 약 310억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달러 투자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대표 펀드:</w:t>
      </w:r>
      <w:r>
        <w:rPr>
          <w:shd w:val="clear" w:color="auto" w:fill="auto"/>
          <w:rFonts w:ascii="나눔고딕" w:eastAsia="나눔고딕" w:hAnsi="나눔고딕" w:cs="나눔고딕"/>
        </w:rPr>
        <w:t xml:space="preserve"> 2024년 결성한 4호 블라인드펀드</w:t>
      </w:r>
      <w:r>
        <w:rPr>
          <w:shd w:val="clear" w:color="auto" w:fill="auto"/>
          <w:rFonts w:ascii="나눔고딕" w:eastAsia="나눔고딕" w:hAnsi="나눔고딕" w:cs="나눔고딕" w:hint="eastAsia"/>
        </w:rPr>
        <w:t>로,</w:t>
      </w:r>
      <w:r>
        <w:rPr>
          <w:shd w:val="clear" w:color="auto" w:fill="auto"/>
          <w:rFonts w:ascii="나눔고딕" w:eastAsia="나눔고딕" w:hAnsi="나눔고딕" w:cs="나눔고딕"/>
        </w:rPr>
        <w:t xml:space="preserve">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규모 </w:t>
      </w:r>
      <w:r>
        <w:rPr>
          <w:shd w:val="clear" w:color="auto" w:fill="auto"/>
          <w:rFonts w:ascii="나눔고딕" w:eastAsia="나눔고딕" w:hAnsi="나눔고딕" w:cs="나눔고딕"/>
        </w:rPr>
        <w:t xml:space="preserve">약 4조7,000억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>원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주력 단계:</w:t>
      </w:r>
      <w:r>
        <w:rPr>
          <w:shd w:val="clear" w:color="auto" w:fill="auto"/>
          <w:rFonts w:ascii="나눔고딕" w:eastAsia="나눔고딕" w:hAnsi="나눔고딕" w:cs="나눔고딕"/>
        </w:rPr>
        <w:t xml:space="preserve"> 과반 지분을 확보하는 경영권 바이아웃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주력 지역:</w:t>
      </w:r>
      <w:r>
        <w:rPr>
          <w:shd w:val="clear" w:color="auto" w:fill="auto"/>
          <w:rFonts w:ascii="나눔고딕" w:eastAsia="나눔고딕" w:hAnsi="나눔고딕" w:cs="나눔고딕"/>
        </w:rPr>
        <w:t xml:space="preserve"> 한국 기</w:t>
      </w:r>
      <w:r>
        <w:rPr>
          <w:shd w:val="clear" w:color="auto" w:fill="auto"/>
          <w:rFonts w:ascii="나눔고딕" w:eastAsia="나눔고딕" w:hAnsi="나눔고딕" w:cs="나눔고딕" w:hint="eastAsia"/>
        </w:rPr>
        <w:t>업</w:t>
      </w:r>
    </w:p>
    <w:p>
      <w:pPr>
        <w:numPr>
          <w:numId w:val="1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주력 섹터: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시멘트, </w:t>
      </w:r>
      <w:r>
        <w:rPr>
          <w:shd w:val="clear" w:color="auto" w:fill="auto"/>
          <w:rFonts w:ascii="나눔고딕" w:eastAsia="나눔고딕" w:hAnsi="나눔고딕" w:cs="나눔고딕"/>
        </w:rPr>
        <w:t>해운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, </w:t>
      </w:r>
      <w:r>
        <w:rPr>
          <w:shd w:val="clear" w:color="auto" w:fill="auto"/>
          <w:rFonts w:ascii="나눔고딕" w:eastAsia="나눔고딕" w:hAnsi="나눔고딕" w:cs="나눔고딕"/>
        </w:rPr>
        <w:t xml:space="preserve">자동차부품 등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전통 제조업과 산업재를 기반으로 반도체 소재, 모빌리티,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헬스케어, 식품, 부동산까지 확대</w:t>
      </w:r>
    </w:p>
    <w:p>
      <w:pPr>
        <w:pStyle w:val="PO9"/>
        <w:jc w:val="both"/>
        <w:spacing w:before="280" w:after="80"/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3" w:name="_rwsra0cvw5r8"/>
      <w:bookmarkEnd w:id="3"/>
      <w: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3) 핵심 투자전략</w:t>
      </w:r>
    </w:p>
    <w:p>
      <w:pPr>
        <w:numPr>
          <w:numId w:val="7"/>
          <w:ilvl w:val="0"/>
        </w:numPr>
        <w:jc w:val="both"/>
        <w:spacing w:lineRule="auto" w:line="360" w:before="24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>카브아웃</w:t>
      </w:r>
      <w:r>
        <w:rPr>
          <w:shd w:val="clear" w:color="auto" w:fill="auto"/>
          <w:rFonts w:ascii="나눔고딕" w:eastAsia="나눔고딕" w:hAnsi="나눔고딕" w:cs="나눔고딕"/>
        </w:rPr>
        <w:t xml:space="preserve">: 대기업의 비주력 사업부를 분리 인수</w:t>
      </w:r>
    </w:p>
    <w:p>
      <w:pPr>
        <w:numPr>
          <w:numId w:val="7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>바이앤빌드</w:t>
      </w:r>
      <w:r>
        <w:rPr>
          <w:shd w:val="clear" w:color="auto" w:fill="auto"/>
          <w:rFonts w:ascii="나눔고딕" w:eastAsia="나눔고딕" w:hAnsi="나눔고딕" w:cs="나눔고딕"/>
        </w:rPr>
        <w:t xml:space="preserve">: 인수기업에 동종업체를 추가로 결합</w:t>
      </w:r>
    </w:p>
    <w:p>
      <w:pPr>
        <w:numPr>
          <w:numId w:val="7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회수 전략: </w:t>
      </w:r>
      <w:r>
        <w:rPr>
          <w:shd w:val="clear" w:color="auto" w:fill="auto"/>
          <w:rFonts w:ascii="나눔고딕" w:eastAsia="나눔고딕" w:hAnsi="나눔고딕" w:cs="나눔고딕"/>
        </w:rPr>
        <w:t xml:space="preserve">인수 후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브랜드 재구축, 수직계열화, 운영 효율화와 추가 M&amp;A를 통해 기업가치를 높인 </w:t>
      </w:r>
      <w:r>
        <w:rPr>
          <w:shd w:val="clear" w:color="auto" w:fill="auto"/>
          <w:rFonts w:ascii="나눔고딕" w:eastAsia="나눔고딕" w:hAnsi="나눔고딕" w:cs="나눔고딕"/>
        </w:rPr>
        <w:t xml:space="preserve">뒤 전략적 매각·IPO·배당·리캡·컨티뉴에이션 펀드 등으로 회</w:t>
      </w:r>
      <w:r>
        <w:rPr>
          <w:shd w:val="clear" w:color="auto" w:fill="auto"/>
          <w:rFonts w:ascii="나눔고딕" w:eastAsia="나눔고딕" w:hAnsi="나눔고딕" w:cs="나눔고딕" w:hint="eastAsia"/>
        </w:rPr>
        <w:t>수</w:t>
      </w:r>
    </w:p>
    <w:p>
      <w:pPr>
        <w:pStyle w:val="PO9"/>
        <w:jc w:val="both"/>
        <w:spacing w:before="280" w:after="80"/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4" w:name="_ylqdhcws4ap9"/>
      <w:bookmarkEnd w:id="4"/>
      <w: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4) 대표 포트폴리오</w:t>
      </w:r>
    </w:p>
    <w:p>
      <w:pPr>
        <w:numPr>
          <w:numId w:val="7"/>
          <w:ilvl w:val="0"/>
        </w:numPr>
        <w:jc w:val="both"/>
        <w:spacing w:lineRule="auto" w:line="360" w:before="24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쌍용C&amp;E</w:t>
      </w:r>
      <w:r>
        <w:rPr>
          <w:shd w:val="clear" w:color="auto" w:fill="auto"/>
          <w:rFonts w:ascii="나눔고딕" w:eastAsia="나눔고딕" w:hAnsi="나눔고딕" w:cs="나눔고딕"/>
        </w:rPr>
        <w:t xml:space="preserve">: 시멘트업계 볼트온과 환경사업 전환을 추진한 장기 보유 사례</w:t>
      </w:r>
    </w:p>
    <w:p>
      <w:pPr>
        <w:numPr>
          <w:numId w:val="7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케이카</w:t>
      </w:r>
      <w:r>
        <w:rPr>
          <w:shd w:val="clear" w:color="auto" w:fill="auto"/>
          <w:rFonts w:ascii="나눔고딕" w:eastAsia="나눔고딕" w:hAnsi="나눔고딕" w:cs="나눔고딕"/>
        </w:rPr>
        <w:t xml:space="preserve">: SK엔카 직영사업부를 독립 브랜드로 재구축해 IPO와 매각까지 연결한 사례</w:t>
      </w:r>
    </w:p>
    <w:p>
      <w:pPr>
        <w:numPr>
          <w:numId w:val="7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한온시스템</w:t>
      </w:r>
      <w:r>
        <w:rPr>
          <w:shd w:val="clear" w:color="auto" w:fill="auto"/>
          <w:rFonts w:ascii="나눔고딕" w:eastAsia="나눔고딕" w:hAnsi="나눔고딕" w:cs="나눔고딕"/>
        </w:rPr>
        <w:t xml:space="preserve">: 글로벌 자동차 열관리 기업에 대한 대형 장기 바이아웃</w:t>
      </w:r>
    </w:p>
    <w:p>
      <w:pPr>
        <w:numPr>
          <w:numId w:val="7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SK스페셜티</w:t>
      </w:r>
      <w:r>
        <w:rPr>
          <w:shd w:val="clear" w:color="auto" w:fill="auto"/>
          <w:rFonts w:ascii="나눔고딕" w:eastAsia="나눔고딕" w:hAnsi="나눔고딕" w:cs="나눔고딕"/>
        </w:rPr>
        <w:t xml:space="preserve">: AI·반도체 성장에 대응한 특수가스·첨단소재 투자</w:t>
      </w:r>
    </w:p>
    <w:p>
      <w:pPr>
        <w:numPr>
          <w:numId w:val="7"/>
          <w:ilvl w:val="0"/>
        </w:numPr>
        <w:jc w:val="both"/>
        <w:spacing w:lineRule="auto" w:line="360" w:before="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루트로닉·사이노슈어</w:t>
      </w:r>
      <w:r>
        <w:rPr>
          <w:shd w:val="clear" w:color="auto" w:fill="auto"/>
          <w:rFonts w:ascii="나눔고딕" w:eastAsia="나눔고딕" w:hAnsi="나눔고딕" w:cs="나눔고딕"/>
        </w:rPr>
        <w:t xml:space="preserve">: 볼트온 M&amp;A를 통한 글로벌 미용의료기기 플랫폼 구축</w:t>
      </w: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2. 설립 배경 &amp; Key Man</w:t>
      </w:r>
    </w:p>
    <w:p>
      <w:pPr>
        <w:pStyle w:val="PO9"/>
        <w:jc w:val="both"/>
        <w:spacing w:lineRule="auto" w:line="275" w:before="0" w:after="160"/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5" w:name="_t7j9lui6w1eb"/>
      <w:bookmarkEnd w:id="5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1) 한앤컴퍼니의 설립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28251D"/>
          <w:shd w:val="clear" w:color="auto" w:fill="auto"/>
          <w:rFonts w:ascii="나눔고딕" w:eastAsia="나눔고딕" w:hAnsi="나눔고딕" w:cs="나눔고딕"/>
        </w:rPr>
        <w:t xml:space="preserve">① 사모펀드 시장 성장과 대체투자 수요 확대를 배경으로 한 출범</w:t>
      </w:r>
      <w:r>
        <w:rPr>
          <w:b w:val="1"/>
          <w:color w:val="28251D"/>
          <w:shd w:val="clear" w:color="auto" w:fill="auto"/>
          <w:rFonts w:ascii="나눔고딕" w:eastAsia="나눔고딕" w:hAnsi="나눔고딕" w:cs="나눔고딕" w:hint="eastAsia"/>
        </w:rPr>
        <w:t>: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한앤컴퍼니는 2010년 설립된 독립계 </w:t>
      </w:r>
      <w:r>
        <w:rPr>
          <w:shd w:val="clear" w:color="auto" w:fill="auto"/>
          <w:rFonts w:ascii="나눔고딕" w:eastAsia="나눔고딕" w:hAnsi="나눔고딕" w:cs="나눔고딕"/>
        </w:rPr>
        <w:t xml:space="preserve">사모펀드 운용사로, 국내 PEF 시장의 구조적 변화와 수요 확대를 배경으로 출범</w:t>
      </w:r>
      <w:r>
        <w:rPr>
          <w:shd w:val="clear" w:color="auto" w:fill="auto"/>
          <w:rFonts w:ascii="나눔고딕" w:eastAsia="나눔고딕" w:hAnsi="나눔고딕" w:cs="나눔고딕" w:hint="eastAsia"/>
        </w:rPr>
        <w:t>했</w:t>
      </w:r>
      <w:r>
        <w:rPr>
          <w:shd w:val="clear" w:color="auto" w:fill="auto"/>
          <w:rFonts w:ascii="나눔고딕" w:eastAsia="나눔고딕" w:hAnsi="나눔고딕" w:cs="나눔고딕"/>
        </w:rPr>
        <w:t xml:space="preserve">다. 2004년 사모펀드 </w:t>
      </w:r>
      <w:r>
        <w:rPr>
          <w:shd w:val="clear" w:color="auto" w:fill="auto"/>
          <w:rFonts w:ascii="나눔고딕" w:eastAsia="나눔고딕" w:hAnsi="나눔고딕" w:cs="나눔고딕"/>
        </w:rPr>
        <w:t xml:space="preserve">제도 도입 이후 국내 시장이 빠르게 성장하는 가운데, 기관투자자의 대체투자 수요 확대와 함께 기업 인수 </w:t>
      </w:r>
      <w:r>
        <w:rPr>
          <w:shd w:val="clear" w:color="auto" w:fill="auto"/>
          <w:rFonts w:ascii="나눔고딕" w:eastAsia="나눔고딕" w:hAnsi="나눔고딕" w:cs="나눔고딕"/>
        </w:rPr>
        <w:t xml:space="preserve">및 구조조정 시장에서 PEF의 역할이 점차 커지는 시기였다.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②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금융위기 이후 '바이아웃(Buyout)' 중심으로의 시장 변화 대응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2008년 글로벌 금융위기를 기점으로 </w:t>
      </w:r>
      <w:r>
        <w:rPr>
          <w:shd w:val="clear" w:color="auto" w:fill="auto"/>
          <w:rFonts w:ascii="나눔고딕" w:eastAsia="나눔고딕" w:hAnsi="나눔고딕" w:cs="나눔고딕"/>
        </w:rPr>
        <w:t xml:space="preserve">기업 구조조정과 자산 매각이 본격화되면서 투자 기회가 급증했다. 특히 대기업 집단을 중심으로 비핵심 </w:t>
      </w:r>
      <w:r>
        <w:rPr>
          <w:shd w:val="clear" w:color="auto" w:fill="auto"/>
          <w:rFonts w:ascii="나눔고딕" w:eastAsia="나눔고딕" w:hAnsi="나눔고딕" w:cs="나눔고딕"/>
        </w:rPr>
        <w:t xml:space="preserve">사업 및 계열사 매각이 확대되었고, 단순한 소수지분 투자보다는 경영권 이전을 수반하는 거래가 증가하는 </w:t>
      </w:r>
      <w:r>
        <w:rPr>
          <w:shd w:val="clear" w:color="auto" w:fill="auto"/>
          <w:rFonts w:ascii="나눔고딕" w:eastAsia="나눔고딕" w:hAnsi="나눔고딕" w:cs="나눔고딕"/>
        </w:rPr>
        <w:t xml:space="preserve">등 시장의 중심이 점차 바이아웃 거래로 이동하기 시작했다.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③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글로벌 투자 경험을 바탕으로 한 소수 정예 바이아웃 전략 확립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이러한 환경 속에서 한앤컴퍼니는 해외 </w:t>
      </w:r>
      <w:r>
        <w:rPr>
          <w:shd w:val="clear" w:color="auto" w:fill="auto"/>
          <w:rFonts w:ascii="나눔고딕" w:eastAsia="나눔고딕" w:hAnsi="나눔고딕" w:cs="나눔고딕"/>
        </w:rPr>
        <w:t xml:space="preserve">투자기관에서 축적한 투자 경험을 바탕으로 독립하였으며, 한국 기업을 대상으로 한 경영권 인수 및 가치 </w:t>
      </w:r>
      <w:r>
        <w:rPr>
          <w:shd w:val="clear" w:color="auto" w:fill="auto"/>
          <w:rFonts w:ascii="나눔고딕" w:eastAsia="나눔고딕" w:hAnsi="나눔고딕" w:cs="나눔고딕"/>
        </w:rPr>
        <w:t xml:space="preserve">제고에 집중하는 운용사로 출범하였다. 설립 초기부터 기관투자자를 기반으로 한 자금 조달 능력과 소수 </w:t>
      </w:r>
      <w:r>
        <w:rPr>
          <w:shd w:val="clear" w:color="auto" w:fill="auto"/>
          <w:rFonts w:ascii="나눔고딕" w:eastAsia="나눔고딕" w:hAnsi="나눔고딕" w:cs="나눔고딕"/>
        </w:rPr>
        <w:t xml:space="preserve">정예의 투자 조직을 구축하며 바이아웃 중심 전략을 명확히 하였다.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④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한국형 로컬 바이아웃 모델 정착 및 시장의 대형화 주도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한앤컴퍼니의 설립은 글로벌 운용사 중심이던 </w:t>
      </w:r>
      <w:r>
        <w:rPr>
          <w:shd w:val="clear" w:color="auto" w:fill="auto"/>
          <w:rFonts w:ascii="나눔고딕" w:eastAsia="나눔고딕" w:hAnsi="나눔고딕" w:cs="나눔고딕"/>
        </w:rPr>
        <w:t xml:space="preserve">국내 경영권 투자 시장에 큰 변화를 가져왔다. 한국 기업환경에 대한 높은 이해도를 기반으로 한 '로컬 </w:t>
      </w:r>
      <w:r>
        <w:rPr>
          <w:shd w:val="clear" w:color="auto" w:fill="auto"/>
          <w:rFonts w:ascii="나눔고딕" w:eastAsia="나눔고딕" w:hAnsi="나눔고딕" w:cs="나눔고딕"/>
        </w:rPr>
        <w:t xml:space="preserve">바이아웃 모델'을 정착시켰으며, 대기업의 사업 포트폴리오 재편 과정에서 핵심적인 투자자로 참여할 수 </w:t>
      </w:r>
      <w:r>
        <w:rPr>
          <w:shd w:val="clear" w:color="auto" w:fill="auto"/>
          <w:rFonts w:ascii="나눔고딕" w:eastAsia="나눔고딕" w:hAnsi="나눔고딕" w:cs="나눔고딕"/>
        </w:rPr>
        <w:t xml:space="preserve">있는 기반을 마련했다. 이는 국내 바이아웃 시장의 대형화 및 전문화에 기여한 중요한 전환점으로 평가된다.</w:t>
      </w:r>
    </w:p>
    <w:p>
      <w:pPr>
        <w:pStyle w:val="PO9"/>
        <w:jc w:val="both"/>
        <w:spacing w:lineRule="auto" w:line="275" w:before="280" w:after="8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6" w:name="_6gxprndwxqlv"/>
      <w:bookmarkEnd w:id="6"/>
      <w: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2) 창업자의 경력과 인적 기반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①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투자와 기업 운영 역량의 상호 보완적 결합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한앤컴퍼니 창업자들의 가장 큰 특징은 투자 전문가와 기업 </w:t>
      </w:r>
      <w:r>
        <w:rPr>
          <w:shd w:val="clear" w:color="auto" w:fill="auto"/>
          <w:rFonts w:ascii="나눔고딕" w:eastAsia="나눔고딕" w:hAnsi="나눔고딕" w:cs="나눔고딕"/>
        </w:rPr>
        <w:t xml:space="preserve">경영 전문가가 결합했다는 점이다. 한상원 대표가 투자대상 발굴, 기업가치 평가, 거래 구조화 및 </w:t>
      </w:r>
      <w:r>
        <w:rPr>
          <w:shd w:val="clear" w:color="auto" w:fill="auto"/>
          <w:rFonts w:ascii="나눔고딕" w:eastAsia="나눔고딕" w:hAnsi="나눔고딕" w:cs="나눔고딕"/>
        </w:rPr>
        <w:t xml:space="preserve">기관투자자 자금조달을 담당하는 '투자 역량'을 제공했다면, 윤여을 회장은 인수 이후의 조직관리와 사업 </w:t>
      </w:r>
      <w:r>
        <w:rPr>
          <w:shd w:val="clear" w:color="auto" w:fill="auto"/>
          <w:rFonts w:ascii="나눔고딕" w:eastAsia="나눔고딕" w:hAnsi="나눔고딕" w:cs="나눔고딕"/>
        </w:rPr>
        <w:t xml:space="preserve">운영에 관한 '경영 경험'을 제공하여 바이아웃 투자의 전 과정을 상호 보완하는 구조를 형성했다. 두 사람은 </w:t>
      </w:r>
      <w:r>
        <w:rPr>
          <w:shd w:val="clear" w:color="auto" w:fill="auto"/>
          <w:rFonts w:ascii="나눔고딕" w:eastAsia="나눔고딕" w:hAnsi="나눔고딕" w:cs="나눔고딕"/>
        </w:rPr>
        <w:t xml:space="preserve">2010년 함께 회사를 설립하며 출범 당시부터 이러한 인적 기반을 확고히 구축했다.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>②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 한상원 대표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회사의 설립을 주도한 한상원 대표는 모건스탠리에서 15년간 근무하며 모건스탠리 </w:t>
      </w:r>
      <w:r>
        <w:rPr>
          <w:shd w:val="clear" w:color="auto" w:fill="auto"/>
          <w:rFonts w:ascii="나눔고딕" w:eastAsia="나눔고딕" w:hAnsi="나눔고딕" w:cs="나눔고딕"/>
        </w:rPr>
        <w:t xml:space="preserve">프라이빗에쿼티 아시아 최고투자책임자(CIO)와 한국법인 설립자 겸 대표이사를 역임했다. 이 경력을 통해 </w:t>
      </w:r>
      <w:r>
        <w:rPr>
          <w:shd w:val="clear" w:color="auto" w:fill="auto"/>
          <w:rFonts w:ascii="나눔고딕" w:eastAsia="나눔고딕" w:hAnsi="나눔고딕" w:cs="나눔고딕"/>
        </w:rPr>
        <w:t xml:space="preserve">국내외 기업의 투자대상 발굴부터 경영권 거래 구조화, 자금조달 및 기관투자자 관리까지 깊은 경험을 </w:t>
      </w:r>
      <w:r>
        <w:rPr>
          <w:shd w:val="clear" w:color="auto" w:fill="auto"/>
          <w:rFonts w:ascii="나눔고딕" w:eastAsia="나눔고딕" w:hAnsi="나눔고딕" w:cs="나눔고딕"/>
        </w:rPr>
        <w:t xml:space="preserve">축적했다. 특히 아시아 투자업무를 담당한 경험은 한국 기업을 글로벌 투자자의 관점에서 평가하고, </w:t>
      </w:r>
      <w:r>
        <w:rPr>
          <w:shd w:val="clear" w:color="auto" w:fill="auto"/>
          <w:rFonts w:ascii="나눔고딕" w:eastAsia="나눔고딕" w:hAnsi="나눔고딕" w:cs="나눔고딕"/>
        </w:rPr>
        <w:t xml:space="preserve">국제적인 기준에 따라 거래를 집행할 수 있는 토대가 되었다.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>③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 윤여을 회장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윤여을 회장은 소니그룹에서 21년간 근무하며 소니그룹 코리아 대표이사 사장을 역임한 </w:t>
      </w:r>
      <w:r>
        <w:rPr>
          <w:shd w:val="clear" w:color="auto" w:fill="auto"/>
          <w:rFonts w:ascii="나눔고딕" w:eastAsia="나눔고딕" w:hAnsi="나눔고딕" w:cs="나눔고딕"/>
        </w:rPr>
        <w:t xml:space="preserve">경영 전문가다. 글로벌 기업의 한국 사업을 장기간 경영하며 글로벌 본사와 국내 조직 사이의 관계를 </w:t>
      </w:r>
      <w:r>
        <w:rPr>
          <w:shd w:val="clear" w:color="auto" w:fill="auto"/>
          <w:rFonts w:ascii="나눔고딕" w:eastAsia="나눔고딕" w:hAnsi="나눔고딕" w:cs="나눔고딕"/>
        </w:rPr>
        <w:t xml:space="preserve">조정하고, 한국 시장에 적합한 사업전략을 실행하는 역량을 축적했다. 이는 한앤컴퍼니가 외국 </w:t>
      </w:r>
      <w:r>
        <w:rPr>
          <w:shd w:val="clear" w:color="auto" w:fill="auto"/>
          <w:rFonts w:ascii="나눔고딕" w:eastAsia="나눔고딕" w:hAnsi="나눔고딕" w:cs="나눔고딕"/>
        </w:rPr>
        <w:t xml:space="preserve">기관투자자의 자금을 운용하면서도 국내 포트폴리오 기업을 효과적으로 관리하는 데 가장 적합한 경험이 </w:t>
      </w:r>
      <w:r>
        <w:rPr>
          <w:shd w:val="clear" w:color="auto" w:fill="auto"/>
          <w:rFonts w:ascii="나눔고딕" w:eastAsia="나눔고딕" w:hAnsi="나눔고딕" w:cs="나눔고딕"/>
        </w:rPr>
        <w:t>되었다.</w:t>
      </w:r>
    </w:p>
    <w:p>
      <w:pPr>
        <w:jc w:val="both"/>
        <w:spacing w:before="0" w:after="160"/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jc w:val="both"/>
        <w:pBdr>
          <w:bottom w:sz="12" w:space="0" w:color="1F3864" w:val="single"/>
        </w:pBdr>
        <w:rPr>
          <w:color w:val="000000"/>
          <w:sz w:val="26"/>
          <w:szCs w:val="26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3. 투자 전략 &amp; 최근 행보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7" w:name="_pvf6kzwh6vfd"/>
      <w:bookmarkEnd w:id="7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1) 투자 스타일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한앤컴퍼니는 과반 지분을 확보하는 경영권 바이아웃을 중심으로 투자한다. 인수 대상별로 </w:t>
      </w:r>
      <w:r>
        <w:rPr>
          <w:shd w:val="clear" w:color="auto" w:fill="auto"/>
          <w:rFonts w:ascii="나눔고딕" w:eastAsia="나눔고딕" w:hAnsi="나눔고딕" w:cs="나눔고딕"/>
        </w:rPr>
        <w:t xml:space="preserve">특수목적법인(SPC)을 설립하고 인수금융을 조달하는 전형적인 LBO 구조를 적극 활용한다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. </w:t>
      </w:r>
      <w:r>
        <w:rPr>
          <w:shd w:val="clear" w:color="auto" w:fill="auto"/>
          <w:rFonts w:ascii="나눔고딕" w:eastAsia="나눔고딕" w:hAnsi="나눔고딕" w:cs="나눔고딕"/>
        </w:rPr>
        <w:t xml:space="preserve">투자 이후에는 </w:t>
      </w:r>
      <w:r>
        <w:rPr>
          <w:shd w:val="clear" w:color="auto" w:fill="auto"/>
          <w:rFonts w:ascii="나눔고딕" w:eastAsia="나눔고딕" w:hAnsi="나눔고딕" w:cs="나눔고딕"/>
        </w:rPr>
        <w:t xml:space="preserve">단순한 비용 절감보다 사업 구조와 지배구조에 직접 개입해 기업가치를 높이는 전략을 구사한다. 주요 </w:t>
      </w:r>
      <w:r>
        <w:rPr>
          <w:shd w:val="clear" w:color="auto" w:fill="auto"/>
          <w:rFonts w:ascii="나눔고딕" w:eastAsia="나눔고딕" w:hAnsi="나눔고딕" w:cs="나눔고딕"/>
        </w:rPr>
        <w:t xml:space="preserve">밸류업 방식은 다음과 같다.</w:t>
      </w:r>
    </w:p>
    <w:p>
      <w:pPr>
        <w:numPr>
          <w:numId w:val="4"/>
          <w:ilvl w:val="0"/>
        </w:numPr>
        <w:jc w:val="both"/>
        <w:spacing w:lineRule="auto" w:line="360" w:before="24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브랜드·법인 재구축</w:t>
      </w:r>
      <w:r>
        <w:rPr>
          <w:shd w:val="clear" w:color="auto" w:fill="auto"/>
          <w:rFonts w:ascii="나눔고딕" w:eastAsia="나눔고딕" w:hAnsi="나눔고딕" w:cs="나눔고딕"/>
        </w:rPr>
        <w:t xml:space="preserve">: SK엔카 직영사업부를 인수한 뒤 ‘케이카’로 독립시켜 IPO까지 진행</w:t>
      </w:r>
    </w:p>
    <w:p>
      <w:pPr>
        <w:numPr>
          <w:numId w:val="4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수직계열화</w:t>
      </w:r>
      <w:r>
        <w:rPr>
          <w:shd w:val="clear" w:color="auto" w:fill="auto"/>
          <w:rFonts w:ascii="나눔고딕" w:eastAsia="나눔고딕" w:hAnsi="나눔고딕" w:cs="나눔고딕"/>
        </w:rPr>
        <w:t xml:space="preserve">: 케이카캐피탈을 설립해 중고차 판매와 금융을 결합</w:t>
      </w:r>
    </w:p>
    <w:p>
      <w:pPr>
        <w:numPr>
          <w:numId w:val="4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볼트온 M&amp;A</w:t>
      </w:r>
      <w:r>
        <w:rPr>
          <w:shd w:val="clear" w:color="auto" w:fill="auto"/>
          <w:rFonts w:ascii="나눔고딕" w:eastAsia="나눔고딕" w:hAnsi="나눔고딕" w:cs="나눔고딕"/>
        </w:rPr>
        <w:t xml:space="preserve">: 루트로닉과 사이노슈어를 통합해 글로벌 미용의료기기 플랫폼 구축</w:t>
      </w:r>
    </w:p>
    <w:p>
      <w:pPr>
        <w:numPr>
          <w:numId w:val="4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완전자회사화</w:t>
      </w:r>
      <w:r>
        <w:rPr>
          <w:shd w:val="clear" w:color="auto" w:fill="auto"/>
          <w:rFonts w:ascii="나눔고딕" w:eastAsia="나눔고딕" w:hAnsi="나눔고딕" w:cs="나눔고딕"/>
        </w:rPr>
        <w:t xml:space="preserve">: 쌍용C&amp;E를 상장폐지해 신속한 구조조정과 자산 재편 기반 확보</w:t>
      </w:r>
    </w:p>
    <w:p>
      <w:pPr>
        <w:numPr>
          <w:numId w:val="4"/>
          <w:ilvl w:val="0"/>
        </w:numPr>
        <w:jc w:val="both"/>
        <w:spacing w:lineRule="auto" w:line="360" w:before="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리캡·배당 회수</w:t>
      </w:r>
      <w:r>
        <w:rPr>
          <w:shd w:val="clear" w:color="auto" w:fill="auto"/>
          <w:rFonts w:ascii="나눔고딕" w:eastAsia="나눔고딕" w:hAnsi="나눔고딕" w:cs="나눔고딕"/>
        </w:rPr>
        <w:t xml:space="preserve">: 배당재원과 리파이낸싱을 활용해 최종 매각 전 투자원금 일부를 조기에 회수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일반적인 보유 기간은 약 3~7년이지만, 케이카처럼 IPO와 배당을 병행하며 8년 이상 장기 보유하거나 </w:t>
      </w:r>
      <w:r>
        <w:rPr>
          <w:shd w:val="clear" w:color="auto" w:fill="auto"/>
          <w:rFonts w:ascii="나눔고딕" w:eastAsia="나눔고딕" w:hAnsi="나눔고딕" w:cs="나눔고딕"/>
        </w:rPr>
        <w:t xml:space="preserve">솔믹스처럼 약 1년 반 만에 매각하는 등 기업별 상황에 따라 회수 시점을 유연하게 조정한다.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8" w:name="_aobv4vnwv73"/>
      <w:bookmarkEnd w:id="8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2) 레버리지 및 딜 실행 방식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한앤컴퍼니는 인수금융을 활용해 자기자본 수익률을 높이는 동시에, 리파이낸싱을 통해 회수 시점을 </w:t>
      </w:r>
      <w:r>
        <w:rPr>
          <w:shd w:val="clear" w:color="auto" w:fill="auto"/>
          <w:rFonts w:ascii="나눔고딕" w:eastAsia="나눔고딕" w:hAnsi="나눔고딕" w:cs="나눔고딕"/>
        </w:rPr>
        <w:t xml:space="preserve">조정한다. SK스페셜티 인수에서는 약 1조 3,000억~1조 4,000억 원의 인수금융을 조달한 것으로 </w:t>
      </w:r>
      <w:r>
        <w:rPr>
          <w:shd w:val="clear" w:color="auto" w:fill="auto"/>
          <w:rFonts w:ascii="나눔고딕" w:eastAsia="나눔고딕" w:hAnsi="나눔고딕" w:cs="나눔고딕"/>
        </w:rPr>
        <w:t xml:space="preserve">알려졌으며, 전체 인수 가격 대비 약 50% 수준이다.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또한 대형 거래를 빠르게 종결하는 실행력이 강점이다. </w:t>
      </w:r>
      <w:r>
        <w:rPr>
          <w:shd w:val="clear" w:color="auto" w:fill="auto"/>
          <w:rFonts w:ascii="나눔고딕" w:eastAsia="나눔고딕" w:hAnsi="나눔고딕" w:cs="나눔고딕"/>
        </w:rPr>
        <w:t xml:space="preserve">SK스페셜티 지분 85% 인수는 2024년 12월 주식매매계약 체결 후 약 3개월 만인 2025년 3월 </w:t>
      </w:r>
      <w:r>
        <w:rPr>
          <w:shd w:val="clear" w:color="auto" w:fill="auto"/>
          <w:rFonts w:ascii="나눔고딕" w:eastAsia="나눔고딕" w:hAnsi="나눔고딕" w:cs="나눔고딕"/>
        </w:rPr>
        <w:t xml:space="preserve">종결됐다. 인수금액은 약 2조 6,000억 원으로, 2025년 국내 최대 규모 바이아웃 중 하나였다.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 w:hint="eastAsia"/>
        </w:rPr>
      </w:pP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9" w:name="_htnozbblhgpm"/>
      <w:bookmarkEnd w:id="9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3) 펀드 구조</w:t>
      </w:r>
    </w:p>
    <w:p>
      <w:pPr>
        <w:pStyle w:val="PO9"/>
        <w:jc w:val="both"/>
        <w:spacing w:lineRule="auto" w:line="275" w:before="0" w:after="160"/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</w:pP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>(1)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 xml:space="preserve"> 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>블라인드펀드</w:t>
      </w:r>
    </w:p>
    <w:tbl>
      <w:tblID w:val="0"/>
      <w:tblPr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0" w:type="dxa"/>
          <w:top w:w="100" w:type="dxa"/>
          <w:right w:w="100" w:type="dxa"/>
          <w:bottom w:w="100" w:type="dxa"/>
        </w:tblCellMar>
        <w:tblW w:w="9450" w:type="dxa"/>
        <w:tblLook w:val="000600" w:firstRow="0" w:lastRow="0" w:firstColumn="0" w:lastColumn="0" w:noHBand="1" w:noVBand="1"/>
        <w:tblLayout w:type="fixed"/>
      </w:tblPr>
      <w:tblGrid>
        <w:gridCol w:w="2362"/>
        <w:gridCol w:w="2362"/>
        <w:gridCol w:w="2363"/>
        <w:gridCol w:w="2363"/>
      </w:tblGrid>
      <w:tr>
        <w:trPr>
          <w:trHeight w:hRule="atleast" w:val="567"/>
        </w:trPr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펀드</w:t>
            </w:r>
          </w:p>
        </w:tc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결성 시기·규모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IRR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DPI</w:t>
            </w:r>
          </w:p>
        </w:tc>
      </w:tr>
      <w:tr>
        <w:trPr>
          <w:trHeight w:hRule="atleast" w:val="680"/>
        </w:trPr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1호 블라인드펀드</w:t>
            </w:r>
          </w:p>
        </w:tc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2011년, 8,500억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20%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160%</w:t>
            </w:r>
          </w:p>
        </w:tc>
      </w:tr>
      <w:tr>
        <w:trPr>
          <w:trHeight w:hRule="atleast" w:val="680"/>
        </w:trPr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2호 블라인드펀드</w:t>
            </w:r>
          </w:p>
        </w:tc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2014년, 1조 4,000억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25%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110%</w:t>
            </w:r>
          </w:p>
        </w:tc>
      </w:tr>
      <w:tr>
        <w:trPr>
          <w:trHeight w:hRule="atleast" w:val="680"/>
        </w:trPr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3호 블라인드펀드</w:t>
            </w:r>
          </w:p>
        </w:tc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2019년, 3조 8,000억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37%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30%대 ('25기준)</w:t>
            </w:r>
          </w:p>
        </w:tc>
      </w:tr>
      <w:tr>
        <w:trPr>
          <w:trHeight w:hRule="atleast" w:val="680"/>
        </w:trPr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4호 블라인드펀드</w:t>
            </w:r>
          </w:p>
        </w:tc>
        <w:tc>
          <w:tcPr>
            <w:tcW w:type="dxa" w:w="2362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2024년, 4조 7,000억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진행중</w:t>
            </w:r>
          </w:p>
        </w:tc>
        <w:tc>
          <w:tcPr>
            <w:tcW w:type="dxa" w:w="2363"/>
            <w:tcMar>
              <w:left w:w="56" w:type="dxa"/>
              <w:right w:w="56" w:type="dxa"/>
              <w:top w:w="56" w:type="dxa"/>
              <w:bottom w:w="56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jc w:val="center"/>
              <w:spacing w:lineRule="auto" w:line="360" w:before="20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진행중</w:t>
            </w:r>
          </w:p>
        </w:tc>
      </w:tr>
    </w:tbl>
    <w:p>
      <w:pPr>
        <w:jc w:val="both"/>
        <w:spacing w:lineRule="auto" w:line="275" w:after="40"/>
        <w:rPr>
          <w:sz w:val="16"/>
          <w:szCs w:val="16"/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4호 펀드는 약 4조 7,000억 원 규모로 조성된 한국 투자 전용 펀드 중 역대 최대 규모다. LP 구성도 </w:t>
      </w:r>
      <w:r>
        <w:rPr>
          <w:shd w:val="clear" w:color="auto" w:fill="auto"/>
          <w:rFonts w:ascii="나눔고딕" w:eastAsia="나눔고딕" w:hAnsi="나눔고딕" w:cs="나눔고딕"/>
        </w:rPr>
        <w:t xml:space="preserve">아시아 35%, 북미 30%, 중동 20% 등으로 다변화됐으며, 기존 3호 펀드에 1억 달러 이상 출자한 LP의 </w:t>
      </w:r>
      <w:r>
        <w:rPr>
          <w:shd w:val="clear" w:color="auto" w:fill="auto"/>
          <w:rFonts w:ascii="나눔고딕" w:eastAsia="나눔고딕" w:hAnsi="나눔고딕" w:cs="나눔고딕"/>
        </w:rPr>
        <w:t xml:space="preserve">약 93%가 후속 출자에 참여한 것으로 알려졌다. </w:t>
      </w:r>
    </w:p>
    <w:p>
      <w:pPr>
        <w:jc w:val="both"/>
        <w:spacing w:before="0" w:after="40"/>
        <w:rPr>
          <w:sz w:val="16"/>
          <w:szCs w:val="16"/>
          <w:shd w:val="clear" w:color="auto" w:fill="auto"/>
          <w:rFonts w:ascii="나눔고딕" w:eastAsia="나눔고딕" w:hAnsi="나눔고딕" w:cs="나눔고딕" w:hint="eastAsia"/>
        </w:rPr>
      </w:pPr>
    </w:p>
    <w:p>
      <w:pPr>
        <w:pStyle w:val="PO9"/>
        <w:jc w:val="both"/>
        <w:spacing w:lineRule="auto" w:line="275" w:before="0" w:after="0"/>
        <w:rPr>
          <w:sz w:val="21"/>
          <w:szCs w:val="21"/>
          <w:shd w:val="clear" w:color="auto" w:fill="auto"/>
          <w:rFonts w:ascii="나눔고딕" w:eastAsia="나눔고딕" w:hAnsi="나눔고딕" w:cs="나눔고딕"/>
        </w:rPr>
      </w:pPr>
      <w:bookmarkStart w:id="10" w:name="_qvpg8nfexach"/>
      <w:bookmarkEnd w:id="10"/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 xml:space="preserve">(2) 컨티뉴에이션 펀드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 w:hint="eastAsia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한앤컴퍼니는 전통적인 블라인드펀드뿐 아니라 우량 포트폴리오를 장기간 보유하기 위한 컨티뉴에이션 </w:t>
      </w:r>
      <w:r>
        <w:rPr>
          <w:shd w:val="clear" w:color="auto" w:fill="auto"/>
          <w:rFonts w:ascii="나눔고딕" w:eastAsia="나눔고딕" w:hAnsi="나눔고딕" w:cs="나눔고딕"/>
        </w:rPr>
        <w:t xml:space="preserve">펀드도 선도적으로 활용했다.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2022년 쌍용C&amp;E를 대상으로 약 15억 달러, 당시 환율 기준 약 1조 </w:t>
      </w:r>
      <w:r>
        <w:rPr>
          <w:shd w:val="clear" w:color="auto" w:fill="auto"/>
          <w:rFonts w:ascii="나눔고딕" w:eastAsia="나눔고딕" w:hAnsi="나눔고딕" w:cs="나눔고딕"/>
        </w:rPr>
        <w:t xml:space="preserve">9,000억 원 규모의 단일자산 컨티뉴에이션 펀드를 결성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한 바 있</w:t>
      </w:r>
      <w:r>
        <w:rPr>
          <w:shd w:val="clear" w:color="auto" w:fill="auto"/>
          <w:rFonts w:ascii="나눔고딕" w:eastAsia="나눔고딕" w:hAnsi="나눔고딕" w:cs="나눔고딕"/>
        </w:rPr>
        <w:t xml:space="preserve">다. 이는 국내 최초이자 당시 아시아 최대 </w:t>
      </w:r>
      <w:r>
        <w:rPr>
          <w:shd w:val="clear" w:color="auto" w:fill="auto"/>
          <w:rFonts w:ascii="나눔고딕" w:eastAsia="나눔고딕" w:hAnsi="나눔고딕" w:cs="나눔고딕"/>
        </w:rPr>
        <w:t xml:space="preserve">규모의 GP 주도형 세컨더리 거래로 평가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되며, </w:t>
      </w:r>
      <w:r>
        <w:rPr>
          <w:shd w:val="clear" w:color="auto" w:fill="auto"/>
          <w:rFonts w:ascii="나눔고딕" w:eastAsia="나눔고딕" w:hAnsi="나눔고딕" w:cs="나눔고딕"/>
        </w:rPr>
        <w:t xml:space="preserve">글로벌 세컨더리 운용사인 콜러캐피탈(Coller Capital)과 </w:t>
      </w:r>
      <w:r>
        <w:rPr>
          <w:shd w:val="clear" w:color="auto" w:fill="auto"/>
          <w:rFonts w:ascii="나눔고딕" w:eastAsia="나눔고딕" w:hAnsi="나눔고딕" w:cs="나눔고딕"/>
        </w:rPr>
        <w:t xml:space="preserve">공동 투자자들이 주요 LP로 참여했다. 운용사라고 평가할 수 있다.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1" w:name="_h36ikkuuc094"/>
      <w:bookmarkEnd w:id="11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4) 차별화 포인트</w:t>
      </w:r>
    </w:p>
    <w:p>
      <w:pPr>
        <w:jc w:val="both"/>
        <w:spacing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한앤컴퍼니의 가장 큰 경쟁력은 다음 네 가지로 정리된다.</w:t>
      </w:r>
    </w:p>
    <w:p>
      <w:pPr>
        <w:numPr>
          <w:numId w:val="2"/>
          <w:ilvl w:val="0"/>
        </w:numPr>
        <w:jc w:val="both"/>
        <w:spacing w:lineRule="auto" w:line="360" w:before="24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한국 투자 전용으로 조성된 국내 최대 규모의 투자 여력</w:t>
      </w:r>
    </w:p>
    <w:p>
      <w:pPr>
        <w:numPr>
          <w:numId w:val="2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대기업의 대형 카브아웃 거래를 신속하게 종결하는 실행력</w:t>
      </w:r>
    </w:p>
    <w:p>
      <w:pPr>
        <w:numPr>
          <w:numId w:val="2"/>
          <w:ilvl w:val="0"/>
        </w:numPr>
        <w:jc w:val="both"/>
        <w:spacing w:lineRule="auto" w:line="360" w:before="0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추가 인수와 사업 통합을 통해 산업 지배력을 높이는 볼트온 역량</w:t>
      </w:r>
    </w:p>
    <w:p>
      <w:pPr>
        <w:numPr>
          <w:numId w:val="2"/>
          <w:ilvl w:val="0"/>
        </w:numPr>
        <w:jc w:val="both"/>
        <w:spacing w:lineRule="auto" w:line="360" w:before="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인수·IPO·배당·리캡·분할매각을 결합한 다층적인 회수 능력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특히 SK그룹과 반복적으로 거래하면서 대기업 사업재편의 핵심 파트너로 자리 잡았다. SK해운, SK엔카 </w:t>
      </w:r>
      <w:r>
        <w:rPr>
          <w:shd w:val="clear" w:color="auto" w:fill="auto"/>
          <w:rFonts w:ascii="나눔고딕" w:eastAsia="나눔고딕" w:hAnsi="나눔고딕" w:cs="나눔고딕"/>
        </w:rPr>
        <w:t xml:space="preserve">직영사업부, SK디앤디, SK에코프라임, SK스페셜티, SK엔펄스 사업부 등으로 거래 관계가 이어졌으며, </w:t>
      </w:r>
      <w:r>
        <w:rPr>
          <w:shd w:val="clear" w:color="auto" w:fill="auto"/>
          <w:rFonts w:ascii="나눔고딕" w:eastAsia="나눔고딕" w:hAnsi="나눔고딕" w:cs="나눔고딕"/>
        </w:rPr>
        <w:t xml:space="preserve">최근에는 반도체 소재와 에너지 분야로 협력 범위가 확대됐다.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MBK파트너스가 한·중·일 등 동북아시아 전반에 투자하고 IMM PE가 성장자본과 바이아웃을 병행하는 </w:t>
      </w:r>
      <w:r>
        <w:rPr>
          <w:shd w:val="clear" w:color="auto" w:fill="auto"/>
          <w:rFonts w:ascii="나눔고딕" w:eastAsia="나눔고딕" w:hAnsi="나눔고딕" w:cs="나눔고딕"/>
        </w:rPr>
        <w:t xml:space="preserve">것과 비교하면, 한앤컴퍼니는 ‘한국 기업 경영권 인수 및 운영’에 집중하면서 대기업 카브아웃과 산업 </w:t>
      </w:r>
      <w:r>
        <w:rPr>
          <w:shd w:val="clear" w:color="auto" w:fill="auto"/>
          <w:rFonts w:ascii="나눔고딕" w:eastAsia="나눔고딕" w:hAnsi="나눔고딕" w:cs="나눔고딕"/>
        </w:rPr>
        <w:t xml:space="preserve">통합에 강점을 보이는 운용사라고 평가할 수 있다.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2" w:name="_iamtopvndya3"/>
      <w:bookmarkEnd w:id="12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5) 최근 1~2년 주요 행보 및 시장 트렌드 대응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① AI·반도체 첨단소재 투자 확대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2025년 SK스페셜티 지분 85%를 약 2조 6,000억 원에 인수하고, </w:t>
      </w:r>
      <w:r>
        <w:rPr>
          <w:shd w:val="clear" w:color="auto" w:fill="auto"/>
          <w:rFonts w:ascii="나눔고딕" w:eastAsia="나눔고딕" w:hAnsi="나눔고딕" w:cs="나눔고딕"/>
        </w:rPr>
        <w:t xml:space="preserve">SK엔펄스 CMP패드 사업부를 약 3,400억 원에 추가 인수했다. AI 반도체 성장에 따른 </w:t>
      </w:r>
      <w:r>
        <w:rPr>
          <w:shd w:val="clear" w:color="auto" w:fill="auto"/>
          <w:rFonts w:ascii="나눔고딕" w:eastAsia="나눔고딕" w:hAnsi="나눔고딕" w:cs="나눔고딕"/>
        </w:rPr>
        <w:t xml:space="preserve">특수가스·공정소재 수요 증가에 대응해 반도체 소재 포트폴리오를 구축하려는 전략이다.</w:t>
      </w:r>
    </w:p>
    <w:p>
      <w:pPr>
        <w:jc w:val="both"/>
        <w:spacing w:lineRule="auto" w:line="275" w:after="80"/>
        <w:rPr>
          <w:vertAlign w:val="subscript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000000"/>
          <w:shd w:val="clear" w:color="auto" w:fill="auto"/>
          <w:rFonts w:ascii="나눔고딕" w:eastAsia="나눔고딕" w:hAnsi="나눔고딕" w:cs="나눔고딕"/>
        </w:rPr>
        <w:t xml:space="preserve">② PEF에서 종합 대체투자 하우스로 확장</w:t>
      </w:r>
      <w:r>
        <w:rPr>
          <w:color w:val="000000"/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2026년 별도 자산운용사 HCAM을 설립하고 약 5,000억 원 </w:t>
      </w:r>
      <w:r>
        <w:rPr>
          <w:shd w:val="clear" w:color="auto" w:fill="auto"/>
          <w:rFonts w:ascii="나눔고딕" w:eastAsia="나눔고딕" w:hAnsi="나눔고딕" w:cs="나눔고딕"/>
        </w:rPr>
        <w:t xml:space="preserve">규모의 첫 부동산 전용 펀드 조성에 착수했다. HCAM은 우선 부동산 투자를 담당하고, 향후 </w:t>
      </w:r>
      <w:r>
        <w:rPr>
          <w:shd w:val="clear" w:color="auto" w:fill="auto"/>
          <w:rFonts w:ascii="나눔고딕" w:eastAsia="나눔고딕" w:hAnsi="나눔고딕" w:cs="나눔고딕"/>
        </w:rPr>
        <w:t xml:space="preserve">크레딧·사모대출·메자닌 등으로 운용영역을 확대할 가능성이 있다. 이는 바이아웃 시장의 성장 및 회수 </w:t>
      </w:r>
      <w:r>
        <w:rPr>
          <w:shd w:val="clear" w:color="auto" w:fill="auto"/>
          <w:rFonts w:ascii="나눔고딕" w:eastAsia="나눔고딕" w:hAnsi="나눔고딕" w:cs="나눔고딕"/>
        </w:rPr>
        <w:t xml:space="preserve">지연에 대응해 수익원을 다각화하고, 부동산 PF 구조조정과 NPL 확대에서 새로운 투자 기회를 확보하려는 </w:t>
      </w:r>
      <w:r>
        <w:rPr>
          <w:shd w:val="clear" w:color="auto" w:fill="auto"/>
          <w:rFonts w:ascii="나눔고딕" w:eastAsia="나눔고딕" w:hAnsi="나눔고딕" w:cs="나눔고딕"/>
        </w:rPr>
        <w:t xml:space="preserve">움직임으로 해석된다. 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③ SK그룹 리밸런싱 파트너 역할 강화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 SK엔카·SK해운 등에 이어 SK스페셜티와 CMP패드 사업부를 </w:t>
      </w:r>
      <w:r>
        <w:rPr>
          <w:shd w:val="clear" w:color="auto" w:fill="auto"/>
          <w:rFonts w:ascii="나눔고딕" w:eastAsia="나눔고딕" w:hAnsi="나눔고딕" w:cs="나눔고딕"/>
        </w:rPr>
        <w:t xml:space="preserve">인수하며 SK그룹의 핵심 사업 재편 파트너로 자리 잡았다. 대형 카브아웃을 빠르게 종결하고, SK가 일부 </w:t>
      </w:r>
      <w:r>
        <w:rPr>
          <w:shd w:val="clear" w:color="auto" w:fill="auto"/>
          <w:rFonts w:ascii="나눔고딕" w:eastAsia="나눔고딕" w:hAnsi="나눔고딕" w:cs="나눔고딕"/>
        </w:rPr>
        <w:t xml:space="preserve">지분을 유지하도록 해 기존 고객·기술 관계를 이어가는 방식이 특징이다.</w:t>
      </w:r>
      <w:r>
        <w:br w:type="page"/>
      </w:r>
    </w:p>
    <w:p>
      <w:pPr>
        <w:jc w:val="both"/>
        <w:pBdr>
          <w:bottom w:sz="12" w:space="0" w:color="1F3864" w:val="single"/>
        </w:pBdr>
        <w:rPr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4. Case Study (1): 케이카(구 SK엔카) 투자</w:t>
      </w: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 w:hint="eastAsia"/>
        </w:rPr>
        <w:t xml:space="preserve"> 및 </w:t>
      </w: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인수 사례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3" w:name="_v83qhw61fbvo"/>
      <w:bookmarkEnd w:id="13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1) Deal Summary (딜 개요)</w:t>
      </w:r>
    </w:p>
    <w:p>
      <w:pPr>
        <w:spacing w:lineRule="auto" w:line="275" w:after="16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한앤컴퍼니는 2018년 SK㈜로부터 오프라인 직영 중고차 사업부인 'SK엔카 직영사업부'를 인수하며 </w:t>
      </w:r>
      <w:r>
        <w:rPr>
          <w:shd w:val="clear" w:color="auto" w:fill="auto"/>
          <w:rFonts w:ascii="나눔고딕" w:eastAsia="나눔고딕" w:hAnsi="나눔고딕" w:cs="나눔고딕"/>
        </w:rPr>
        <w:t xml:space="preserve">중고차 시장에 진출했다. 인수 직후 법인명을 '케이카(K Car)'로 변경하고 독자 브랜드로 재론칭했으며, </w:t>
      </w:r>
      <w:r>
        <w:rPr>
          <w:shd w:val="clear" w:color="auto" w:fill="auto"/>
          <w:rFonts w:ascii="나눔고딕" w:eastAsia="나눔고딕" w:hAnsi="나눔고딕" w:cs="나눔고딕"/>
        </w:rPr>
        <w:t xml:space="preserve">볼트온(Bolt-on) 전략의 일환으로 CJ그룹 계열의 조이렌터카를 추가 인수해 사업 포트폴리오를 </w:t>
      </w:r>
      <w:r>
        <w:rPr>
          <w:shd w:val="clear" w:color="auto" w:fill="auto"/>
          <w:rFonts w:ascii="나눔고딕" w:eastAsia="나눔고딕" w:hAnsi="나눔고딕" w:cs="나눔고딕"/>
        </w:rPr>
        <w:t xml:space="preserve">확장시켰다. </w:t>
      </w:r>
    </w:p>
    <w:p>
      <w:pPr>
        <w:spacing w:lineRule="auto" w:line="275" w:after="16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이후 단계적 투자 회수(Multi-stage Exit) 구도를 정교하게 설계해, 1단계로 2021년 10월 케이카를 </w:t>
      </w:r>
      <w:r>
        <w:rPr>
          <w:shd w:val="clear" w:color="auto" w:fill="auto"/>
          <w:rFonts w:ascii="나눔고딕" w:eastAsia="나눔고딕" w:hAnsi="나눔고딕" w:cs="나눔고딕"/>
        </w:rPr>
        <w:t xml:space="preserve">코스피에 상장시켜 구주매출로 초기 투자 원금을 대폭 회수했고, 2단계로 상장 이후에도 72.19%의 </w:t>
      </w:r>
      <w:r>
        <w:rPr>
          <w:shd w:val="clear" w:color="auto" w:fill="auto"/>
          <w:rFonts w:ascii="나눔고딕" w:eastAsia="나눔고딕" w:hAnsi="나눔고딕" w:cs="나눔고딕"/>
        </w:rPr>
        <w:t xml:space="preserve">경영권 지분을 유지하며 실적 개선을 지속 유도한 후, 2026년 4월 잔여 지분 전량과 전속 금융사 </w:t>
      </w:r>
      <w:r>
        <w:rPr>
          <w:shd w:val="clear" w:color="auto" w:fill="auto"/>
          <w:rFonts w:ascii="나눔고딕" w:eastAsia="나눔고딕" w:hAnsi="나눔고딕" w:cs="나눔고딕"/>
        </w:rPr>
        <w:t xml:space="preserve">케이카캐피탈 지분 100%를 KG그룹-캑터스PE 컨소시엄에 매각하는 SPA를 체결함으로써 8년간의 </w:t>
      </w:r>
      <w:r>
        <w:rPr>
          <w:shd w:val="clear" w:color="auto" w:fill="auto"/>
          <w:rFonts w:ascii="나눔고딕" w:eastAsia="나눔고딕" w:hAnsi="나눔고딕" w:cs="나눔고딕"/>
        </w:rPr>
        <w:t xml:space="preserve">투자를 완성했다.</w:t>
      </w:r>
    </w:p>
    <w:p>
      <w:pPr>
        <w:jc w:val="both"/>
        <w:spacing w:before="0" w:after="0"/>
        <w:rPr>
          <w:color w:val="2E74B5"/>
          <w:sz w:val="12"/>
          <w:szCs w:val="12"/>
          <w:shd w:val="clear" w:color="auto" w:fill="auto"/>
          <w:rFonts w:ascii="나눔고딕" w:eastAsia="나눔고딕" w:hAnsi="나눔고딕" w:cs="나눔고딕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top w:w="100" w:type="dxa"/>
          <w:right w:w="100" w:type="dxa"/>
          <w:bottom w:w="100" w:type="dxa"/>
        </w:tblCellMar>
        <w:tblW w:w="9355" w:type="dxa"/>
        <w:tblLook w:val="000600" w:firstRow="0" w:lastRow="0" w:firstColumn="0" w:lastColumn="0" w:noHBand="1" w:noVBand="1"/>
        <w:tblLayout w:type="fixed"/>
      </w:tblPr>
      <w:tblGrid>
        <w:gridCol w:w="1531"/>
        <w:gridCol w:w="7824"/>
      </w:tblGrid>
      <w:tr>
        <w:trPr>
          <w:trHeight w:hRule="atleast" w:val="567"/>
        </w:trPr>
        <w:tc>
          <w:tcPr>
            <w:tcW w:type="dxa" w:w="1531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항목</w:t>
            </w:r>
          </w:p>
        </w:tc>
        <w:tc>
          <w:tcPr>
            <w:tcW w:type="dxa" w:w="7824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내용</w:t>
            </w:r>
          </w:p>
        </w:tc>
      </w:tr>
      <w:tr>
        <w:trPr>
          <w:trHeight w:hRule="atleast" w:val="680"/>
        </w:trPr>
        <w:tc>
          <w:tcPr>
            <w:tcW w:type="dxa" w:w="1531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대상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기업</w:t>
            </w:r>
          </w:p>
        </w:tc>
        <w:tc>
          <w:tcPr>
            <w:tcW w:type="dxa" w:w="7824"/>
            <w:vAlign w:val="center"/>
          </w:tcPr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 (K Car, 코스피 381970) </w:t>
            </w:r>
          </w:p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: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국내 1위 직영 중고차 매매 플랫폼 (SK엔카 직영사업부에서 출발) </w:t>
            </w:r>
          </w:p>
        </w:tc>
      </w:tr>
      <w:tr>
        <w:trPr>
          <w:trHeight w:hRule="atleast" w:val="680"/>
        </w:trPr>
        <w:tc>
          <w:tcPr>
            <w:tcW w:type="dxa" w:w="1531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인수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시점</w:t>
            </w:r>
          </w:p>
        </w:tc>
        <w:tc>
          <w:tcPr>
            <w:tcW w:type="dxa" w:w="7824"/>
            <w:vAlign w:val="center"/>
          </w:tcPr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2018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.04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: SK엔카 직영사업부 인수 (약 2,000억~2,200억 원) </w:t>
            </w:r>
          </w:p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2018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.11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: CJ그룹 조이렌트카 인수 (약 500억 원) 및 신설 합병</w:t>
            </w:r>
          </w:p>
        </w:tc>
      </w:tr>
      <w:tr>
        <w:trPr>
          <w:trHeight w:hRule="atleast" w:val="680"/>
        </w:trPr>
        <w:tc>
          <w:tcPr>
            <w:tcW w:type="dxa" w:w="1531"/>
            <w:vAlign w:val="center"/>
          </w:tcPr>
          <w:p>
            <w:pPr>
              <w:jc w:val="center"/>
              <w:spacing w:before="200" w:after="8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거래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구조</w:t>
            </w:r>
          </w:p>
        </w:tc>
        <w:tc>
          <w:tcPr>
            <w:tcW w:type="dxa" w:w="7824"/>
            <w:vAlign w:val="center"/>
          </w:tcPr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단계적 회수 구도</w:t>
            </w:r>
          </w:p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1차: SK엔카직영·조이렌트카 인수 후 합병, 사명 '케이카' 변경</w:t>
            </w:r>
          </w:p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2차: 202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1.10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 KOSPI IPO 구주 매출을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통한 1차 투자금 회수</w:t>
            </w:r>
          </w:p>
          <w:p>
            <w:pPr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3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차: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2026.04 잔여 경영권 지분(72.19%) 및 전속 금융사 케이카캐피탈(100%) 매각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br/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 xml:space="preserve">*매수자: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KG그룹-캑터스PE 컨소시엄</w:t>
            </w:r>
          </w:p>
        </w:tc>
      </w:tr>
      <w:tr>
        <w:trPr>
          <w:trHeight w:hRule="atleast" w:val="680"/>
        </w:trPr>
        <w:tc>
          <w:tcPr>
            <w:tcW w:type="dxa" w:w="1531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거래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금액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</w:p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및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EV</w:t>
            </w:r>
          </w:p>
        </w:tc>
        <w:tc>
          <w:tcPr>
            <w:tcW w:type="dxa" w:w="7824"/>
            <w:vAlign w:val="center"/>
          </w:tcPr>
          <w:p>
            <w:pPr>
              <w:jc w:val="both"/>
              <w:spacing w:before="0" w:after="2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인수 시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: 기업가치(EV) 약 2,000억~2,200억 원</w:t>
            </w:r>
          </w:p>
          <w:p>
            <w:pPr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2026년 매각 시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: 케이카 EV 약 1.0조 원 + 케이카캐피탈 EV 약 2,000억 원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br/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>*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총 EV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 xml:space="preserve">: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1.2조 원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 xml:space="preserve">,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총 매각가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 xml:space="preserve">: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7,500억 원</w:t>
            </w:r>
          </w:p>
        </w:tc>
      </w:tr>
      <w:tr>
        <w:trPr>
          <w:trHeight w:hRule="atleast" w:val="900"/>
        </w:trPr>
        <w:tc>
          <w:tcPr>
            <w:tcW w:type="dxa" w:w="1531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지분율 변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동</w:t>
            </w:r>
          </w:p>
        </w:tc>
        <w:tc>
          <w:tcPr>
            <w:tcW w:type="dxa" w:w="7824"/>
            <w:vAlign w:val="center"/>
          </w:tcPr>
          <w:p>
            <w:pPr>
              <w:jc w:val="both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인수 직후 100% → 2021년 IPO 후 72.19% → 2026년 최종 매각(0%) </w:t>
            </w:r>
          </w:p>
        </w:tc>
      </w:tr>
    </w:tbl>
    <w:p>
      <w:pPr>
        <w:pStyle w:val="PO9"/>
        <w:jc w:val="both"/>
        <w:spacing w:lineRule="auto" w:line="275" w:before="0" w:after="160"/>
        <w:rPr>
          <w:b w:val="0"/>
          <w:shd w:val="clear" w:color="auto" w:fill="auto"/>
          <w:rFonts w:ascii="나눔고딕" w:eastAsia="나눔고딕" w:hAnsi="나눔고딕" w:cs="나눔고딕"/>
        </w:rPr>
      </w:pP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>*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 xml:space="preserve">단계별 거래 구조 요약</w:t>
      </w:r>
    </w:p>
    <w:tbl>
      <w:tblID w:val="0"/>
      <w:tblPr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0" w:type="dxa"/>
          <w:top w:w="100" w:type="dxa"/>
          <w:right w:w="100" w:type="dxa"/>
          <w:bottom w:w="100" w:type="dxa"/>
        </w:tblCellMar>
        <w:tblW w:w="9370" w:type="dxa"/>
        <w:tblLook w:val="000600" w:firstRow="0" w:lastRow="0" w:firstColumn="0" w:lastColumn="0" w:noHBand="1" w:noVBand="1"/>
        <w:tblLayout w:type="fixed"/>
      </w:tblPr>
      <w:tblGrid>
        <w:gridCol w:w="1644"/>
        <w:gridCol w:w="2580"/>
        <w:gridCol w:w="2551"/>
        <w:gridCol w:w="2595"/>
      </w:tblGrid>
      <w:tr>
        <w:trPr>
          <w:trHeight w:hRule="atleast" w:val="567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구분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초기 인수 단계(2018)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IPO 단계(2021.10)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최종 매각 단계(2026.4)</w:t>
            </w:r>
          </w:p>
        </w:tc>
      </w:tr>
      <w:tr>
        <w:trPr>
          <w:trHeight w:hRule="atleast" w:val="794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대상 자산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SK엔카 직영사업부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및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조이렌터카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 KOSPI 상장 지분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케이카: 72.19%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케이카캐피탈: 100%</w:t>
            </w:r>
          </w:p>
        </w:tc>
      </w:tr>
      <w:tr>
        <w:trPr>
          <w:trHeight w:hRule="atleast" w:val="794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인수</w:t>
            </w:r>
            <w:r>
              <w:rPr>
                <w:b w:val="1"/>
                <w:sz w:val="20"/>
                <w:szCs w:val="20"/>
                <w:shd w:val="clear" w:color="auto" w:fill="auto"/>
                <w:w w:val="66"/>
                <w:rFonts w:ascii="나눔고딕" w:eastAsia="나눔고딕" w:hAnsi="나눔고딕" w:cs="나눔고딕" w:hint="eastAsia"/>
              </w:rPr>
              <w:t>‧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매각 주체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한앤컴퍼니(투자목적회사)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구주매출(일반공모)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KG그룹(KG스틸) 및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캑터스PE 컨소시엄</w:t>
            </w:r>
          </w:p>
        </w:tc>
      </w:tr>
      <w:tr>
        <w:trPr>
          <w:trHeight w:hRule="atleast" w:val="794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거래 대금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2,000억~2,200억 원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회수금액: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3,000억~3,065억 원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매각가 7,500억원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(케이카 5,500억 원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+ 캐피탈 2,000억 원)</w:t>
            </w:r>
          </w:p>
        </w:tc>
      </w:tr>
      <w:tr>
        <w:trPr>
          <w:trHeight w:hRule="atleast" w:val="794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평가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기업가치(EV)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2,000억 원 내외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상장 시가총액 기반 평가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케이카: 1.0조 원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br/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케이카캐피탈: 2,000억 원</w:t>
            </w:r>
          </w:p>
        </w:tc>
      </w:tr>
      <w:tr>
        <w:trPr>
          <w:trHeight w:hRule="atleast" w:val="794"/>
        </w:trPr>
        <w:tc>
          <w:tcPr>
            <w:tcW w:type="dxa" w:w="1644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지분율 변동</w:t>
            </w:r>
          </w:p>
        </w:tc>
        <w:tc>
          <w:tcPr>
            <w:tcW w:type="dxa" w:w="258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지분 100% 확보</w:t>
            </w:r>
          </w:p>
        </w:tc>
        <w:tc>
          <w:tcPr>
            <w:tcW w:type="dxa" w:w="2551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지분 72.19%로 조정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(구주매출)</w:t>
            </w:r>
          </w:p>
        </w:tc>
        <w:tc>
          <w:tcPr>
            <w:tcW w:type="dxa" w:w="259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잔여 지분 전량 매각</w:t>
            </w:r>
          </w:p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(현 0% 보유)</w:t>
            </w:r>
          </w:p>
        </w:tc>
      </w:tr>
    </w:tbl>
    <w:p>
      <w:pPr>
        <w:jc w:val="both"/>
        <w:spacing w:after="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4" w:name="_vwop8xb1vg1q"/>
      <w:bookmarkEnd w:id="14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2) Investment Thesis (투자 논리)</w:t>
      </w:r>
    </w:p>
    <w:p>
      <w:pPr>
        <w:jc w:val="both"/>
        <w:spacing w:lineRule="auto" w:line="275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① 시장 비효율성 활용</w:t>
      </w:r>
      <w:r>
        <w:rPr>
          <w:shd w:val="clear" w:color="auto" w:fill="auto"/>
          <w:rFonts w:ascii="나눔고딕" w:eastAsia="나눔고딕" w:hAnsi="나눔고딕" w:cs="나눔고딕"/>
        </w:rPr>
        <w:t xml:space="preserve">: 2018년 당시 국내 중고차 시장은 허위 매물 및 가격 불투명성으로 소비자 불신이 </w:t>
      </w:r>
      <w:r>
        <w:rPr>
          <w:shd w:val="clear" w:color="auto" w:fill="auto"/>
          <w:rFonts w:ascii="나눔고딕" w:eastAsia="나눔고딕" w:hAnsi="나눔고딕" w:cs="나눔고딕"/>
        </w:rPr>
        <w:t xml:space="preserve">강했던 대표적인 '레몬 마켓’이었다. 매입–진단–관리–판매–사후책임을 직접 하는 '100% 직영 인증 </w:t>
      </w:r>
      <w:r>
        <w:rPr>
          <w:shd w:val="clear" w:color="auto" w:fill="auto"/>
          <w:rFonts w:ascii="나눔고딕" w:eastAsia="나눔고딕" w:hAnsi="나눔고딕" w:cs="나눔고딕"/>
        </w:rPr>
        <w:t xml:space="preserve">플랫폼'을 구축하면 파편화된 시장을 신속하게 점유할 수 있다는 확신에서 출발한 것이다.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000000"/>
          <w:shd w:val="clear" w:color="auto" w:fill="auto"/>
          <w:rFonts w:ascii="나눔고딕" w:eastAsia="나눔고딕" w:hAnsi="나눔고딕" w:cs="나눔고딕"/>
        </w:rPr>
        <w:t>②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SK엔카의 체급</w:t>
      </w:r>
      <w:r>
        <w:rPr>
          <w:shd w:val="clear" w:color="auto" w:fill="auto"/>
          <w:rFonts w:ascii="나눔고딕" w:eastAsia="나눔고딕" w:hAnsi="나눔고딕" w:cs="나눔고딕"/>
        </w:rPr>
        <w:t xml:space="preserve">: SK엔카 직영은 이미 오프라인 1위 자산인데 저평가돼 있다는 점이 진입 논리였다.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/>
        </w:rPr>
        <w:t>③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볼트온(Bolt-on) 시너지</w:t>
      </w:r>
      <w:r>
        <w:rPr>
          <w:shd w:val="clear" w:color="auto" w:fill="auto"/>
          <w:rFonts w:ascii="나눔고딕" w:eastAsia="나눔고딕" w:hAnsi="나눔고딕" w:cs="나눔고딕"/>
        </w:rPr>
        <w:t xml:space="preserve">: CJ그룹 조이렌터카를 추가 인수·합병하여 보유 차량의 활용도를 극대화하고 </w:t>
      </w:r>
      <w:r>
        <w:rPr>
          <w:shd w:val="clear" w:color="auto" w:fill="auto"/>
          <w:rFonts w:ascii="나눔고딕" w:eastAsia="나눔고딕" w:hAnsi="나눔고딕" w:cs="나눔고딕"/>
        </w:rPr>
        <w:t xml:space="preserve">B2B 물량 유통 채널 확장의 기반을 다졌다.</w:t>
      </w:r>
    </w:p>
    <w:p>
      <w:pPr>
        <w:jc w:val="both"/>
        <w:spacing w:lineRule="auto" w:line="275" w:before="0" w:after="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④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매력적인 진입 밸류에이션</w:t>
      </w:r>
      <w:r>
        <w:rPr>
          <w:shd w:val="clear" w:color="auto" w:fill="auto"/>
          <w:rFonts w:ascii="나눔고딕" w:eastAsia="나눔고딕" w:hAnsi="나눔고딕" w:cs="나눔고딕"/>
        </w:rPr>
        <w:t xml:space="preserve">: 약 2,000억 원 수준의 낮은 초기 진입 밸류에이션 덕분에 향후 IPO 및 매각 </w:t>
      </w:r>
      <w:r>
        <w:rPr>
          <w:shd w:val="clear" w:color="auto" w:fill="auto"/>
          <w:rFonts w:ascii="나눔고딕" w:eastAsia="나눔고딕" w:hAnsi="나눔고딕" w:cs="나눔고딕"/>
        </w:rPr>
        <w:t xml:space="preserve">시 기록적인 투자 수익률(IRR)을 달성할 수 있는 안정적 여력을 확보하였다.</w:t>
      </w:r>
    </w:p>
    <w:p>
      <w:pPr>
        <w:jc w:val="both"/>
        <w:spacing w:after="40"/>
        <w:ind w:left="160" w:firstLine="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5" w:name="_5l647vukgi9r"/>
      <w:bookmarkEnd w:id="15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3) Value Creation (가치 창출 &amp; 지원)</w:t>
      </w:r>
    </w:p>
    <w:p>
      <w:pPr>
        <w:jc w:val="both"/>
        <w:spacing w:lineRule="auto" w:line="275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①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브랜드 리포지셔닝: </w:t>
      </w:r>
      <w:r>
        <w:rPr>
          <w:shd w:val="clear" w:color="auto" w:fill="auto"/>
          <w:rFonts w:ascii="나눔고딕" w:eastAsia="나눔고딕" w:hAnsi="나눔고딕" w:cs="나눔고딕"/>
        </w:rPr>
        <w:t xml:space="preserve">인수 직후 기존 SK 브랜드를 차분히 떼어내고 '케이카(K Car)'라는 신규 브랜드를 </w:t>
      </w:r>
      <w:r>
        <w:rPr>
          <w:shd w:val="clear" w:color="auto" w:fill="auto"/>
          <w:rFonts w:ascii="나눔고딕" w:eastAsia="나눔고딕" w:hAnsi="나눔고딕" w:cs="나눔고딕"/>
        </w:rPr>
        <w:t xml:space="preserve">안착시켰으며, 차량 매입부터 진단, 판매, 사후 관리까지 책임지는 100% 직영 시스템과 3일 책임 </w:t>
      </w:r>
      <w:r>
        <w:rPr>
          <w:shd w:val="clear" w:color="auto" w:fill="auto"/>
          <w:rFonts w:ascii="나눔고딕" w:eastAsia="나눔고딕" w:hAnsi="나눔고딕" w:cs="나눔고딕"/>
        </w:rPr>
        <w:t xml:space="preserve">환불제를 도입해 시장의 불신을 신뢰로 전환시켰다.</w:t>
      </w:r>
    </w:p>
    <w:p>
      <w:pPr>
        <w:jc w:val="both"/>
        <w:spacing w:lineRule="auto" w:line="275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②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IPO 주도 및 자본 시장 데뷔: </w:t>
      </w:r>
      <w:r>
        <w:rPr>
          <w:shd w:val="clear" w:color="auto" w:fill="auto"/>
          <w:rFonts w:ascii="나눔고딕" w:eastAsia="나눔고딕" w:hAnsi="나눔고딕" w:cs="나눔고딕"/>
        </w:rPr>
        <w:t xml:space="preserve">2021년 10월, 중고차 기업 최초로 코스피 상장을 주도하였고, 국내에 </w:t>
      </w:r>
      <w:r>
        <w:rPr>
          <w:shd w:val="clear" w:color="auto" w:fill="auto"/>
          <w:rFonts w:ascii="나눔고딕" w:eastAsia="나눔고딕" w:hAnsi="나눔고딕" w:cs="나눔고딕"/>
        </w:rPr>
        <w:t xml:space="preserve">전례 없는 엑시트 경로를 직접 설계·실행하였다.</w:t>
      </w:r>
    </w:p>
    <w:p>
      <w:pPr>
        <w:jc w:val="both"/>
        <w:spacing w:lineRule="auto" w:line="275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③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케이카캐피탈 수직계열화: </w:t>
      </w:r>
      <w:r>
        <w:rPr>
          <w:shd w:val="clear" w:color="auto" w:fill="auto"/>
          <w:rFonts w:ascii="나눔고딕" w:eastAsia="나눔고딕" w:hAnsi="나눔고딕" w:cs="나눔고딕"/>
        </w:rPr>
        <w:t xml:space="preserve">전속 금융사 '케이카캐피탈'을 설립해 중고차 구매 시 발생하는 할부금융 </w:t>
      </w:r>
      <w:r>
        <w:rPr>
          <w:shd w:val="clear" w:color="auto" w:fill="auto"/>
          <w:rFonts w:ascii="나눔고딕" w:eastAsia="나눔고딕" w:hAnsi="나눔고딕" w:cs="나눔고딕"/>
        </w:rPr>
        <w:t xml:space="preserve">수요를 내재화함으로써 매매 마진과 금융 이자 마진을 동시에 확보하는 수직계열화를 성취했다. 또한 </w:t>
      </w:r>
      <w:r>
        <w:rPr>
          <w:shd w:val="clear" w:color="auto" w:fill="auto"/>
          <w:rFonts w:ascii="나눔고딕" w:eastAsia="나눔고딕" w:hAnsi="나눔고딕" w:cs="나눔고딕"/>
        </w:rPr>
        <w:t xml:space="preserve">자동차 판매 본체인 케이카와 케이카캐피탈를 분리 매각하는 방식으로 최종 인수자(KG그룹)의 니즈에 </w:t>
      </w:r>
      <w:r>
        <w:rPr>
          <w:shd w:val="clear" w:color="auto" w:fill="auto"/>
          <w:rFonts w:ascii="나눔고딕" w:eastAsia="나눔고딕" w:hAnsi="나눔고딕" w:cs="나눔고딕"/>
        </w:rPr>
        <w:t xml:space="preserve">맞춰 딜 구조를 유연하게 설계하는 이점도 챙길 수 있었다.</w:t>
      </w:r>
    </w:p>
    <w:p>
      <w:pPr>
        <w:jc w:val="both"/>
        <w:spacing w:lineRule="auto" w:line="275" w:after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④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내차사기 홈서비스 O2O 전환: </w:t>
      </w:r>
      <w:r>
        <w:rPr>
          <w:shd w:val="clear" w:color="auto" w:fill="auto"/>
          <w:rFonts w:ascii="나눔고딕" w:eastAsia="나눔고딕" w:hAnsi="나눔고딕" w:cs="나눔고딕"/>
        </w:rPr>
        <w:t xml:space="preserve">국내 최초의 중고차 이커머스 서비스인 '내차사기 홈서비스'를 안착시켜 </w:t>
      </w:r>
      <w:r>
        <w:rPr>
          <w:shd w:val="clear" w:color="auto" w:fill="auto"/>
          <w:rFonts w:ascii="나눔고딕" w:eastAsia="나눔고딕" w:hAnsi="나눔고딕" w:cs="나눔고딕"/>
        </w:rPr>
        <w:t xml:space="preserve">오프라인 거점 중심의 영업 구조를 고수익 O2O(Online to Offline) 디지털 플랫폼으로 성공적으로 </w:t>
      </w:r>
      <w:r>
        <w:rPr>
          <w:shd w:val="clear" w:color="auto" w:fill="auto"/>
          <w:rFonts w:ascii="나눔고딕" w:eastAsia="나눔고딕" w:hAnsi="나눔고딕" w:cs="나눔고딕"/>
        </w:rPr>
        <w:t>전환시켰다.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⑤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조이렌터카 볼트온: </w:t>
      </w:r>
      <w:r>
        <w:rPr>
          <w:shd w:val="clear" w:color="auto" w:fill="auto"/>
          <w:rFonts w:ascii="나눔고딕" w:eastAsia="나눔고딕" w:hAnsi="나눔고딕" w:cs="나눔고딕"/>
        </w:rPr>
        <w:t xml:space="preserve">조이렌터카 인수를 통한 볼트온 전략으로 보유 차량의 활용성을 정밀하게 제어하고 </w:t>
      </w:r>
      <w:r>
        <w:rPr>
          <w:shd w:val="clear" w:color="auto" w:fill="auto"/>
          <w:rFonts w:ascii="나눔고딕" w:eastAsia="나눔고딕" w:hAnsi="나눔고딕" w:cs="나눔고딕"/>
        </w:rPr>
        <w:t xml:space="preserve">B2B 물량 유통 채널을 확장하는 시너지를 창출했다. 보이는 운용사라고 평가할 수 있다.</w:t>
      </w:r>
    </w:p>
    <w:p>
      <w:pPr>
        <w:pStyle w:val="PO9"/>
        <w:jc w:val="both"/>
        <w:spacing w:lineRule="auto" w:line="275" w:before="0" w:after="160"/>
        <w:rPr>
          <w:shd w:val="clear" w:color="auto" w:fill="auto"/>
          <w:rFonts w:ascii="나눔고딕" w:eastAsia="나눔고딕" w:hAnsi="나눔고딕" w:cs="나눔고딕"/>
        </w:rPr>
      </w:pPr>
      <w:r>
        <w:rPr>
          <w:sz w:val="26"/>
          <w:szCs w:val="26"/>
          <w:shd w:val="clear" w:color="auto" w:fill="auto"/>
          <w:rFonts w:ascii="나눔고딕" w:eastAsia="나눔고딕" w:hAnsi="나눔고딕" w:cs="나눔고딕" w:hint="eastAsia"/>
        </w:rPr>
        <w:t>4</w:t>
      </w:r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) Performance &amp; Exit (성과 &amp; 회수)</w:t>
      </w:r>
    </w:p>
    <w:p>
      <w:pPr>
        <w:pStyle w:val="PO9"/>
        <w:jc w:val="both"/>
        <w:spacing w:lineRule="auto" w:line="275" w:before="0" w:after="160"/>
        <w:rPr>
          <w:sz w:val="21"/>
          <w:szCs w:val="21"/>
          <w:shd w:val="clear" w:color="auto" w:fill="auto"/>
          <w:rFonts w:ascii="나눔고딕" w:eastAsia="나눔고딕" w:hAnsi="나눔고딕" w:cs="나눔고딕"/>
        </w:rPr>
      </w:pPr>
      <w:bookmarkStart w:id="16" w:name="_de29w8u4adc2"/>
      <w:bookmarkStart w:id="17" w:name="_gjshao271wr8"/>
      <w:bookmarkEnd w:id="16"/>
      <w:bookmarkEnd w:id="17"/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>*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 xml:space="preserve">재무 성과 성장표 (2018년 vs 2025년)</w:t>
      </w:r>
    </w:p>
    <w:tbl>
      <w:tblID w:val="0"/>
      <w:tblPr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0" w:type="dxa"/>
          <w:top w:w="100" w:type="dxa"/>
          <w:right w:w="100" w:type="dxa"/>
          <w:bottom w:w="100" w:type="dxa"/>
        </w:tblCellMar>
        <w:tblW w:w="9345" w:type="dxa"/>
        <w:tblLook w:val="000600" w:firstRow="0" w:lastRow="0" w:firstColumn="0" w:lastColumn="0" w:noHBand="1" w:noVBand="1"/>
        <w:tblLayout w:type="fixed"/>
      </w:tblPr>
      <w:tblGrid>
        <w:gridCol w:w="2505"/>
        <w:gridCol w:w="2190"/>
        <w:gridCol w:w="2205"/>
        <w:gridCol w:w="2445"/>
      </w:tblGrid>
      <w:tr>
        <w:trPr>
          <w:trHeight w:hRule="atleast" w:val="567"/>
        </w:trPr>
        <w:tc>
          <w:tcPr>
            <w:tcW w:type="dxa" w:w="25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주요 재무·경영 지표</w:t>
            </w:r>
          </w:p>
        </w:tc>
        <w:tc>
          <w:tcPr>
            <w:tcW w:type="dxa" w:w="219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인수 첫해 (2018년)</w:t>
            </w:r>
          </w:p>
        </w:tc>
        <w:tc>
          <w:tcPr>
            <w:tcW w:type="dxa" w:w="22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최고 실적 (2025년)</w:t>
            </w:r>
          </w:p>
        </w:tc>
        <w:tc>
          <w:tcPr>
            <w:tcW w:type="dxa" w:w="244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single" w:color="B0B0B0" w:sz="6"/>
            </w:tcBorders>
            <w:shd w:val="clear" w:color="000000" w:fill="DCEAF8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성과 배수/증감률</w:t>
            </w:r>
          </w:p>
        </w:tc>
      </w:tr>
      <w:tr>
        <w:trPr>
          <w:trHeight w:hRule="atleast" w:val="680"/>
        </w:trPr>
        <w:tc>
          <w:tcPr>
            <w:tcW w:type="dxa" w:w="25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연간 매출액</w:t>
            </w:r>
          </w:p>
        </w:tc>
        <w:tc>
          <w:tcPr>
            <w:tcW w:type="dxa" w:w="219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9,904억 원</w:t>
            </w:r>
          </w:p>
        </w:tc>
        <w:tc>
          <w:tcPr>
            <w:tcW w:type="dxa" w:w="22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2조 4,388억 원</w:t>
            </w:r>
          </w:p>
        </w:tc>
        <w:tc>
          <w:tcPr>
            <w:tcW w:type="dxa" w:w="244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2.5배 성장</w:t>
            </w:r>
          </w:p>
        </w:tc>
      </w:tr>
      <w:tr>
        <w:trPr>
          <w:trHeight w:hRule="atleast" w:val="680"/>
        </w:trPr>
        <w:tc>
          <w:tcPr>
            <w:tcW w:type="dxa" w:w="25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영업이익</w:t>
            </w:r>
          </w:p>
        </w:tc>
        <w:tc>
          <w:tcPr>
            <w:tcW w:type="dxa" w:w="219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51억 원</w:t>
            </w:r>
          </w:p>
        </w:tc>
        <w:tc>
          <w:tcPr>
            <w:tcW w:type="dxa" w:w="22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760억 원</w:t>
            </w:r>
          </w:p>
        </w:tc>
        <w:tc>
          <w:tcPr>
            <w:tcW w:type="dxa" w:w="244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14.9~15배 급증</w:t>
            </w:r>
          </w:p>
        </w:tc>
      </w:tr>
      <w:tr>
        <w:trPr>
          <w:trHeight w:hRule="atleast" w:val="680"/>
        </w:trPr>
        <w:tc>
          <w:tcPr>
            <w:tcW w:type="dxa" w:w="25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상각 전 영업이익(EBITDA)</w:t>
            </w:r>
          </w:p>
        </w:tc>
        <w:tc>
          <w:tcPr>
            <w:tcW w:type="dxa" w:w="219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133억 원</w:t>
            </w:r>
          </w:p>
        </w:tc>
        <w:tc>
          <w:tcPr>
            <w:tcW w:type="dxa" w:w="22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1,248억 원</w:t>
            </w:r>
          </w:p>
        </w:tc>
        <w:tc>
          <w:tcPr>
            <w:tcW w:type="dxa" w:w="244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약 9.4배 급증</w:t>
            </w:r>
          </w:p>
        </w:tc>
      </w:tr>
      <w:tr>
        <w:trPr>
          <w:trHeight w:hRule="atleast" w:val="680"/>
        </w:trPr>
        <w:tc>
          <w:tcPr>
            <w:tcW w:type="dxa" w:w="25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single" w:color="B0B0B0" w:sz="6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유효 시장점유율(MS)</w:t>
            </w:r>
          </w:p>
        </w:tc>
        <w:tc>
          <w:tcPr>
            <w:tcW w:type="dxa" w:w="2190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5.0%</w:t>
            </w:r>
          </w:p>
        </w:tc>
        <w:tc>
          <w:tcPr>
            <w:tcW w:type="dxa" w:w="220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12.7%</w:t>
            </w:r>
          </w:p>
        </w:tc>
        <w:tc>
          <w:tcPr>
            <w:tcW w:type="dxa" w:w="2445"/>
            <w:tcMar>
              <w:top w:w="60" w:type="dxa"/>
              <w:bottom w:w="60" w:type="dxa"/>
            </w:tcMar>
            <w:vAlign w:val="center"/>
            <w:tcBorders>
              <w:bottom w:val="single" w:color="B0B0B0" w:sz="6"/>
              <w:left w:val="nil" w:color="auto"/>
              <w:right w:val="single" w:color="B0B0B0" w:sz="6"/>
              <w:top w:val="nil" w:color="auto"/>
            </w:tcBorders>
            <w:shd w:val="clear" w:color="000000" w:fill="FFFFFF"/>
          </w:tcPr>
          <w:p>
            <w:pPr>
              <w:jc w:val="center"/>
              <w:spacing w:before="0" w:after="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7.7%p 상승</w:t>
            </w:r>
          </w:p>
        </w:tc>
      </w:tr>
    </w:tbl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케이카 투자로 한앤컴퍼니는 2021년 IPO 당시 구주매출로 회수한 약 3,000억원 이상과 2026년 잔여 </w:t>
      </w:r>
      <w:r>
        <w:rPr>
          <w:shd w:val="clear" w:color="auto" w:fill="auto"/>
          <w:rFonts w:ascii="나눔고딕" w:eastAsia="나눔고딕" w:hAnsi="나눔고딕" w:cs="나눔고딕"/>
        </w:rPr>
        <w:t xml:space="preserve">지분 및 캐피탈 매각대금 7,500억원을 합산해 총 1조 500억원 상당의 자금을 최종 회수했다. 이는 최초 </w:t>
      </w:r>
      <w:r>
        <w:rPr>
          <w:shd w:val="clear" w:color="auto" w:fill="auto"/>
          <w:rFonts w:ascii="나눔고딕" w:eastAsia="나눔고딕" w:hAnsi="나눔고딕" w:cs="나눔고딕"/>
        </w:rPr>
        <w:t xml:space="preserve">에쿼티 투자 원금 약 2,000억원 대비 단순 계산으로도 무려 5.25배(MoIC 5.25x)에 달하는 괄목할 만한 </w:t>
      </w:r>
      <w:r>
        <w:rPr>
          <w:shd w:val="clear" w:color="auto" w:fill="auto"/>
          <w:rFonts w:ascii="나눔고딕" w:eastAsia="나눔고딕" w:hAnsi="나눔고딕" w:cs="나눔고딕"/>
        </w:rPr>
        <w:t xml:space="preserve">투자 성과이며, 국내 PEF 업계에서 전통 유통·서비스 자산을 플랫폼화해 회수한 대표적 밸류업 모범 사례로 </w:t>
      </w:r>
      <w:r>
        <w:rPr>
          <w:shd w:val="clear" w:color="auto" w:fill="auto"/>
          <w:rFonts w:ascii="나눔고딕" w:eastAsia="나눔고딕" w:hAnsi="나눔고딕" w:cs="나눔고딕"/>
        </w:rPr>
        <w:t>평가받는다.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 이 사례는 IB 업계에서 'PEF가 침체된 중고차 업종을 인수해 시스템화하고 기업가치를 극적으로 끌어올린 </w:t>
      </w:r>
      <w:r>
        <w:rPr>
          <w:shd w:val="clear" w:color="auto" w:fill="auto"/>
          <w:rFonts w:ascii="나눔고딕" w:eastAsia="나눔고딕" w:hAnsi="나눔고딕" w:cs="나눔고딕"/>
        </w:rPr>
        <w:t xml:space="preserve">대표 사례'로 평가되며, 한앤컴퍼니는 압도적 수익률을, 인수자인 KG그룹은 신차 제조(KG모빌리티)-</w:t>
      </w:r>
      <w:r>
        <w:rPr>
          <w:shd w:val="clear" w:color="auto" w:fill="auto"/>
          <w:rFonts w:ascii="나눔고딕" w:eastAsia="나눔고딕" w:hAnsi="나눔고딕" w:cs="나눔고딕"/>
        </w:rPr>
        <w:t xml:space="preserve">중고차 유통(케이카)-금융(케이카캐피탈)으로 이어지는 모빌리티 밸류체인을 완성하는 윈-윈 거래로 </w:t>
      </w:r>
      <w:r>
        <w:rPr>
          <w:shd w:val="clear" w:color="auto" w:fill="auto"/>
          <w:rFonts w:ascii="나눔고딕" w:eastAsia="나눔고딕" w:hAnsi="나눔고딕" w:cs="나눔고딕"/>
        </w:rPr>
        <w:t>해석된다.</w:t>
      </w:r>
    </w:p>
    <w:p>
      <w:pPr>
        <w:jc w:val="both"/>
        <w:pBdr>
          <w:bottom w:sz="12" w:space="0" w:color="1F3864" w:val="single"/>
        </w:pBdr>
        <w:rPr>
          <w:shd w:val="clear" w:color="auto" w:fill="auto"/>
          <w:rFonts w:ascii="나눔고딕" w:eastAsia="나눔고딕" w:hAnsi="나눔고딕" w:cs="나눔고딕" w:hint="eastAsia"/>
        </w:rPr>
      </w:pP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5. Case Study (2):  [한온시스템] 인수 사례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8" w:name="_dryp95wup0sj"/>
      <w:bookmarkEnd w:id="18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1) Deal Summary (딜 개요)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 w:hint="eastAsia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한앤컴퍼니는 2015년 미국 비스테온으로부터 세계 2위 자동차 열관리(공조) 기업인 한온시스템(옛 </w:t>
      </w:r>
      <w:r>
        <w:rPr>
          <w:shd w:val="clear" w:color="auto" w:fill="auto"/>
          <w:rFonts w:ascii="나눔고딕" w:eastAsia="나눔고딕" w:hAnsi="나눔고딕" w:cs="나눔고딕"/>
        </w:rPr>
        <w:t xml:space="preserve">한라비스테온공조) 지분 50.5%를 한국타이어(19.49%)와 공동으로, 총 약 3.9조원에 인수했다. 이후 </w:t>
      </w:r>
      <w:r>
        <w:rPr>
          <w:shd w:val="clear" w:color="auto" w:fill="auto"/>
          <w:rFonts w:ascii="나눔고딕" w:eastAsia="나눔고딕" w:hAnsi="나눔고딕" w:cs="나눔고딕"/>
        </w:rPr>
        <w:t xml:space="preserve">마그나그룹 유압제어(FP&amp;C) 사업부, 케이힌 콘덴서 사업 등을 잇달아 볼트온하며 내연기관 편중 사업을 </w:t>
      </w:r>
      <w:r>
        <w:rPr>
          <w:shd w:val="clear" w:color="auto" w:fill="auto"/>
          <w:rFonts w:ascii="나눔고딕" w:eastAsia="나눔고딕" w:hAnsi="나눔고딕" w:cs="나눔고딕"/>
        </w:rPr>
        <w:t xml:space="preserve">전동화 부품으로 다각화해 연매출 7조원대 글로벌 티어1 부품사로 키웠다. 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다만 대규모 인수금융과 배당·리캡에 의존한 회수 구조는 한온시스템의 재무 부담을 키웠고, 전기차 캐즘 속 </w:t>
      </w:r>
      <w:r>
        <w:rPr>
          <w:shd w:val="clear" w:color="auto" w:fill="auto"/>
          <w:rFonts w:ascii="나눔고딕" w:eastAsia="나눔고딕" w:hAnsi="나눔고딕" w:cs="나눔고딕"/>
        </w:rPr>
        <w:t xml:space="preserve">실적 부진으로 해외 매각이 번번이 무산되며 회수가 장기화됐다. 결국 한앤코는 10년 만인 2024~2025년 </w:t>
      </w:r>
      <w:r>
        <w:rPr>
          <w:shd w:val="clear" w:color="auto" w:fill="auto"/>
          <w:rFonts w:ascii="나눔고딕" w:eastAsia="나눔고딕" w:hAnsi="나눔고딕" w:cs="나눔고딕"/>
        </w:rPr>
        <w:t xml:space="preserve">공동투자자였던 한국타이어에 경영권 지분을 단계적으로 넘기고, 잔여 지분에 대해서는 주당 5,200원 </w:t>
      </w:r>
      <w:r>
        <w:rPr>
          <w:shd w:val="clear" w:color="auto" w:fill="auto"/>
          <w:rFonts w:ascii="나눔고딕" w:eastAsia="나눔고딕" w:hAnsi="나눔고딕" w:cs="나눔고딕"/>
        </w:rPr>
        <w:t xml:space="preserve">풋옵션(2027년 1월 행사)을 확보하며 엑시트를 마무리하는 중이다.</w:t>
      </w:r>
    </w:p>
    <w:p>
      <w:pPr>
        <w:jc w:val="both"/>
        <w:spacing w:before="0" w:after="0"/>
        <w:rPr>
          <w:sz w:val="20"/>
          <w:szCs w:val="20"/>
          <w:shd w:val="clear" w:color="auto" w:fill="auto"/>
          <w:rFonts w:ascii="나눔고딕" w:eastAsia="나눔고딕" w:hAnsi="나눔고딕" w:cs="나눔고딕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top w:w="100" w:type="dxa"/>
          <w:right w:w="100" w:type="dxa"/>
          <w:bottom w:w="100" w:type="dxa"/>
        </w:tblCellMar>
        <w:tblW w:w="9356" w:type="dxa"/>
        <w:tblLook w:val="000600" w:firstRow="0" w:lastRow="0" w:firstColumn="0" w:lastColumn="0" w:noHBand="1" w:noVBand="1"/>
        <w:tblLayout w:type="fixed"/>
      </w:tblPr>
      <w:tblGrid>
        <w:gridCol w:w="1370"/>
        <w:gridCol w:w="7986"/>
      </w:tblGrid>
      <w:tr>
        <w:trPr>
          <w:trHeight w:hRule="atleast" w:val="567"/>
          <w:tblHeader/>
        </w:trPr>
        <w:tc>
          <w:tcPr>
            <w:tcW w:type="dxa" w:w="1370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항목</w:t>
            </w:r>
          </w:p>
        </w:tc>
        <w:tc>
          <w:tcPr>
            <w:tcW w:type="dxa" w:w="7986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내용</w:t>
            </w:r>
          </w:p>
        </w:tc>
      </w:tr>
      <w:tr>
        <w:trPr>
          <w:trHeight w:hRule="atleast" w:val="680"/>
          <w:tblHeader/>
        </w:trPr>
        <w:tc>
          <w:tcPr>
            <w:tcW w:type="dxa" w:w="1370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인수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시점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2015.06</w:t>
            </w:r>
          </w:p>
        </w:tc>
      </w:tr>
      <w:tr>
        <w:trPr>
          <w:trHeight w:hRule="atleast" w:val="680"/>
        </w:trPr>
        <w:tc>
          <w:tcPr>
            <w:tcW w:type="dxa" w:w="1370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거래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총액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ind w:left="141" w:hanging="18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 컨소시엄 전체 약 3조 8,000억~3조 9,000억원 (한앤코 단독 기준 2조 7,512억원)</w:t>
            </w:r>
          </w:p>
          <w:p>
            <w:pPr>
              <w:jc w:val="both"/>
              <w:spacing w:before="0" w:after="40"/>
              <w:ind w:left="141" w:hanging="18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 당시 국내 PEF 사상 최대규모의 바이아웃</w:t>
            </w:r>
          </w:p>
        </w:tc>
      </w:tr>
      <w:tr>
        <w:trPr>
          <w:trHeight w:hRule="atleast" w:val="680"/>
        </w:trPr>
        <w:tc>
          <w:tcPr>
            <w:tcW w:type="dxa" w:w="1370"/>
            <w:vAlign w:val="center"/>
          </w:tcPr>
          <w:p>
            <w:pPr>
              <w:jc w:val="center"/>
              <w:spacing w:before="0" w:after="8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LBO구조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 자기자금(에쿼티)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: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 1조 496억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 인수금융(차입)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: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 1조 7,016억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원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 xml:space="preserve">*LTV: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약 62%</w:t>
            </w:r>
          </w:p>
        </w:tc>
      </w:tr>
      <w:tr>
        <w:trPr>
          <w:trHeight w:hRule="atleast" w:val="680"/>
        </w:trPr>
        <w:tc>
          <w:tcPr>
            <w:tcW w:type="dxa" w:w="1370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확보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지분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한앤코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: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50.5%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한국타이어앤테크놀로지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: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 19.49% 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 w:hint="eastAsia"/>
              </w:rPr>
              <w:t>*</w:t>
            </w:r>
            <w:r>
              <w:rPr>
                <w:color w:val="A5A5A5" w:themeColor="background1" w:themeShade="A5"/>
                <w:sz w:val="16"/>
                <w:szCs w:val="16"/>
                <w:shd w:val="clear" w:color="auto" w:fill="auto"/>
                <w:rFonts w:ascii="나눔고딕" w:eastAsia="나눔고딕" w:hAnsi="나눔고딕" w:cs="나눔고딕"/>
              </w:rPr>
              <w:t xml:space="preserve">컨소시엄 총 69.99%</w:t>
            </w:r>
          </w:p>
        </w:tc>
      </w:tr>
      <w:tr>
        <w:trPr>
          <w:trHeight w:hRule="atleast" w:val="680"/>
        </w:trPr>
        <w:tc>
          <w:tcPr>
            <w:tcW w:type="dxa" w:w="1370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인수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주체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SPC 한앤코오토홀딩스를 통해 자기자본 약 1조 1,400억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원(2호 블라인드펀드 등 출자)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>와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하나은행 등 30개 기관 대주단의 인수금융 1조 7,000억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원을 더해, 총 2조 7,500억원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규모의 인수를 완성</w:t>
            </w:r>
          </w:p>
        </w:tc>
      </w:tr>
      <w:tr>
        <w:trPr>
          <w:trHeight w:hRule="atleast" w:val="680"/>
        </w:trPr>
        <w:tc>
          <w:tcPr>
            <w:tcW w:type="dxa" w:w="1370"/>
            <w:vAlign w:val="center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인수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금융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만기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구조</w:t>
            </w:r>
          </w:p>
        </w:tc>
        <w:tc>
          <w:tcPr>
            <w:tcW w:type="dxa" w:w="7986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최초 5년 만기(2021.6) 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이후 2017·2019·2021년 3차례 리파이낸싱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2026년 3월 추가 2년 연장(잔여 약 8,000억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원)</w:t>
            </w:r>
          </w:p>
        </w:tc>
      </w:tr>
    </w:tbl>
    <w:p>
      <w:pPr>
        <w:jc w:val="both"/>
        <w:spacing w:before="0" w:after="160"/>
        <w:rPr>
          <w:sz w:val="20"/>
          <w:szCs w:val="20"/>
          <w:shd w:val="clear" w:color="auto" w:fill="auto"/>
          <w:rFonts w:ascii="나눔고딕" w:eastAsia="나눔고딕" w:hAnsi="나눔고딕" w:cs="나눔고딕"/>
        </w:rPr>
      </w:pPr>
      <w:r>
        <w:rPr>
          <w:sz w:val="20"/>
          <w:szCs w:val="20"/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pStyle w:val="PO9"/>
        <w:jc w:val="both"/>
        <w:spacing w:lineRule="auto" w:line="275" w:before="0" w:after="160"/>
        <w:rPr>
          <w:sz w:val="26"/>
          <w:szCs w:val="26"/>
          <w:shd w:val="clear" w:color="auto" w:fill="auto"/>
          <w:rFonts w:ascii="나눔고딕" w:eastAsia="나눔고딕" w:hAnsi="나눔고딕" w:cs="나눔고딕"/>
        </w:rPr>
      </w:pPr>
      <w:bookmarkStart w:id="19" w:name="_u5s5k7364xt1"/>
      <w:bookmarkEnd w:id="19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2) Investment Thesis (투자 논리)</w:t>
      </w:r>
    </w:p>
    <w:p>
      <w:pPr>
        <w:jc w:val="both"/>
        <w:spacing w:lineRule="auto" w:line="275" w:after="0"/>
        <w:rPr>
          <w:b w:val="1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①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카브아웃과 볼트온 전략</w:t>
      </w:r>
      <w:r>
        <w:rPr>
          <w:shd w:val="clear" w:color="auto" w:fill="auto"/>
          <w:rFonts w:ascii="나눔고딕" w:eastAsia="나눔고딕" w:hAnsi="나눔고딕" w:cs="나눔고딕"/>
        </w:rPr>
        <w:t>: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 </w:t>
      </w:r>
      <w:r>
        <w:rPr>
          <w:shd w:val="clear" w:color="auto" w:fill="auto"/>
          <w:rFonts w:ascii="나눔고딕" w:eastAsia="나눔고딕" w:hAnsi="나눔고딕" w:cs="나눔고딕"/>
        </w:rPr>
        <w:t xml:space="preserve">세계 2위 자동차 열관리(공조) 전문기업 인수로 마그나(Magna)그룹의 </w:t>
      </w:r>
      <w:r>
        <w:rPr>
          <w:shd w:val="clear" w:color="auto" w:fill="auto"/>
          <w:rFonts w:ascii="나눔고딕" w:eastAsia="나눔고딕" w:hAnsi="나눔고딕" w:cs="나눔고딕"/>
        </w:rPr>
        <w:t xml:space="preserve">유압제어 등 사업부를 흡수해온 글로벌 티어1 부품사로, 안정적인 완성차 협력사 지위 확보하고자 하였다.</w:t>
      </w:r>
    </w:p>
    <w:p>
      <w:pPr>
        <w:jc w:val="both"/>
        <w:spacing w:lineRule="auto" w:line="275" w:after="0"/>
        <w:rPr>
          <w:b w:val="1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②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전기차 전환 테마</w:t>
      </w:r>
      <w:r>
        <w:rPr>
          <w:shd w:val="clear" w:color="auto" w:fill="auto"/>
          <w:rFonts w:ascii="나눔고딕" w:eastAsia="나눔고딕" w:hAnsi="나눔고딕" w:cs="나눔고딕"/>
        </w:rPr>
        <w:t xml:space="preserve">: 인수 시점(2015년)부터 전기차 시대의 배터리 열관리·히트펌프 시스템 수요 증가를 </w:t>
      </w:r>
      <w:r>
        <w:rPr>
          <w:shd w:val="clear" w:color="auto" w:fill="auto"/>
          <w:rFonts w:ascii="나눔고딕" w:eastAsia="나눔고딕" w:hAnsi="나눔고딕" w:cs="나눔고딕"/>
        </w:rPr>
        <w:t xml:space="preserve">구조적 성장 논리로 설정하여 이후 R&amp;D 투자의 핵심 방향이 되었다</w:t>
      </w:r>
    </w:p>
    <w:p>
      <w:pPr>
        <w:jc w:val="both"/>
        <w:spacing w:lineRule="auto" w:line="275" w:after="0"/>
        <w:rPr>
          <w:b w:val="1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③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트렉레코드 확보</w:t>
      </w:r>
      <w:r>
        <w:rPr>
          <w:shd w:val="clear" w:color="auto" w:fill="auto"/>
          <w:rFonts w:ascii="나눔고딕" w:eastAsia="나눔고딕" w:hAnsi="나눔고딕" w:cs="나눔고딕"/>
        </w:rPr>
        <w:t xml:space="preserve">: 당시 국내 사모펀드 투자 중 최대 규모딜로, 한앤코를 국내 최상위 PEF로 각인시켰다.</w:t>
      </w:r>
    </w:p>
    <w:p>
      <w:pPr>
        <w:jc w:val="both"/>
        <w:spacing w:lineRule="auto" w:line="275"/>
        <w:rPr>
          <w:b w:val="1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④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컨소시엄 구조의 이점</w:t>
      </w:r>
      <w:r>
        <w:rPr>
          <w:shd w:val="clear" w:color="auto" w:fill="auto"/>
          <w:rFonts w:ascii="나눔고딕" w:eastAsia="나눔고딕" w:hAnsi="나눔고딕" w:cs="나눔고딕"/>
        </w:rPr>
        <w:t xml:space="preserve">: 한국타이어와 공동 인수함으로써 산업 파트너(전략적 투자자)의 협력 관계를 </w:t>
      </w:r>
      <w:r>
        <w:rPr>
          <w:shd w:val="clear" w:color="auto" w:fill="auto"/>
          <w:rFonts w:ascii="나눔고딕" w:eastAsia="나눔고딕" w:hAnsi="나눔고딕" w:cs="나눔고딕"/>
        </w:rPr>
        <w:t xml:space="preserve">확보하고, 인수 자금 부담을 분산하였다.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pStyle w:val="PO9"/>
        <w:jc w:val="both"/>
        <w:spacing w:lineRule="auto" w:line="275" w:before="0" w:after="160"/>
        <w:rPr>
          <w:shd w:val="clear" w:color="auto" w:fill="auto"/>
          <w:rFonts w:ascii="나눔고딕" w:eastAsia="나눔고딕" w:hAnsi="나눔고딕" w:cs="나눔고딕"/>
        </w:rPr>
      </w:pPr>
      <w:r>
        <w:rPr>
          <w:sz w:val="26"/>
          <w:szCs w:val="26"/>
          <w:shd w:val="clear" w:color="auto" w:fill="auto"/>
          <w:rFonts w:ascii="나눔고딕" w:eastAsia="나눔고딕" w:hAnsi="나눔고딕" w:cs="나눔고딕" w:hint="eastAsia"/>
        </w:rPr>
        <w:t>4</w:t>
      </w:r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) </w:t>
      </w:r>
      <w:bookmarkStart w:id="20" w:name="_bzkfoi2j4ndp"/>
      <w:bookmarkEnd w:id="20"/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Value Creation (가치 창출 &amp; 지원)</w:t>
      </w:r>
    </w:p>
    <w:p>
      <w:pPr>
        <w:jc w:val="both"/>
        <w:spacing w:lineRule="auto" w:line="275" w:before="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①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자본구조 재조정 : </w:t>
      </w:r>
      <w:r>
        <w:rPr>
          <w:shd w:val="clear" w:color="auto" w:fill="auto"/>
          <w:rFonts w:ascii="나눔고딕" w:eastAsia="나눔고딕" w:hAnsi="나눔고딕" w:cs="나눔고딕"/>
        </w:rPr>
        <w:t xml:space="preserve">글로벌 수주 확대와 전기차 열관리 투자를 추진했으나, 전기차 캐즘·업황 부진으로 </w:t>
      </w:r>
      <w:r>
        <w:rPr>
          <w:shd w:val="clear" w:color="auto" w:fill="auto"/>
          <w:rFonts w:ascii="나눔고딕" w:eastAsia="나눔고딕" w:hAnsi="나눔고딕" w:cs="나눔고딕"/>
        </w:rPr>
        <w:t xml:space="preserve">밸류업이 지연되어 이 기간 한앤코는 2017・2019・2021 세 차례의 리파이낸싱 및 리캡을 통해 대츌 </w:t>
      </w:r>
      <w:r>
        <w:rPr>
          <w:shd w:val="clear" w:color="auto" w:fill="auto"/>
          <w:rFonts w:ascii="나눔고딕" w:eastAsia="나눔고딕" w:hAnsi="나눔고딕" w:cs="나눔고딕"/>
        </w:rPr>
        <w:t xml:space="preserve">규모를 약 2조원까지 키웠고, 조달한 현금은 배당 재원으로 활용하였다.</w:t>
      </w:r>
    </w:p>
    <w:p>
      <w:pPr>
        <w:jc w:val="both"/>
        <w:spacing w:lineRule="auto" w:line="275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②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볼트온 M&amp;A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: </w:t>
      </w:r>
      <w:r>
        <w:rPr>
          <w:shd w:val="clear" w:color="auto" w:fill="auto"/>
          <w:rFonts w:ascii="나눔고딕" w:eastAsia="나눔고딕" w:hAnsi="나눔고딕" w:cs="나눔고딕"/>
        </w:rPr>
        <w:t xml:space="preserve"> 마그나그룹 FP&amp;C(유압제어)의 유럽·북미·아시아 4개국 7개 법인(2017년 매출이 약 </w:t>
      </w:r>
      <w:r>
        <w:rPr>
          <w:shd w:val="clear" w:color="auto" w:fill="auto"/>
          <w:rFonts w:ascii="나눔고딕" w:eastAsia="나눔고딕" w:hAnsi="나눔고딕" w:cs="나눔고딕"/>
        </w:rPr>
        <w:t xml:space="preserve">14억 달러) 사업부를 12억 3,000만달러에 인수하여 당시의 한온시스템 제품군 다변화와 신규 고객사 </w:t>
      </w:r>
      <w:r>
        <w:rPr>
          <w:shd w:val="clear" w:color="auto" w:fill="auto"/>
          <w:rFonts w:ascii="나눔고딕" w:eastAsia="나눔고딕" w:hAnsi="나눔고딕" w:cs="나눔고딕"/>
        </w:rPr>
        <w:t>확보하였다.</w:t>
      </w: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 </w:t>
      </w:r>
      <w:r>
        <w:rPr>
          <w:shd w:val="clear" w:color="auto" w:fill="auto"/>
          <w:rFonts w:ascii="나눔고딕" w:eastAsia="나눔고딕" w:hAnsi="나눔고딕" w:cs="나눔고딕" w:hint="eastAsia"/>
        </w:rPr>
        <w:t xml:space="preserve">또한 </w:t>
      </w:r>
      <w:r>
        <w:rPr>
          <w:shd w:val="clear" w:color="auto" w:fill="auto"/>
          <w:rFonts w:ascii="나눔고딕" w:eastAsia="나눔고딕" w:hAnsi="나눔고딕" w:cs="나눔고딕"/>
        </w:rPr>
        <w:t xml:space="preserve">일본 혼다 계열 부품사 케이힌(Keihin)의 체코·멕시코·미국 일부 지역 콘덴서 사업을 </w:t>
      </w:r>
      <w:r>
        <w:rPr>
          <w:shd w:val="clear" w:color="auto" w:fill="auto"/>
          <w:rFonts w:ascii="나눔고딕" w:eastAsia="나눔고딕" w:hAnsi="나눔고딕" w:cs="나눔고딕"/>
        </w:rPr>
        <w:t xml:space="preserve">인수하여 기존의 생산・공급 능력과 지역 거점(유럽・북미)을 통합해 시장 지배력을 키웠다. </w:t>
      </w:r>
    </w:p>
    <w:p>
      <w:pPr>
        <w:jc w:val="both"/>
        <w:spacing w:lineRule="auto" w:line="275"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b w:val="1"/>
          <w:shd w:val="clear" w:color="auto" w:fill="auto"/>
          <w:rFonts w:ascii="나눔고딕" w:eastAsia="나눔고딕" w:hAnsi="나눔고딕" w:cs="나눔고딕" w:hint="eastAsia"/>
        </w:rPr>
        <w:t xml:space="preserve">③ </w:t>
      </w:r>
      <w:r>
        <w:rPr>
          <w:b w:val="1"/>
          <w:shd w:val="clear" w:color="auto" w:fill="auto"/>
          <w:rFonts w:ascii="나눔고딕" w:eastAsia="나눔고딕" w:hAnsi="나눔고딕" w:cs="나눔고딕"/>
        </w:rPr>
        <w:t xml:space="preserve">R&amp;D·체질개선 투자 : </w:t>
      </w:r>
      <w:r>
        <w:rPr>
          <w:shd w:val="clear" w:color="auto" w:fill="auto"/>
          <w:rFonts w:ascii="나눔고딕" w:eastAsia="나눔고딕" w:hAnsi="나눔고딕" w:cs="나눔고딕"/>
        </w:rPr>
        <w:t xml:space="preserve">  2015~2019년 5년간 연구개발비 1조 3,740억원 투입하였고, 2023년 </w:t>
      </w:r>
      <w:r>
        <w:rPr>
          <w:shd w:val="clear" w:color="auto" w:fill="auto"/>
          <w:rFonts w:ascii="나눔고딕" w:eastAsia="나눔고딕" w:hAnsi="나눔고딕" w:cs="나눔고딕"/>
        </w:rPr>
        <w:t xml:space="preserve">3분기까지 약 2,460억여원(매출의 약 5% 수준) 추가 투입 및 전기차 부품(배터리 열관리, 히트펌프 </w:t>
      </w:r>
      <w:r>
        <w:rPr>
          <w:shd w:val="clear" w:color="auto" w:fill="auto"/>
          <w:rFonts w:ascii="나눔고딕" w:eastAsia="나눔고딕" w:hAnsi="나눔고딕" w:cs="나눔고딕"/>
        </w:rPr>
        <w:t xml:space="preserve">시스템) 고도화를 하였다. 채널을 확장하는 시너지를 창출했다. </w:t>
      </w:r>
    </w:p>
    <w:p>
      <w:pPr>
        <w:pStyle w:val="PO9"/>
        <w:jc w:val="both"/>
        <w:spacing w:lineRule="auto" w:line="275" w:before="0" w:after="160"/>
        <w:rPr>
          <w:shd w:val="clear" w:color="auto" w:fill="auto"/>
          <w:rFonts w:ascii="나눔고딕" w:eastAsia="나눔고딕" w:hAnsi="나눔고딕" w:cs="나눔고딕"/>
        </w:rPr>
      </w:pPr>
      <w:r>
        <w:rPr>
          <w:sz w:val="26"/>
          <w:szCs w:val="26"/>
          <w:shd w:val="clear" w:color="auto" w:fill="auto"/>
          <w:rFonts w:ascii="나눔고딕" w:eastAsia="나눔고딕" w:hAnsi="나눔고딕" w:cs="나눔고딕" w:hint="eastAsia"/>
        </w:rPr>
        <w:t>4</w:t>
      </w:r>
      <w:r>
        <w:rPr>
          <w:sz w:val="26"/>
          <w:szCs w:val="26"/>
          <w:shd w:val="clear" w:color="auto" w:fill="auto"/>
          <w:rFonts w:ascii="나눔고딕" w:eastAsia="나눔고딕" w:hAnsi="나눔고딕" w:cs="나눔고딕"/>
        </w:rPr>
        <w:t xml:space="preserve">) Performance &amp; Exit (성과 &amp; 회수)</w:t>
      </w:r>
    </w:p>
    <w:p>
      <w:pPr>
        <w:pStyle w:val="PO9"/>
        <w:jc w:val="both"/>
        <w:spacing w:lineRule="auto" w:line="275" w:before="0" w:after="160"/>
        <w:rPr>
          <w:sz w:val="20"/>
          <w:szCs w:val="20"/>
          <w:shd w:val="clear" w:color="auto" w:fill="auto"/>
          <w:rFonts w:ascii="나눔고딕" w:eastAsia="나눔고딕" w:hAnsi="나눔고딕" w:cs="나눔고딕"/>
        </w:rPr>
      </w:pP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 xml:space="preserve">(1) 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 xml:space="preserve">성과 및 Exit  현황 : 현재 부분 엑시트 단계로 최종 회수 미완결</w:t>
      </w:r>
    </w:p>
    <w:tbl>
      <w:tblID w:val="0"/>
      <w:tblPr>
        <w:tblStyle w:val="PO15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top w:w="100" w:type="dxa"/>
          <w:right w:w="100" w:type="dxa"/>
          <w:bottom w:w="100" w:type="dxa"/>
        </w:tblCellMar>
        <w:tblW w:w="9355" w:type="dxa"/>
        <w:tblLook w:val="000600" w:firstRow="0" w:lastRow="0" w:firstColumn="0" w:lastColumn="0" w:noHBand="1" w:noVBand="1"/>
        <w:tblLayout w:type="fixed"/>
      </w:tblPr>
      <w:tblGrid>
        <w:gridCol w:w="1560"/>
        <w:gridCol w:w="7795"/>
      </w:tblGrid>
      <w:tr>
        <w:trPr>
          <w:trHeight w:hRule="atleast" w:val="567"/>
        </w:trPr>
        <w:tc>
          <w:tcPr>
            <w:tcW w:type="dxa" w:w="1560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시기</w:t>
            </w:r>
          </w:p>
        </w:tc>
        <w:tc>
          <w:tcPr>
            <w:tcW w:type="dxa" w:w="7795"/>
            <w:vAlign w:val="center"/>
            <w:shd w:val="clear" w:color="000000" w:fill="DCEAF8"/>
          </w:tcPr>
          <w:p>
            <w:pPr>
              <w:jc w:val="center"/>
              <w:spacing w:before="0" w:after="4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내용</w:t>
            </w:r>
          </w:p>
        </w:tc>
      </w:tr>
      <w:tr>
        <w:trPr>
          <w:trHeight w:hRule="atleast" w:val="680"/>
        </w:trPr>
        <w:tc>
          <w:tcPr>
            <w:tcW w:type="dxa" w:w="1560"/>
            <w:vAlign w:val="center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2021</w:t>
            </w:r>
          </w:p>
        </w:tc>
        <w:tc>
          <w:tcPr>
            <w:tcW w:type="dxa" w:w="7795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매각 시도(일본 회사가 약 6조원 제시) → 무산</w:t>
            </w:r>
          </w:p>
        </w:tc>
      </w:tr>
      <w:tr>
        <w:trPr>
          <w:trHeight w:hRule="atleast" w:val="680"/>
        </w:trPr>
        <w:tc>
          <w:tcPr>
            <w:tcW w:type="dxa" w:w="1560"/>
            <w:vAlign w:val="center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2024.11</w:t>
            </w:r>
          </w:p>
        </w:tc>
        <w:tc>
          <w:tcPr>
            <w:tcW w:type="dxa" w:w="7795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지분 23%를 한국타이어에 1조 2,277억원(주당 1만원)에 매각(SPA 체결) 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잔여지분에 대해 주당 5,200원 풋옵션(2027년 1월 행사 가능) 확보</w:t>
            </w:r>
          </w:p>
        </w:tc>
      </w:tr>
      <w:tr>
        <w:trPr>
          <w:trHeight w:hRule="atleast" w:val="680"/>
        </w:trPr>
        <w:tc>
          <w:tcPr>
            <w:tcW w:type="dxa" w:w="1560"/>
            <w:vAlign w:val="center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2025.01</w:t>
            </w:r>
          </w:p>
        </w:tc>
        <w:tc>
          <w:tcPr>
            <w:tcW w:type="dxa" w:w="7795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한앤코는 한국타이어앤컴퍼니그룹에게 보유 지분의 약 35%p(약 1조 2,100억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원)을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매각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한국타이어앤컴퍼니그룹이 지분 54.77% 확보하며 최종 인수 완료 </w:t>
            </w:r>
          </w:p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• 한앤코는 잔여지분 21.6%를 보유한 2대 주주로 전환</w:t>
            </w:r>
          </w:p>
        </w:tc>
      </w:tr>
      <w:tr>
        <w:trPr>
          <w:trHeight w:hRule="atleast" w:val="680"/>
        </w:trPr>
        <w:tc>
          <w:tcPr>
            <w:tcW w:type="dxa" w:w="1560"/>
            <w:vAlign w:val="center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2026.03</w:t>
            </w:r>
          </w:p>
        </w:tc>
        <w:tc>
          <w:tcPr>
            <w:tcW w:type="dxa" w:w="7795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잔여 인수금융(약 8,000억원) 만기 2년 연장</w:t>
            </w:r>
          </w:p>
        </w:tc>
      </w:tr>
      <w:tr>
        <w:trPr>
          <w:trHeight w:hRule="atleast" w:val="680"/>
        </w:trPr>
        <w:tc>
          <w:tcPr>
            <w:tcW w:type="dxa" w:w="1560"/>
            <w:vAlign w:val="center"/>
          </w:tcPr>
          <w:p>
            <w:pPr>
              <w:jc w:val="center"/>
              <w:spacing w:before="0" w:after="0"/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b w:val="1"/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>2026.07</w:t>
            </w:r>
          </w:p>
        </w:tc>
        <w:tc>
          <w:tcPr>
            <w:tcW w:type="dxa" w:w="7795"/>
            <w:vAlign w:val="center"/>
          </w:tcPr>
          <w:p>
            <w:pPr>
              <w:jc w:val="both"/>
              <w:spacing w:before="0" w:after="40"/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</w:pP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2026년 7월 20일 종가 기준 한온시스템 주가는 3,380원으로, 한앤컴퍼니가 보유한 </w:t>
            </w:r>
            <w:r>
              <w:rPr>
                <w:sz w:val="20"/>
                <w:szCs w:val="20"/>
                <w:shd w:val="clear" w:color="auto" w:fill="auto"/>
                <w:rFonts w:ascii="나눔고딕" w:eastAsia="나눔고딕" w:hAnsi="나눔고딕" w:cs="나눔고딕"/>
              </w:rPr>
              <w:t xml:space="preserve">풋옵션 행사가(5,200원)를 약 35% 밑돌고 있어 회수의 하방을 방어하는 안전판을 확보</w:t>
            </w:r>
          </w:p>
        </w:tc>
      </w:tr>
    </w:tbl>
    <w:p>
      <w:pPr>
        <w:jc w:val="both"/>
        <w:spacing w:before="0" w:after="40"/>
        <w:ind w:left="560" w:hanging="200"/>
        <w:rPr>
          <w:b w:val="1"/>
          <w:sz w:val="20"/>
          <w:szCs w:val="2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sz w:val="20"/>
          <w:szCs w:val="20"/>
          <w:shd w:val="clear" w:color="auto" w:fill="auto"/>
          <w:rFonts w:ascii="나눔고딕" w:eastAsia="나눔고딕" w:hAnsi="나눔고딕" w:cs="나눔고딕"/>
        </w:rPr>
        <w:t xml:space="preserve"> </w:t>
      </w:r>
    </w:p>
    <w:p>
      <w:pPr>
        <w:pStyle w:val="PO9"/>
        <w:jc w:val="both"/>
        <w:spacing w:lineRule="auto" w:line="275" w:before="0" w:after="160"/>
        <w:rPr>
          <w:sz w:val="21"/>
          <w:szCs w:val="21"/>
          <w:shd w:val="clear" w:color="auto" w:fill="auto"/>
          <w:rFonts w:ascii="나눔고딕" w:eastAsia="나눔고딕" w:hAnsi="나눔고딕" w:cs="나눔고딕"/>
        </w:rPr>
      </w:pP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 xml:space="preserve">(2) 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>실패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 w:hint="eastAsia"/>
        </w:rPr>
        <w:t xml:space="preserve"> 및 </w:t>
      </w:r>
      <w:r>
        <w:rPr>
          <w:sz w:val="21"/>
          <w:szCs w:val="21"/>
          <w:shd w:val="clear" w:color="auto" w:fill="auto"/>
          <w:rFonts w:ascii="나눔고딕" w:eastAsia="나눔고딕" w:hAnsi="나눔고딕" w:cs="나눔고딕"/>
        </w:rPr>
        <w:t xml:space="preserve">리스크 요인</w:t>
      </w:r>
    </w:p>
    <w:p>
      <w:pPr>
        <w:jc w:val="both"/>
        <w:spacing w:lineRule="auto" w:line="360" w:before="0" w:after="0"/>
        <w:ind w:left="460" w:hanging="180"/>
        <w:rPr>
          <w:shd w:val="clear" w:color="auto" w:fill="auto"/>
          <w:rFonts w:ascii="나눔고딕" w:eastAsia="나눔고딕" w:hAnsi="나눔고딕" w:cs="나눔고딕"/>
        </w:rPr>
      </w:pPr>
      <w:r>
        <w:rPr>
          <w:sz w:val="24"/>
          <w:szCs w:val="24"/>
          <w:shd w:val="clear" w:color="auto" w:fill="auto"/>
          <w:rFonts w:ascii="나눔고딕" w:eastAsia="나눔고딕" w:hAnsi="나눔고딕" w:cs="나눔고딕"/>
        </w:rPr>
        <w:t>•</w:t>
      </w:r>
      <w:r>
        <w:rPr>
          <w:sz w:val="14"/>
          <w:szCs w:val="14"/>
          <w:shd w:val="clear" w:color="auto" w:fill="auto"/>
          <w:rFonts w:ascii="나눔고딕" w:eastAsia="나눔고딕" w:hAnsi="나눔고딕" w:cs="나눔고딕"/>
        </w:rPr>
        <w:t xml:space="preserve">  </w:t>
      </w:r>
      <w:r>
        <w:rPr>
          <w:shd w:val="clear" w:color="auto" w:fill="auto"/>
          <w:rFonts w:ascii="나눔고딕" w:eastAsia="나눔고딕" w:hAnsi="나눔고딕" w:cs="나눔고딕"/>
        </w:rPr>
        <w:t xml:space="preserve">전기차 캐즘(수요 정체)으로 주가 급락(1년새 -32% 등)</w:t>
      </w:r>
    </w:p>
    <w:p>
      <w:pPr>
        <w:jc w:val="both"/>
        <w:spacing w:lineRule="auto" w:line="360" w:before="0" w:after="0"/>
        <w:ind w:left="460" w:hanging="18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•  인수금융 이자부담(연 700억원대, 금리 약 4%)이 SPC 배당만으로 충당돼야 하는 구조적 취약성</w:t>
      </w:r>
    </w:p>
    <w:p>
      <w:pPr>
        <w:jc w:val="both"/>
        <w:spacing w:lineRule="auto" w:line="360" w:before="0" w:after="0"/>
        <w:ind w:left="460" w:hanging="18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•  매각 재시도(2021)가 무산되며 최적 매각 타이밍을 놓쳤다는 시장 평가</w:t>
      </w:r>
    </w:p>
    <w:p>
      <w:pPr>
        <w:jc w:val="both"/>
        <w:spacing w:lineRule="auto" w:line="360" w:before="0" w:after="0"/>
        <w:ind w:left="460" w:hanging="18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• 과도한 레버리지·배당이 한온시스템 재무구조를 악화시키고 신용등급 하락을 부른 점은 PE 레버리지 </w:t>
      </w:r>
      <w:r>
        <w:rPr>
          <w:shd w:val="clear" w:color="auto" w:fill="auto"/>
          <w:rFonts w:ascii="나눔고딕" w:eastAsia="나눔고딕" w:hAnsi="나눔고딕" w:cs="나눔고딕"/>
        </w:rPr>
        <w:t xml:space="preserve">전략의 '그림자'를 보여주는 논쟁적 사례</w:t>
      </w: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6. VC vs PE 관점 비교</w:t>
      </w:r>
    </w:p>
    <w:p>
      <w:pPr>
        <w:jc w:val="both"/>
        <w:spacing w:before="240" w:after="24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발표 후 작성</w:t>
      </w: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</w:p>
    <w:p>
      <w:pPr>
        <w:jc w:val="both"/>
        <w:pBdr>
          <w:bottom w:sz="12" w:space="0" w:color="1F3864" w:val="single"/>
        </w:pBd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</w:pPr>
      <w:r>
        <w:rPr>
          <w:b w:val="1"/>
          <w:color w:val="1F3864"/>
          <w:sz w:val="30"/>
          <w:szCs w:val="30"/>
          <w:shd w:val="clear" w:color="auto" w:fill="auto"/>
          <w:rFonts w:ascii="나눔고딕" w:eastAsia="나눔고딕" w:hAnsi="나눔고딕" w:cs="나눔고딕"/>
        </w:rPr>
        <w:t xml:space="preserve">7. 고민해보면 좋을 내용</w:t>
      </w:r>
    </w:p>
    <w:p>
      <w:pPr>
        <w:numPr>
          <w:numId w:val="3"/>
          <w:ilvl w:val="0"/>
        </w:numPr>
        <w:jc w:val="both"/>
        <w:spacing w:before="0" w:after="10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이 투자사의 성공 공식(대기업 비주력자산 인수 후 브랜드·운영 재구축)은 다른 시장·시대에도 복제 </w:t>
      </w:r>
      <w:r>
        <w:rPr>
          <w:shd w:val="clear" w:color="auto" w:fill="auto"/>
          <w:rFonts w:ascii="나눔고딕" w:eastAsia="나눔고딕" w:hAnsi="나눔고딕" w:cs="나눔고딕"/>
        </w:rPr>
        <w:t>가능한가?</w:t>
      </w:r>
    </w:p>
    <w:p>
      <w:pPr>
        <w:numPr>
          <w:numId w:val="3"/>
          <w:ilvl w:val="0"/>
        </w:numPr>
        <w:jc w:val="both"/>
        <w:spacing w:before="0" w:after="100"/>
        <w:rPr>
          <w:shd w:val="clear" w:color="auto" w:fill="auto"/>
          <w:rFonts w:ascii="나눔고딕" w:eastAsia="나눔고딕" w:hAnsi="나눔고딕" w:cs="나눔고딕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VC의 '성장 지원'과 PE의 '운영 개입'은 어디서 만나고 어디서 갈라지는가? 케이카 사례처럼 신규 </w:t>
      </w:r>
      <w:r>
        <w:rPr>
          <w:shd w:val="clear" w:color="auto" w:fill="auto"/>
          <w:rFonts w:ascii="나눔고딕" w:eastAsia="나눔고딕" w:hAnsi="나눔고딕" w:cs="나눔고딕"/>
        </w:rPr>
        <w:t xml:space="preserve">브랜드를 만들고 이커머스·금융 서비스를 얹는 방식은 VC의 성장지원과 유사해 보이지만, 그 </w:t>
      </w:r>
      <w:r>
        <w:rPr>
          <w:shd w:val="clear" w:color="auto" w:fill="auto"/>
          <w:rFonts w:ascii="나눔고딕" w:eastAsia="나눔고딕" w:hAnsi="나눔고딕" w:cs="나눔고딕"/>
        </w:rPr>
        <w:t xml:space="preserve">출발점(이미 매출이 있는 성숙 자산)이 본질적으로 다르다는 점에 주목할 필요가 있다.</w:t>
      </w:r>
    </w:p>
    <w:p>
      <w:pPr>
        <w:numPr>
          <w:numId w:val="3"/>
          <w:ilvl w:val="0"/>
        </w:numPr>
        <w:jc w:val="both"/>
        <w:spacing w:before="0" w:after="100"/>
        <w:rPr>
          <w:shd w:val="clear" w:color="auto" w:fill="auto"/>
          <w:rFonts w:ascii="나눔고딕" w:eastAsia="나눔고딕" w:hAnsi="나눔고딕" w:cs="나눔고딕" w:hint="eastAsia"/>
        </w:rPr>
      </w:pPr>
      <w:r>
        <w:rPr>
          <w:shd w:val="clear" w:color="auto" w:fill="auto"/>
          <w:rFonts w:ascii="나눔고딕" w:eastAsia="나눔고딕" w:hAnsi="나눔고딕" w:cs="나눔고딕"/>
        </w:rPr>
        <w:t xml:space="preserve">만약 내가 LP라면 이 펀드에 출자하겠는가? SK스페셜티처럼 아직 엑시트가 실현되지 않은 대형 딜의 </w:t>
      </w:r>
      <w:r>
        <w:rPr>
          <w:shd w:val="clear" w:color="auto" w:fill="auto"/>
          <w:rFonts w:ascii="나눔고딕" w:eastAsia="나눔고딕" w:hAnsi="나눔고딕" w:cs="나눔고딕"/>
        </w:rPr>
        <w:t xml:space="preserve">비중이 커지는 시점에서, 케이카 같은 확정된 트랙레코드와 진행형 투자 간의 밸런스를 어떻게 </w:t>
      </w:r>
      <w:r>
        <w:rPr>
          <w:shd w:val="clear" w:color="auto" w:fill="auto"/>
          <w:rFonts w:ascii="나눔고딕" w:eastAsia="나눔고딕" w:hAnsi="나눔고딕" w:cs="나눔고딕"/>
        </w:rPr>
        <w:t xml:space="preserve">평가해야 할까?</w:t>
      </w:r>
    </w:p>
    <w:sectPr>
      <w:titlePg/>
      <w15:footnoteColumns w:val="1"/>
      <w:footerReference w:type="default" r:id="rId5"/>
      <w:footerReference w:type="first" r:id="rId6"/>
      <w:pgSz w:w="12240" w:h="15840"/>
      <w:pgMar w:top="1440" w:left="1440" w:bottom="1440" w:right="1440" w:gutter="0"/>
      <w:pgNumType w:fmt="decimal" w:start="1"/>
      <w:docGrid w:type="default" w:linePitch="360" w:charSpace="0"/>
    </w:sectPr>
  </w:body>
</w:document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 w:color="auto" w:fill="auto"/>
      </w:rPr>
      <w:t>11</w:t>
    </w:r>
    <w:r>
      <w:rPr>
        <w:color w:val="auto"/>
        <w:shd w:val="clear" w:color="auto" w:fill="auto"/>
        <w:rFonts w:ascii="나눔고딕" w:eastAsia="나눔고딕" w:hAnsi="나눔고딕" w:cs="나눔고딕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 w:color="auto" w:fill="auto"/>
      </w:rPr>
      <w:t>1</w:t>
    </w:r>
    <w:r>
      <w:rPr>
        <w:color w:val="auto"/>
        <w:shd w:val="clear" w:color="auto" w:fill="auto"/>
        <w:rFonts w:ascii="나눔고딕" w:eastAsia="나눔고딕" w:hAnsi="나눔고딕" w:cs="나눔고딕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4B1CB16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hAnsi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1">
    <w:multiLevelType w:val="hybridMultilevel"/>
    <w:nsid w:val="2F000001"/>
    <w:tmpl w:val="5A8C4582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eastAsia="Wingdings" w:hAnsi="Wingdings" w:cs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2">
    <w:multiLevelType w:val="hybridMultilevel"/>
    <w:nsid w:val="2F000002"/>
    <w:tmpl w:val="5527992C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eastAsia="Wingdings" w:hAnsi="Wingdings" w:cs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3">
    <w:multiLevelType w:val="hybridMultilevel"/>
    <w:nsid w:val="2F000003"/>
    <w:tmpl w:val="40B9337A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hAnsi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4">
    <w:multiLevelType w:val="hybridMultilevel"/>
    <w:nsid w:val="2F000004"/>
    <w:tmpl w:val="24E2C0B5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eastAsia="Wingdings" w:hAnsi="Wingdings" w:cs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5">
    <w:multiLevelType w:val="hybridMultilevel"/>
    <w:nsid w:val="2F000005"/>
    <w:tmpl w:val="48D9CEEB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hAnsi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6">
    <w:multiLevelType w:val="hybridMultilevel"/>
    <w:nsid w:val="2F000006"/>
    <w:tmpl w:val="399FBBC4"/>
    <w:lvl w:ilvl="0">
      <w:lvlJc w:val="left"/>
      <w:numFmt w:val="bullet"/>
      <w:start w:val="1"/>
      <w:suff w:val="tab"/>
      <w:pPr>
        <w:ind w:left="460" w:hanging="260"/>
        <w:rPr/>
      </w:pPr>
      <w:rPr>
        <w:u w:val="none"/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820" w:hanging="260"/>
        <w:rPr/>
      </w:pPr>
      <w:rPr>
        <w:u w:val="none"/>
        <w:shd w:val="clear" w:color="auto" w:fill="auto"/>
      </w:rPr>
      <w:lvlText w:val="-"/>
    </w:lvl>
    <w:lvl w:ilvl="2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3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4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5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6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7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  <w:lvl w:ilvl="8">
      <w:lvlJc w:val="left"/>
      <w:numFmt w:val="bullet"/>
      <w:start w:val="1"/>
      <w:suff w:val="tab"/>
      <w:pPr>
        <w:ind w:left="0" w:firstLine="0"/>
        <w:rPr/>
      </w:pPr>
      <w:rPr>
        <w:u w:val="none"/>
        <w:shd w:val="clear" w:color="auto" w:fill="auto"/>
      </w:rPr>
      <w:lvlText w:val=""/>
    </w:lvl>
  </w:abstractNum>
  <w:abstractNum w:abstractNumId="7">
    <w:multiLevelType w:val="hybridMultilevel"/>
    <w:nsid w:val="2F000007"/>
    <w:tmpl w:val="4BE04E83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hAnsi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abstractNum w:abstractNumId="8">
    <w:multiLevelType w:val="hybridMultilevel"/>
    <w:nsid w:val="2F000008"/>
    <w:tmpl w:val="5942B24C"/>
    <w:lvl w:ilvl="0">
      <w:lvlJc w:val="left"/>
      <w:numFmt w:val="bullet"/>
      <w:start w:val="1"/>
      <w:suff w:val="tab"/>
      <w:pPr>
        <w:ind w:left="720" w:hanging="360"/>
        <w:rPr/>
      </w:pPr>
      <w:rPr>
        <w:u w:val="none"/>
        <w:shd w:val="clear" w:color="auto" w:fill="auto"/>
        <w:rFonts w:ascii="Wingdings" w:eastAsia="Wingdings" w:hAnsi="Wingdings" w:cs="Wingdings" w:hint="default"/>
      </w:rPr>
      <w:lvlText w:val=""/>
    </w:lvl>
    <w:lvl w:ilvl="1">
      <w:lvlJc w:val="left"/>
      <w:numFmt w:val="bullet"/>
      <w:start w:val="1"/>
      <w:suff w:val="tab"/>
      <w:pPr>
        <w:ind w:left="1440" w:hanging="360"/>
        <w:rPr/>
      </w:pPr>
      <w:rPr>
        <w:u w:val="none"/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u w:val="none"/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u w:val="none"/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u w:val="none"/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u w:val="none"/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u w:val="none"/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u w:val="none"/>
        <w:shd w:val="clear" w:color="auto" w:fill="auto"/>
      </w:rPr>
      <w:lvlText w:val="○"/>
    </w:lvl>
    <w:lvl w:ilvl="8">
      <w:lvlJc w:val="left"/>
      <w:numFmt w:val="bullet"/>
      <w:start w:val="1"/>
      <w:suff w:val="tab"/>
      <w:pPr>
        <w:ind w:left="6480" w:hanging="360"/>
        <w:rPr/>
      </w:pPr>
      <w:rPr>
        <w:u w:val="none"/>
        <w:shd w:val="clear" w:color="auto" w:fill="auto"/>
      </w:rPr>
      <w:lvlText w:val="■"/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before="280" w:after="120"/>
        <w:rPr/>
      </w:pPr>
    </w:pPrDefault>
    <w:rPrDefault>
      <w:rPr>
        <w:sz w:val="21"/>
        <w:szCs w:val="21"/>
        <w:shd w:val="clear" w:color="auto" w:fill="auto"/>
        <w:rFonts w:ascii="Arial" w:hAnsi="Arial" w:cs="Arial" w:eastAsiaTheme="minorEastAsia"/>
        <w:lang w:bidi="ar-SA" w:eastAsia="ko-KR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qFormat/>
    <w:uiPriority w:val="10"/>
    <w:pPr>
      <w:spacing w:before="0" w:after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</w:pPr>
    <w:rPr>
      <w:color w:val="000000"/>
      <w:sz w:val="56"/>
      <w:szCs w:val="56"/>
      <w:shd w:val="clear" w:color="auto" w:fill="auto"/>
      <w:rFonts w:eastAsia="Arial"/>
    </w:rPr>
  </w:style>
  <w:style w:styleId="PO7" w:type="paragraph">
    <w:name w:val="heading 1"/>
    <w:basedOn w:val="PO1"/>
    <w:next w:val="PO1"/>
    <w:qFormat/>
    <w:uiPriority w:val="9"/>
    <w:pPr>
      <w:spacing w:before="320" w:after="16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0"/>
    </w:pPr>
    <w:rPr>
      <w:b w:val="1"/>
      <w:color w:val="1B474D"/>
      <w:sz w:val="32"/>
      <w:szCs w:val="32"/>
      <w:shd w:val="clear" w:color="auto" w:fill="auto"/>
      <w:rFonts w:eastAsia="Arial"/>
    </w:rPr>
  </w:style>
  <w:style w:styleId="PO8" w:type="paragraph">
    <w:name w:val="heading 2"/>
    <w:basedOn w:val="PO1"/>
    <w:next w:val="PO1"/>
    <w:qFormat/>
    <w:uiPriority w:val="9"/>
    <w:unhideWhenUsed/>
    <w:pPr>
      <w:spacing w:before="24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1"/>
    </w:pPr>
    <w:rPr>
      <w:b w:val="1"/>
      <w:color w:val="20808D"/>
      <w:sz w:val="26"/>
      <w:szCs w:val="26"/>
      <w:shd w:val="clear" w:color="auto" w:fill="auto"/>
      <w:rFonts w:eastAsia="Arial"/>
    </w:rPr>
  </w:style>
  <w:style w:styleId="PO9" w:type="paragraph">
    <w:name w:val="heading 3"/>
    <w:basedOn w:val="PO1"/>
    <w:next w:val="PO1"/>
    <w:link w:val="PO154"/>
    <w:qFormat/>
    <w:uiPriority w:val="9"/>
    <w:unhideWhenUsed/>
    <w:pPr>
      <w:spacing w:before="200" w:after="10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2"/>
    </w:pPr>
    <w:rPr>
      <w:b w:val="1"/>
      <w:color w:val="28251D"/>
      <w:sz w:val="22"/>
      <w:szCs w:val="22"/>
      <w:shd w:val="clear" w:color="auto" w:fill="auto"/>
      <w:rFonts w:eastAsia="Arial"/>
    </w:rPr>
  </w:style>
  <w:style w:styleId="PO10" w:type="paragraph">
    <w:name w:val="heading 4"/>
    <w:basedOn w:val="PO1"/>
    <w:next w:val="PO1"/>
    <w:qFormat/>
    <w:uiPriority w:val="9"/>
    <w:semiHidden/>
    <w:unhideWhenUsed/>
    <w:pPr>
      <w:spacing w:before="0" w:after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3"/>
    </w:pPr>
    <w:rPr>
      <w:i w:val="1"/>
      <w:color w:val="2E74B5"/>
      <w:shd w:val="clear" w:color="auto" w:fill="auto"/>
      <w:rFonts w:eastAsia="Arial"/>
    </w:rPr>
  </w:style>
  <w:style w:styleId="PO11" w:type="paragraph">
    <w:name w:val="heading 5"/>
    <w:basedOn w:val="PO1"/>
    <w:next w:val="PO1"/>
    <w:qFormat/>
    <w:uiPriority w:val="9"/>
    <w:semiHidden/>
    <w:unhideWhenUsed/>
    <w:pPr>
      <w:spacing w:before="0" w:after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4"/>
    </w:pPr>
    <w:rPr>
      <w:color w:val="2E74B5"/>
      <w:shd w:val="clear" w:color="auto" w:fill="auto"/>
      <w:rFonts w:eastAsia="Arial"/>
    </w:rPr>
  </w:style>
  <w:style w:styleId="PO12" w:type="paragraph">
    <w:name w:val="heading 6"/>
    <w:basedOn w:val="PO1"/>
    <w:next w:val="PO1"/>
    <w:qFormat/>
    <w:uiPriority w:val="9"/>
    <w:semiHidden/>
    <w:unhideWhenUsed/>
    <w:pPr>
      <w:spacing w:before="0" w:after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  <w:outlineLvl w:val="5"/>
    </w:pPr>
    <w:rPr>
      <w:color w:val="1F4D78"/>
      <w:shd w:val="clear" w:color="auto" w:fill="auto"/>
      <w:rFonts w:eastAsia="Arial"/>
    </w:rPr>
  </w:style>
  <w:style w:styleId="PO16" w:type="paragraph">
    <w:name w:val="Subtitle"/>
    <w:basedOn w:val="PO1"/>
    <w:next w:val="PO1"/>
    <w:qFormat/>
    <w:uiPriority w:val="11"/>
    <w:pPr>
      <w:spacing w:before="360" w:after="80"/>
      <w:rPr/>
    </w:pPr>
    <w:rPr>
      <w:i w:val="1"/>
      <w:color w:val="666666"/>
      <w:sz w:val="48"/>
      <w:szCs w:val="48"/>
      <w:shd w:val="clear" w:color="auto" w:fill="auto"/>
      <w:rFonts w:ascii="Georgia" w:eastAsia="Georgia" w:hAnsi="Georgia" w:cs="Georgia"/>
    </w:rPr>
  </w:style>
  <w:style w:customStyle="1" w:styleId="PO151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customStyle="1" w:styleId="PO152" w:type="table">
    <w:name w:val="Standard"/>
    <w:basedOn w:val="PO151"/>
    <w:tblPr>
      <w:tblStyleColBandSize w:val="1"/>
      <w:tblStyleRowBandSize w:val="1"/>
    </w:tblPr>
  </w:style>
  <w:style w:styleId="PO153" w:type="character">
    <w:name w:val="Placeholder Text"/>
    <w:basedOn w:val="PO2"/>
    <w:uiPriority w:val="99"/>
    <w:semiHidden/>
    <w:rPr>
      <w:color w:val="666666"/>
      <w:shd w:val="clear" w:color="auto" w:fill="auto"/>
    </w:rPr>
  </w:style>
  <w:style w:customStyle="1" w:styleId="PO154" w:type="character">
    <w:name w:val="제목 3 Char"/>
    <w:basedOn w:val="PO2"/>
    <w:link w:val="PO9"/>
    <w:uiPriority w:val="9"/>
    <w:rPr>
      <w:b w:val="1"/>
      <w:color w:val="28251D"/>
      <w:sz w:val="22"/>
      <w:szCs w:val="22"/>
      <w:shd w:val="clear" w:color="auto" w:fill="auto"/>
      <w:rFonts w:eastAsia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80</Lines>
  <LinksUpToDate>false</LinksUpToDate>
  <Pages>12</Pages>
  <Paragraphs>22</Paragraphs>
  <Words>1701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duswn8252</dc:creator>
  <cp:lastModifiedBy>duswn8252</cp:lastModifiedBy>
  <dcterms:modified xsi:type="dcterms:W3CDTF">2026-07-21T17:35:00Z</dcterms:modified>
</cp:coreProperties>
</file>