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after="200"/>
        <w:rPr>
          <w:shd w:val="clear"/>
        </w:rPr>
      </w:pPr>
      <w:r>
        <w:rPr>
          <w:b w:val="1"/>
          <w:sz w:val="40"/>
          <w:szCs w:val="40"/>
          <w:shd w:val="clear"/>
          <w:rFonts w:ascii="맑은 고딕" w:eastAsia="맑은 고딕" w:hAnsi="맑은 고딕" w:cs="맑은 고딕"/>
        </w:rPr>
        <w:t xml:space="preserve">DPIC 2기 투자 강연 노트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10387" w:type="dxa"/>
        <w:tblLook w:val="000000" w:firstRow="0" w:lastRow="0" w:firstColumn="0" w:lastColumn="0" w:noHBand="0" w:noVBand="0"/>
        <w:tblLayout w:type="fixed"/>
      </w:tblPr>
      <w:tblGrid>
        <w:gridCol w:w="1616"/>
        <w:gridCol w:w="3578"/>
        <w:gridCol w:w="1616"/>
        <w:gridCol w:w="3577"/>
      </w:tblGrid>
      <w:tr>
        <w:trPr/>
        <w:tc>
          <w:tcPr>
            <w:tcW w:type="dxa" w:w="1616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강연 주제</w:t>
            </w:r>
          </w:p>
        </w:tc>
        <w:tc>
          <w:tcPr>
            <w:tcW w:type="dxa" w:w="357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rPr>
                <w:sz w:val="18"/>
                <w:szCs w:val="18"/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VC 투자철학</w:t>
            </w:r>
          </w:p>
        </w:tc>
        <w:tc>
          <w:tcPr>
            <w:tcW w:type="dxa" w:w="1616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color="000000" w:fill="F2F2F2"/>
          </w:tcPr>
          <w:p>
            <w:pPr>
              <w:rPr>
                <w:sz w:val="18"/>
                <w:szCs w:val="18"/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>연사</w:t>
            </w:r>
          </w:p>
        </w:tc>
        <w:tc>
          <w:tcPr>
            <w:tcW w:type="dxa" w:w="3577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rPr>
                <w:sz w:val="18"/>
                <w:szCs w:val="18"/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손호준 대표 (인텔리안파트너스)</w:t>
            </w:r>
          </w:p>
        </w:tc>
      </w:tr>
      <w:tr>
        <w:trPr/>
        <w:tc>
          <w:tcPr>
            <w:tcW w:type="dxa" w:w="1616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강연 일자</w:t>
            </w:r>
          </w:p>
        </w:tc>
        <w:tc>
          <w:tcPr>
            <w:tcW w:type="dxa" w:w="357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rPr>
                <w:sz w:val="18"/>
                <w:szCs w:val="18"/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2026.07.15</w:t>
            </w:r>
          </w:p>
        </w:tc>
        <w:tc>
          <w:tcPr>
            <w:tcW w:type="dxa" w:w="1616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color="000000" w:fill="F2F2F2"/>
          </w:tcPr>
          <w:p>
            <w:pPr>
              <w:rPr>
                <w:sz w:val="18"/>
                <w:szCs w:val="18"/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작성 조</w:t>
            </w:r>
          </w:p>
        </w:tc>
        <w:tc>
          <w:tcPr>
            <w:tcW w:type="dxa" w:w="3577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rPr>
                <w:sz w:val="18"/>
                <w:szCs w:val="18"/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eastAsia="맑은 고딕" w:hAnsi="맑은 고딕" w:cs="맑은 고딕"/>
              </w:rPr>
              <w:t>3조</w:t>
            </w:r>
          </w:p>
        </w:tc>
      </w:tr>
      <w:tr>
        <w:trPr/>
        <w:tc>
          <w:tcPr>
            <w:tcW w:type="dxa" w:w="1616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>조원</w:t>
            </w:r>
          </w:p>
        </w:tc>
        <w:tc>
          <w:tcPr>
            <w:tcW w:type="dxa" w:w="8771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gridSpan w:val="3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rPr>
                <w:sz w:val="18"/>
                <w:szCs w:val="18"/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김태훈, 박주은, 석연주, 조형원</w:t>
            </w:r>
          </w:p>
        </w:tc>
      </w:tr>
    </w:tbl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10348" w:type="dxa"/>
        <w:tblLook w:val="000000" w:firstRow="0" w:lastRow="0" w:firstColumn="0" w:lastColumn="0" w:noHBand="0" w:noVBand="0"/>
        <w:tblLayout w:type="fixed"/>
      </w:tblPr>
      <w:tblGrid>
        <w:gridCol w:w="10348"/>
      </w:tblGrid>
      <w:tr>
        <w:trPr/>
        <w:tc>
          <w:tcPr>
            <w:tcW w:type="dxa" w:w="10348"/>
            <w:tcMar>
              <w:left w:w="140" w:type="dxa"/>
              <w:right w:w="140" w:type="dxa"/>
              <w:top w:w="90" w:type="dxa"/>
              <w:bottom w:w="9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color="000000" w:fill="404040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1  강연 핵심</w:t>
            </w:r>
          </w:p>
        </w:tc>
      </w:tr>
      <w:tr>
        <w:trPr/>
        <w:tc>
          <w:tcPr>
            <w:tcW w:type="dxa" w:w="10348"/>
            <w:tcMar>
              <w:left w:w="120" w:type="dxa"/>
              <w:right w:w="120" w:type="dxa"/>
              <w:top w:w="100" w:type="dxa"/>
              <w:bottom w:w="10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pStyle w:val="PO26"/>
              <w:numPr>
                <w:numId w:val="1"/>
                <w:ilvl w:val="0"/>
              </w:numPr>
              <w:spacing w:after="6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벤처펀드의 성공은 소수의 상위 포트폴리오(20% 혹은 그 이하)가 전체 수익의 대부분을 차지하는 </w:t>
            </w:r>
            <w:r>
              <w:rPr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'파레토 법칙'에 의해 좌우된다.</w:t>
            </w:r>
          </w:p>
          <w:p>
            <w:pPr>
              <w:pStyle w:val="PO26"/>
              <w:numPr>
                <w:numId w:val="1"/>
                <w:ilvl w:val="0"/>
              </w:numPr>
              <w:spacing w:after="6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최고의 회사를 초기에 발굴하고, 충분히 투자하며, 기다릴 수 있는 역량이 중요하다.</w:t>
            </w:r>
          </w:p>
          <w:p>
            <w:pPr>
              <w:pStyle w:val="PO26"/>
              <w:numPr>
                <w:numId w:val="1"/>
                <w:ilvl w:val="0"/>
              </w:numPr>
              <w:spacing w:after="6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투자자의 평판과 네트워크, 그리고 실제로 창업자에게 밸류애드를 제공할 수 있는 능력이 장기적으로 </w:t>
            </w:r>
            <w:r>
              <w:rPr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성공을 좌우한다.</w:t>
            </w:r>
          </w:p>
          <w:p>
            <w:pPr>
              <w:pStyle w:val="PO26"/>
              <w:numPr>
                <w:numId w:val="1"/>
                <w:ilvl w:val="0"/>
              </w:numPr>
              <w:spacing w:after="6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글로벌 시장과 트렌드에 대한 꾸준한 학습과 정보 수집이 필수적이다.</w:t>
            </w:r>
          </w:p>
        </w:tc>
      </w:tr>
    </w:tbl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10348" w:type="dxa"/>
        <w:tblLook w:val="000000" w:firstRow="0" w:lastRow="0" w:firstColumn="0" w:lastColumn="0" w:noHBand="0" w:noVBand="0"/>
        <w:tblLayout w:type="fixed"/>
      </w:tblPr>
      <w:tblGrid>
        <w:gridCol w:w="10348"/>
      </w:tblGrid>
      <w:tr>
        <w:trPr/>
        <w:tc>
          <w:tcPr>
            <w:tcW w:type="dxa" w:w="10348"/>
            <w:tcMar>
              <w:left w:w="140" w:type="dxa"/>
              <w:right w:w="140" w:type="dxa"/>
              <w:top w:w="90" w:type="dxa"/>
              <w:bottom w:w="9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color="000000" w:fill="404040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2  투자자 관점 인사이트</w:t>
            </w:r>
          </w:p>
        </w:tc>
      </w:tr>
      <w:tr>
        <w:trPr/>
        <w:tc>
          <w:tcPr>
            <w:tcW w:type="dxa" w:w="10348"/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</w:tcPr>
          <w:tbl>
            <w:tblID w:val="0"/>
            <w:tblPr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top w:w="0" w:type="dxa"/>
                <w:right w:w="0" w:type="dxa"/>
                <w:bottom w:w="0" w:type="dxa"/>
              </w:tblCellMar>
              <w:tblW w:w="10348" w:type="dxa"/>
              <w:tblLook w:val="000000" w:firstRow="0" w:lastRow="0" w:firstColumn="0" w:lastColumn="0" w:noHBand="0" w:noVBand="0"/>
              <w:tblLayout w:type="fixed"/>
            </w:tblPr>
            <w:tblGrid>
              <w:gridCol w:w="3200"/>
              <w:gridCol w:w="7148"/>
            </w:tblGrid>
            <w:tr>
              <w:trPr/>
              <w:tc>
                <w:tcPr>
                  <w:tcW w:type="dxa" w:w="3200"/>
                  <w:tcMar>
                    <w:left w:w="100" w:type="dxa"/>
                    <w:right w:w="100" w:type="dxa"/>
                    <w:top w:w="60" w:type="dxa"/>
                    <w:bottom w:w="60" w:type="dxa"/>
                  </w:tcMar>
                  <w:vAlign w:val="top"/>
                  <w:tcBorders>
                    <w:bottom w:val="single" w:color="BFBFBF" w:sz="4"/>
                    <w:left w:val="single" w:color="BFBFBF" w:sz="4"/>
                    <w:right w:val="single" w:color="BFBFBF" w:sz="4"/>
                    <w:top w:val="single" w:color="BFBFBF" w:sz="4"/>
                  </w:tcBorders>
                  <w:shd w:val="clear" w:color="000000" w:fill="F2F2F2"/>
                </w:tcPr>
                <w:p>
                  <w:pPr>
                    <w:rPr>
                      <w:shd w:val="clear"/>
                    </w:rPr>
                  </w:pPr>
                  <w:r>
                    <w:rPr>
                      <w:b w:val="1"/>
                      <w:sz w:val="18"/>
                      <w:szCs w:val="18"/>
                      <w:shd w:val="clear"/>
                      <w:rFonts w:ascii="맑은 고딕" w:eastAsia="맑은 고딕" w:hAnsi="맑은 고딕" w:cs="맑은 고딕"/>
                    </w:rPr>
                    <w:t xml:space="preserve">핵심 키워드 / 개념</w:t>
                  </w:r>
                </w:p>
              </w:tc>
              <w:tc>
                <w:tcPr>
                  <w:tcW w:type="dxa" w:w="7148"/>
                  <w:tcMar>
                    <w:left w:w="100" w:type="dxa"/>
                    <w:right w:w="100" w:type="dxa"/>
                    <w:top w:w="60" w:type="dxa"/>
                    <w:bottom w:w="60" w:type="dxa"/>
                  </w:tcMar>
                  <w:vAlign w:val="top"/>
                  <w:tcBorders>
                    <w:bottom w:val="single" w:color="BFBFBF" w:sz="4"/>
                    <w:left w:val="single" w:color="BFBFBF" w:sz="4"/>
                    <w:right w:val="single" w:color="BFBFBF" w:sz="4"/>
                    <w:top w:val="single" w:color="BFBFBF" w:sz="4"/>
                  </w:tcBorders>
                  <w:shd w:val="clear" w:color="000000" w:fill="F2F2F2"/>
                </w:tcPr>
                <w:p>
                  <w:pPr>
                    <w:rPr>
                      <w:shd w:val="clear"/>
                    </w:rPr>
                  </w:pPr>
                  <w:r>
                    <w:rPr>
                      <w:b w:val="1"/>
                      <w:sz w:val="18"/>
                      <w:szCs w:val="18"/>
                      <w:shd w:val="clear"/>
                      <w:rFonts w:ascii="맑은 고딕" w:eastAsia="맑은 고딕" w:hAnsi="맑은 고딕" w:cs="맑은 고딕"/>
                    </w:rPr>
                    <w:t xml:space="preserve">왜 중요한가 (팀 해석)</w:t>
                  </w:r>
                </w:p>
              </w:tc>
            </w:tr>
            <w:tr>
              <w:trPr/>
              <w:tc>
                <w:tcPr>
                  <w:tcW w:type="dxa" w:w="3200"/>
                  <w:tcMar>
                    <w:left w:w="100" w:type="dxa"/>
                    <w:right w:w="100" w:type="dxa"/>
                    <w:top w:w="80" w:type="dxa"/>
                    <w:bottom w:w="80" w:type="dxa"/>
                  </w:tcMar>
                  <w:vAlign w:val="top"/>
                  <w:tcBorders>
                    <w:bottom w:val="single" w:color="BFBFBF" w:sz="4"/>
                    <w:left w:val="single" w:color="BFBFBF" w:sz="4"/>
                    <w:right w:val="single" w:color="BFBFBF" w:sz="4"/>
                    <w:top w:val="single" w:color="BFBFBF" w:sz="4"/>
                  </w:tcBorders>
                </w:tcPr>
                <w:p>
                  <w:pPr>
                    <w:rPr>
                      <w:sz w:val="22"/>
                      <w:szCs w:val="22"/>
                      <w:shd w:val="clear"/>
                    </w:rPr>
                  </w:pPr>
                  <w:r>
                    <w:rPr>
                      <w:sz w:val="18"/>
                      <w:szCs w:val="18"/>
                      <w:shd w:val="clear"/>
                      <w:rFonts w:ascii="맑은 고딕" w:eastAsia="맑은 고딕" w:hAnsi="맑은 고딕" w:cs="맑은 고딕"/>
                    </w:rPr>
                    <w:t xml:space="preserve">파레토 법칙(2:8 법칙)</w:t>
                  </w:r>
                </w:p>
              </w:tc>
              <w:tc>
                <w:tcPr>
                  <w:tcW w:type="dxa" w:w="7148"/>
                  <w:tcMar>
                    <w:left w:w="100" w:type="dxa"/>
                    <w:right w:w="100" w:type="dxa"/>
                    <w:top w:w="80" w:type="dxa"/>
                    <w:bottom w:w="80" w:type="dxa"/>
                  </w:tcMar>
                  <w:vAlign w:val="top"/>
                  <w:tcBorders>
                    <w:bottom w:val="single" w:color="BFBFBF" w:sz="4"/>
                    <w:left w:val="single" w:color="BFBFBF" w:sz="4"/>
                    <w:right w:val="single" w:color="BFBFBF" w:sz="4"/>
                    <w:top w:val="single" w:color="BFBFBF" w:sz="4"/>
                  </w:tcBorders>
                </w:tcPr>
                <w:p>
                  <w:pPr>
                    <w:rPr>
                      <w:sz w:val="22"/>
                      <w:szCs w:val="22"/>
                      <w:shd w:val="clear"/>
                    </w:rPr>
                  </w:pPr>
                  <w:r>
                    <w:rPr>
                      <w:sz w:val="18"/>
                      <w:szCs w:val="18"/>
                      <w:shd w:val="clear"/>
                      <w:rFonts w:ascii="맑은 고딕" w:eastAsia="맑은 고딕" w:hAnsi="맑은 고딕" w:cs="맑은 고딕"/>
                    </w:rPr>
                    <w:t xml:space="preserve">소수의 투자(상위 20%)가 전체 수익의 80%를 만든다. 성공적인 펀드 운용의 핵심 </w:t>
                  </w:r>
                  <w:r>
                    <w:rPr>
                      <w:sz w:val="18"/>
                      <w:szCs w:val="18"/>
                      <w:shd w:val="clear"/>
                      <w:rFonts w:ascii="맑은 고딕" w:eastAsia="맑은 고딕" w:hAnsi="맑은 고딕" w:cs="맑은 고딕"/>
                    </w:rPr>
                    <w:t>구조임.</w:t>
                  </w:r>
                </w:p>
              </w:tc>
            </w:tr>
            <w:tr>
              <w:trPr/>
              <w:tc>
                <w:tcPr>
                  <w:tcW w:type="dxa" w:w="3200"/>
                  <w:tcMar>
                    <w:left w:w="100" w:type="dxa"/>
                    <w:right w:w="100" w:type="dxa"/>
                  </w:tcMar>
                  <w:vAlign w:val="top"/>
                  <w:tcBorders>
                    <w:bottom w:val="single" w:color="BFBFBF" w:sz="4"/>
                    <w:left w:val="single" w:color="BFBFBF" w:sz="4"/>
                    <w:right w:val="single" w:color="BFBFBF" w:sz="4"/>
                    <w:top w:val="single" w:color="BFBFBF" w:sz="4"/>
                  </w:tcBorders>
                </w:tcPr>
                <w:p>
                  <w:pPr>
                    <w:rPr>
                      <w:color w:val="auto"/>
                      <w:sz w:val="18"/>
                      <w:szCs w:val="18"/>
                      <w:shd w:val="clear"/>
                      <w:rFonts w:ascii="맑은 고딕" w:eastAsia="맑은 고딕" w:hAnsi="맑은 고딕" w:cs="맑은 고딕"/>
                    </w:rPr>
                  </w:pPr>
                  <w:r>
                    <w:rPr>
                      <w:spacing w:val="0"/>
                      <w:i w:val="0"/>
                      <w:b w:val="0"/>
                      <w:color w:val="auto"/>
                      <w:sz w:val="18"/>
                      <w:szCs w:val="18"/>
                      <w:shd w:val="clear"/>
                      <w:rFonts w:ascii="Helvetica Neue" w:eastAsia="Pretendard Variable" w:hAnsi="Helvetica Neue" w:cs="Pretendard Variable"/>
                    </w:rPr>
                    <w:t>IRR(내부수익률)</w:t>
                  </w:r>
                </w:p>
              </w:tc>
              <w:tc>
                <w:tcPr>
                  <w:tcW w:type="dxa" w:w="7148"/>
                  <w:tcMar>
                    <w:left w:w="100" w:type="dxa"/>
                    <w:right w:w="100" w:type="dxa"/>
                  </w:tcMar>
                  <w:vAlign w:val="top"/>
                  <w:tcBorders>
                    <w:bottom w:val="single" w:color="BFBFBF" w:sz="4"/>
                    <w:left w:val="single" w:color="BFBFBF" w:sz="4"/>
                    <w:right w:val="single" w:color="BFBFBF" w:sz="4"/>
                    <w:top w:val="single" w:color="BFBFBF" w:sz="4"/>
                  </w:tcBorders>
                </w:tcPr>
                <w:p>
                  <w:pPr>
                    <w:rPr>
                      <w:sz w:val="18"/>
                      <w:szCs w:val="18"/>
                      <w:shd w:val="clear"/>
                      <w:rFonts w:ascii="맑은 고딕" w:eastAsia="맑은 고딕" w:hAnsi="맑은 고딕" w:cs="맑은 고딕"/>
                    </w:rPr>
                  </w:pPr>
                  <w:r>
                    <w:rPr>
                      <w:sz w:val="18"/>
                      <w:szCs w:val="18"/>
                      <w:shd w:val="clear"/>
                    </w:rPr>
                    <w:t xml:space="preserve">투자 성과를 평가하는 대표적인 지표로, VC 펀드의 성공(25% 이상 IRR 달성)은 소수의 </w:t>
                  </w:r>
                  <w:r>
                    <w:rPr>
                      <w:sz w:val="18"/>
                      <w:szCs w:val="18"/>
                      <w:shd w:val="clear"/>
                    </w:rPr>
                    <w:t xml:space="preserve">상위 포트폴리오에 대한 초기, 집중, 추가 투자가 핵심임</w:t>
                  </w:r>
                </w:p>
              </w:tc>
            </w:tr>
            <w:tr>
              <w:trPr/>
              <w:tc>
                <w:tcPr>
                  <w:tcW w:type="dxa" w:w="3200"/>
                  <w:tcMar>
                    <w:left w:w="100" w:type="dxa"/>
                    <w:right w:w="100" w:type="dxa"/>
                    <w:top w:w="80" w:type="dxa"/>
                    <w:bottom w:w="80" w:type="dxa"/>
                  </w:tcMar>
                  <w:vAlign w:val="top"/>
                  <w:tcBorders>
                    <w:bottom w:val="single" w:color="BFBFBF" w:sz="4"/>
                    <w:left w:val="single" w:color="BFBFBF" w:sz="4"/>
                    <w:right w:val="single" w:color="BFBFBF" w:sz="4"/>
                    <w:top w:val="single" w:color="BFBFBF" w:sz="4"/>
                  </w:tcBorders>
                </w:tcPr>
                <w:p>
                  <w:pPr>
                    <w:rPr>
                      <w:shd w:val="clear"/>
                    </w:rPr>
                  </w:pPr>
                  <w:r>
                    <w:rPr>
                      <w:sz w:val="18"/>
                      <w:szCs w:val="18"/>
                      <w:shd w:val="clear"/>
                      <w:rFonts w:ascii="맑은 고딕" w:eastAsia="맑은 고딕" w:hAnsi="맑은 고딕" w:cs="맑은 고딕"/>
                    </w:rPr>
                    <w:t xml:space="preserve">네트워크와 평판</w:t>
                  </w:r>
                </w:p>
              </w:tc>
              <w:tc>
                <w:tcPr>
                  <w:tcW w:type="dxa" w:w="7148"/>
                  <w:tcMar>
                    <w:left w:w="100" w:type="dxa"/>
                    <w:right w:w="100" w:type="dxa"/>
                    <w:top w:w="80" w:type="dxa"/>
                    <w:bottom w:w="80" w:type="dxa"/>
                  </w:tcMar>
                  <w:vAlign w:val="top"/>
                  <w:tcBorders>
                    <w:bottom w:val="single" w:color="BFBFBF" w:sz="4"/>
                    <w:left w:val="single" w:color="BFBFBF" w:sz="4"/>
                    <w:right w:val="single" w:color="BFBFBF" w:sz="4"/>
                    <w:top w:val="single" w:color="BFBFBF" w:sz="4"/>
                  </w:tcBorders>
                </w:tcPr>
                <w:p>
                  <w:pPr>
                    <w:rPr>
                      <w:shd w:val="clear"/>
                    </w:rPr>
                  </w:pPr>
                  <w:r>
                    <w:rPr>
                      <w:sz w:val="18"/>
                      <w:szCs w:val="18"/>
                      <w:shd w:val="clear"/>
                      <w:rFonts w:ascii="맑은 고딕" w:eastAsia="맑은 고딕" w:hAnsi="맑은 고딕" w:cs="맑은 고딕"/>
                    </w:rPr>
                    <w:t xml:space="preserve">창업자와의 신뢰 형성, 좋은 딜 소싱 및 밸류애드의 기반이 됨.</w:t>
                  </w:r>
                </w:p>
              </w:tc>
            </w:tr>
            <w:tr>
              <w:trPr/>
              <w:tc>
                <w:tcPr>
                  <w:tcW w:type="dxa" w:w="3200"/>
                  <w:tcMar>
                    <w:left w:w="100" w:type="dxa"/>
                    <w:right w:w="100" w:type="dxa"/>
                    <w:top w:w="80" w:type="dxa"/>
                    <w:bottom w:w="80" w:type="dxa"/>
                  </w:tcMar>
                  <w:vAlign w:val="top"/>
                  <w:tcBorders>
                    <w:bottom w:val="single" w:color="BFBFBF" w:sz="4"/>
                    <w:left w:val="single" w:color="BFBFBF" w:sz="4"/>
                    <w:right w:val="single" w:color="BFBFBF" w:sz="4"/>
                    <w:top w:val="single" w:color="BFBFBF" w:sz="4"/>
                  </w:tcBorders>
                </w:tcPr>
                <w:p>
                  <w:pPr>
                    <w:rPr>
                      <w:shd w:val="clear"/>
                    </w:rPr>
                  </w:pPr>
                  <w:r>
                    <w:rPr>
                      <w:sz w:val="18"/>
                      <w:szCs w:val="18"/>
                      <w:shd w:val="clear"/>
                      <w:rFonts w:ascii="맑은 고딕" w:eastAsia="맑은 고딕" w:hAnsi="맑은 고딕" w:cs="맑은 고딕"/>
                    </w:rPr>
                    <w:t xml:space="preserve">밸류애드(Value Add)</w:t>
                  </w:r>
                </w:p>
              </w:tc>
              <w:tc>
                <w:tcPr>
                  <w:tcW w:type="dxa" w:w="7148"/>
                  <w:tcMar>
                    <w:left w:w="100" w:type="dxa"/>
                    <w:right w:w="100" w:type="dxa"/>
                    <w:top w:w="80" w:type="dxa"/>
                    <w:bottom w:w="80" w:type="dxa"/>
                  </w:tcMar>
                  <w:vAlign w:val="top"/>
                  <w:tcBorders>
                    <w:bottom w:val="single" w:color="BFBFBF" w:sz="4"/>
                    <w:left w:val="single" w:color="BFBFBF" w:sz="4"/>
                    <w:right w:val="single" w:color="BFBFBF" w:sz="4"/>
                    <w:top w:val="single" w:color="BFBFBF" w:sz="4"/>
                  </w:tcBorders>
                </w:tcPr>
                <w:p>
                  <w:pPr>
                    <w:rPr>
                      <w:shd w:val="clear"/>
                    </w:rPr>
                  </w:pPr>
                  <w:r>
                    <w:rPr>
                      <w:sz w:val="18"/>
                      <w:szCs w:val="18"/>
                      <w:shd w:val="clear"/>
                      <w:rFonts w:ascii="맑은 고딕" w:eastAsia="맑은 고딕" w:hAnsi="맑은 고딕" w:cs="맑은 고딕"/>
                    </w:rPr>
                    <w:t xml:space="preserve">단순 자금 제공이 아닌, 실질적 도움을 주는 투자자가 되어야 함.</w:t>
                  </w:r>
                </w:p>
              </w:tc>
            </w:tr>
          </w:tbl>
          <w:p/>
        </w:tc>
      </w:tr>
    </w:tbl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10348" w:type="dxa"/>
        <w:tblLook w:val="000000" w:firstRow="0" w:lastRow="0" w:firstColumn="0" w:lastColumn="0" w:noHBand="0" w:noVBand="0"/>
        <w:tblLayout w:type="fixed"/>
      </w:tblPr>
      <w:tblGrid>
        <w:gridCol w:w="10348"/>
      </w:tblGrid>
      <w:tr>
        <w:trPr/>
        <w:tc>
          <w:tcPr>
            <w:tcW w:type="dxa" w:w="10348"/>
            <w:tcMar>
              <w:left w:w="140" w:type="dxa"/>
              <w:right w:w="140" w:type="dxa"/>
              <w:top w:w="90" w:type="dxa"/>
              <w:bottom w:w="9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color="000000" w:fill="404040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3  팀 토론 &amp; 논의 내용</w:t>
            </w:r>
          </w:p>
        </w:tc>
      </w:tr>
      <w:tr>
        <w:trPr/>
        <w:tc>
          <w:tcPr>
            <w:tcW w:type="dxa" w:w="10348"/>
            <w:tcMar>
              <w:left w:w="120" w:type="dxa"/>
              <w:right w:w="120" w:type="dxa"/>
              <w:top w:w="100" w:type="dxa"/>
              <w:bottom w:w="10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손호준 대표님은</w:t>
            </w:r>
            <w:r>
              <w:rPr>
                <w:shd w:val="clear"/>
              </w:rPr>
              <w:t xml:space="preserve"> 수익률 자체는</w:t>
            </w:r>
            <w:r>
              <w:rPr>
                <w:shd w:val="clear"/>
              </w:rPr>
              <w:t xml:space="preserve"> 성공적이었지만</w:t>
            </w:r>
            <w:r>
              <w:rPr>
                <w:shd w:val="clear"/>
              </w:rPr>
              <w:t xml:space="preserve"> 펀드 만기가 도래해 원하는 시점보다 일찍 매각할 수밖에 </w:t>
            </w:r>
            <w:r>
              <w:rPr>
                <w:shd w:val="clear"/>
              </w:rPr>
              <w:t xml:space="preserve">없었던 사례를 </w:t>
            </w:r>
            <w:r>
              <w:rPr>
                <w:shd w:val="clear"/>
              </w:rPr>
              <w:t xml:space="preserve">실패한 투자</w:t>
            </w:r>
            <w:r>
              <w:rPr>
                <w:shd w:val="clear"/>
              </w:rPr>
              <w:t xml:space="preserve">로 꼽았다. 우리 조는 이 사례를 바탕으로 '펀드 만기라는 제약이 오히려 더 큰 </w:t>
            </w:r>
            <w:r>
              <w:rPr>
                <w:shd w:val="clear"/>
              </w:rPr>
              <w:t xml:space="preserve">수익을 놓치게 만드는가?'라는 주제로 논의했다. 한쪽에서는 펀드 만기가 있기 때문에 LP(출자자)에게 정해진 </w:t>
            </w:r>
            <w:r>
              <w:rPr>
                <w:shd w:val="clear"/>
              </w:rPr>
              <w:t xml:space="preserve">기간 내 자금을 회수•분배할 수 있고, 투자자로서의 책임을 지킬 수 있다는 점에서 만기 구조가 오히려 규율로 </w:t>
            </w:r>
            <w:r>
              <w:rPr>
                <w:shd w:val="clear"/>
              </w:rPr>
              <w:t xml:space="preserve">작용한다는 의견이 나왔다. 반면, 최고의 회사일수록 성장이 무르익는 시점과 펀드 만기가 우연히 어긋날 수 </w:t>
            </w:r>
            <w:r>
              <w:rPr>
                <w:shd w:val="clear"/>
              </w:rPr>
              <w:t xml:space="preserve">있고, 이 경우 만기 때문에 최선이 아닌 시점에 파는 것은 결국 '기다림의 미학'을 살리지 못하는 구조적 </w:t>
            </w:r>
            <w:r>
              <w:rPr>
                <w:shd w:val="clear"/>
              </w:rPr>
              <w:t xml:space="preserve">한계라는 반론도 있었다. 결론적으로 우리 조는, 펀드 만기 자체를 없앨 수는 없지만 후속 펀드에서 팔로우온 </w:t>
            </w:r>
            <w:r>
              <w:rPr>
                <w:shd w:val="clear"/>
              </w:rPr>
              <w:t xml:space="preserve">투자나 세컨더리 매각(지분 이전) 등을 통해 좋은 딜을 계속 보유할 수 있는 장치를 마련하는 것이 실무적으로 </w:t>
            </w:r>
            <w:r>
              <w:rPr>
                <w:shd w:val="clear"/>
              </w:rPr>
              <w:t xml:space="preserve">중요하다는 데 의견을 모았다.</w:t>
            </w:r>
          </w:p>
        </w:tc>
      </w:tr>
    </w:tbl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10348" w:type="dxa"/>
        <w:tblLook w:val="000000" w:firstRow="0" w:lastRow="0" w:firstColumn="0" w:lastColumn="0" w:noHBand="0" w:noVBand="0"/>
        <w:tblLayout w:type="fixed"/>
      </w:tblPr>
      <w:tblGrid>
        <w:gridCol w:w="10348"/>
      </w:tblGrid>
      <w:tr>
        <w:trPr/>
        <w:tc>
          <w:tcPr>
            <w:tcW w:type="dxa" w:w="10348"/>
            <w:tcMar>
              <w:left w:w="140" w:type="dxa"/>
              <w:right w:w="140" w:type="dxa"/>
              <w:top w:w="90" w:type="dxa"/>
              <w:bottom w:w="9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color="000000" w:fill="404040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4  강의 세부 내용</w:t>
            </w:r>
          </w:p>
        </w:tc>
      </w:tr>
      <w:tr>
        <w:trPr/>
        <w:tc>
          <w:tcPr>
            <w:tcW w:type="dxa" w:w="10348"/>
            <w:tcMar>
              <w:left w:w="120" w:type="dxa"/>
              <w:right w:w="120" w:type="dxa"/>
              <w:top w:w="100" w:type="dxa"/>
              <w:bottom w:w="100" w:type="dxa"/>
            </w:tcMar>
            <w:vAlign w:val="top"/>
            <w:tcBorders>
              <w:bottom w:val="single" w:color="BFBFBF" w:sz="4"/>
              <w:left w:val="single" w:color="BFBFBF" w:sz="4"/>
              <w:right w:val="single" w:color="BFBFBF" w:sz="4"/>
              <w:top w:val="single" w:color="BFBFBF" w:sz="4"/>
            </w:tcBorders>
          </w:tcPr>
          <w:p>
            <w:pPr>
              <w:spacing w:before="160" w:after="60"/>
              <w:rPr>
                <w:color w:val="auto"/>
                <w:shd w:val="clear"/>
              </w:rPr>
            </w:pPr>
            <w:r>
              <w:rPr>
                <w:b w:val="1"/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전체 요약</w:t>
            </w:r>
          </w:p>
          <w:p>
            <w:pPr>
              <w:pStyle w:val="PO26"/>
              <w:numPr>
                <w:numId w:val="1"/>
                <w:ilvl w:val="0"/>
              </w:numPr>
              <w:spacing w:after="60"/>
              <w:rPr>
                <w:color w:val="auto"/>
                <w:shd w:val="clear"/>
              </w:rPr>
            </w:pP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연사는 14년간 벤처펀드 운용 경험을 바탕으로, 상위 20% 포트폴리오가 전체 수익의 80%를 차지하는 </w:t>
            </w: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파레토 법칙의 중요성을 강조함.</w:t>
            </w:r>
          </w:p>
          <w:p>
            <w:pPr>
              <w:pStyle w:val="PO26"/>
              <w:numPr>
                <w:numId w:val="1"/>
                <w:ilvl w:val="0"/>
              </w:numPr>
              <w:spacing w:after="60"/>
              <w:rPr>
                <w:color w:val="auto"/>
                <w:shd w:val="clear"/>
              </w:rPr>
            </w:pP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최고의 회사를 초기에 발굴하기 위해서는 산업 트렌드, 글로벌 시장, 밸류체인 분석 등 꾸준한 정보 </w:t>
            </w: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수집과 학습이 필요하다고 설명.</w:t>
            </w:r>
          </w:p>
          <w:p>
            <w:pPr>
              <w:pStyle w:val="PO26"/>
              <w:numPr>
                <w:numId w:val="1"/>
                <w:ilvl w:val="0"/>
              </w:numPr>
              <w:spacing w:after="60"/>
              <w:rPr>
                <w:color w:val="auto"/>
                <w:shd w:val="clear"/>
              </w:rPr>
            </w:pP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투자자는 단순히 자금을 제공하는 역할을 넘어, 창업자에게 실질적인 도움(Value Add)을 제공해야 하며, </w:t>
            </w: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이를 위해 네트워크와 평판 관리가 필수적임을 사례와 함께 언급.</w:t>
            </w:r>
          </w:p>
          <w:p>
            <w:pPr>
              <w:pStyle w:val="PO26"/>
              <w:numPr>
                <w:numId w:val="1"/>
                <w:ilvl w:val="0"/>
              </w:numPr>
              <w:spacing w:after="60"/>
              <w:rPr>
                <w:color w:val="auto"/>
                <w:shd w:val="clear"/>
              </w:rPr>
            </w:pP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성공적인 투자 사례(배달의민족, 옐로모바일 등)와 아쉬운 엑시트 경험을 통해, 기다림과 적절한 매각 </w:t>
            </w: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타이밍의 중요성을 설명.</w:t>
            </w:r>
          </w:p>
          <w:p>
            <w:pPr>
              <w:pStyle w:val="PO26"/>
              <w:numPr>
                <w:numId w:val="1"/>
                <w:ilvl w:val="0"/>
              </w:numPr>
              <w:spacing w:after="60"/>
              <w:rPr>
                <w:color w:val="auto"/>
                <w:shd w:val="clear"/>
              </w:rPr>
            </w:pP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최근 AI, 방산, 뷰티, 패션, 반도체 등 한국에서 글로벌 유니콘이 나올 수 있는 산업군과 그 성장 </w:t>
            </w: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배경(글로벌 인프라, 우수 인적자원, 코리아 브랜드, 유동성 확대 등)에 대해 구체적으로 분석함.</w:t>
            </w:r>
          </w:p>
          <w:p>
            <w:pPr>
              <w:pStyle w:val="PO26"/>
              <w:numPr>
                <w:numId w:val="1"/>
                <w:ilvl w:val="0"/>
              </w:numPr>
              <w:spacing w:after="60"/>
              <w:rPr>
                <w:color w:val="auto"/>
                <w:shd w:val="clear"/>
              </w:rPr>
            </w:pP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마지막으로, 투자자는 매일 루틴처럼 시장과 산업을 공부하고, 글로벌 네트워크를 확장하며, 평판을 </w:t>
            </w: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쌓아야 한다고 조언함.</w:t>
            </w:r>
          </w:p>
          <w:p>
            <w:pPr>
              <w:spacing w:before="160" w:after="60"/>
              <w:rPr>
                <w:color w:val="auto"/>
                <w:shd w:val="clear"/>
              </w:rPr>
            </w:pPr>
            <w:r>
              <w:rPr>
                <w:b w:val="1"/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VC 펀드의 수익 구조</w:t>
            </w:r>
          </w:p>
          <w:p>
            <w:pPr>
              <w:pStyle w:val="PO26"/>
              <w:numPr>
                <w:numId w:val="1"/>
                <w:ilvl w:val="0"/>
              </w:numPr>
              <w:spacing w:after="60"/>
              <w:rPr>
                <w:color w:val="auto"/>
                <w:shd w:val="clear"/>
              </w:rPr>
            </w:pP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25% 이상의 IRR(내부수익률)을 낸 VC들은 상위 20%, 4%, 0.8% 회사에 투자하느냐, 그리고 얼마나 </w:t>
            </w: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투자하느냐가 매우 중요함.</w:t>
            </w:r>
          </w:p>
          <w:p>
            <w:pPr>
              <w:pStyle w:val="PO26"/>
              <w:numPr>
                <w:numId w:val="1"/>
                <w:ilvl w:val="0"/>
              </w:numPr>
              <w:spacing w:after="60"/>
              <w:rPr>
                <w:color w:val="auto"/>
                <w:shd w:val="clear"/>
              </w:rPr>
            </w:pP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VC는 펀드에서 관리보수 2%, 성과보수(캐리) 20%를 얻는 구조.</w:t>
            </w:r>
          </w:p>
          <w:p>
            <w:pPr>
              <w:spacing w:before="160" w:after="60"/>
              <w:rPr>
                <w:color w:val="auto"/>
                <w:shd w:val="clear"/>
              </w:rPr>
            </w:pPr>
            <w:r>
              <w:rPr>
                <w:b w:val="1"/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최고의 딜을 발굴·클로징하는 4단계 프로세스</w:t>
            </w:r>
          </w:p>
          <w:p>
            <w:pPr>
              <w:pStyle w:val="PO26"/>
              <w:numPr>
                <w:numId w:val="1"/>
                <w:ilvl w:val="0"/>
              </w:numPr>
              <w:spacing w:after="60"/>
              <w:rPr>
                <w:color w:val="auto"/>
                <w:shd w:val="clear"/>
              </w:rPr>
            </w:pP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① 최고의 회사를 초기에 발굴해낼 수 있는지 — 최고의 회사가 어디서 나올지 보는 시장 프레임워크, </w:t>
            </w: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그리고 꾸준한 정보 수집(Information Gathering) 루틴이 있어야 함.</w:t>
            </w:r>
          </w:p>
          <w:p>
            <w:pPr>
              <w:pStyle w:val="PO26"/>
              <w:numPr>
                <w:numId w:val="1"/>
                <w:ilvl w:val="0"/>
              </w:numPr>
              <w:spacing w:after="60"/>
              <w:rPr>
                <w:color w:val="auto"/>
                <w:shd w:val="clear"/>
              </w:rPr>
            </w:pP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② 프레임워크 안에서 회사가 레이더에 포착되었을 때 파운더와 연결(네트워크 + 레퓨테이션) — 기대 </w:t>
            </w: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이상으로 움직여야 함.</w:t>
            </w:r>
          </w:p>
          <w:p>
            <w:pPr>
              <w:pStyle w:val="PO26"/>
              <w:numPr>
                <w:numId w:val="1"/>
                <w:ilvl w:val="0"/>
              </w:numPr>
              <w:spacing w:after="60"/>
              <w:rPr>
                <w:color w:val="auto"/>
                <w:shd w:val="clear"/>
              </w:rPr>
            </w:pP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③ 파운더를 만났을 때 밸류애드(Value Add)로 설득.</w:t>
            </w:r>
          </w:p>
          <w:p>
            <w:pPr>
              <w:pStyle w:val="PO26"/>
              <w:numPr>
                <w:numId w:val="1"/>
                <w:ilvl w:val="0"/>
              </w:numPr>
              <w:spacing w:after="60"/>
              <w:rPr>
                <w:color w:val="auto"/>
                <w:shd w:val="clear"/>
              </w:rPr>
            </w:pP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④ VC 회사 내부에서 해당 회사에 대한 투자를 설득.</w:t>
            </w:r>
          </w:p>
          <w:p>
            <w:pPr>
              <w:spacing w:before="160" w:after="60"/>
              <w:rPr>
                <w:color w:val="auto"/>
                <w:shd w:val="clear"/>
              </w:rPr>
            </w:pPr>
            <w:r>
              <w:rPr>
                <w:b w:val="1"/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투자 규모와 의사결정</w:t>
            </w:r>
          </w:p>
          <w:p>
            <w:pPr>
              <w:pStyle w:val="PO26"/>
              <w:numPr>
                <w:numId w:val="1"/>
                <w:ilvl w:val="0"/>
              </w:numPr>
              <w:spacing w:after="60"/>
              <w:rPr>
                <w:color w:val="auto"/>
                <w:shd w:val="clear"/>
              </w:rPr>
            </w:pP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그런 회사에 얼마나 많이 투자할 수 있는지는 1) 펀드 사이즈(Fund size), 2) 티켓 사이즈(Ticket Size), 3) </w:t>
            </w: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듀레이션(펀드 만기, 매각 여부)에 달려 있음.</w:t>
            </w:r>
          </w:p>
          <w:p>
            <w:pPr>
              <w:pStyle w:val="PO26"/>
              <w:numPr>
                <w:numId w:val="1"/>
                <w:ilvl w:val="0"/>
              </w:numPr>
              <w:spacing w:after="60"/>
              <w:rPr>
                <w:color w:val="auto"/>
                <w:shd w:val="clear"/>
              </w:rPr>
            </w:pP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모든 의사결정자들은 논리적으로 고민하지만 결국 감정적으로 결정한다 — '내가 좋냐 안 좋냐'에 달려 </w:t>
            </w: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있을 수도 있음.</w:t>
            </w:r>
          </w:p>
          <w:p>
            <w:pPr>
              <w:spacing w:before="160" w:after="60"/>
              <w:rPr>
                <w:color w:val="auto"/>
                <w:shd w:val="clear"/>
              </w:rPr>
            </w:pPr>
            <w:r>
              <w:rPr>
                <w:b w:val="1"/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한국 유니콘 성장 요인과 자산 쏠림</w:t>
            </w:r>
          </w:p>
          <w:p>
            <w:pPr>
              <w:pStyle w:val="PO26"/>
              <w:numPr>
                <w:numId w:val="1"/>
                <w:ilvl w:val="0"/>
              </w:numPr>
              <w:spacing w:after="60"/>
              <w:rPr>
                <w:color w:val="auto"/>
                <w:shd w:val="clear"/>
              </w:rPr>
            </w:pP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한국 유니콘 성장 요인: 국내 우수 인적 자원, 글로벌 인프라, 우수한 K-브랜드, 국내외 유동성 확대.</w:t>
            </w:r>
          </w:p>
          <w:p>
            <w:pPr>
              <w:pStyle w:val="PO26"/>
              <w:numPr>
                <w:numId w:val="1"/>
                <w:ilvl w:val="0"/>
              </w:numPr>
              <w:spacing w:after="60"/>
              <w:rPr>
                <w:color w:val="auto"/>
                <w:shd w:val="clear"/>
              </w:rPr>
            </w:pP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상위 자산으로의 쏠림 현상은 점점 가속화되고 있음.</w:t>
            </w:r>
          </w:p>
          <w:p>
            <w:pPr>
              <w:spacing w:before="160" w:after="60"/>
              <w:rPr>
                <w:color w:val="auto"/>
                <w:shd w:val="clear"/>
              </w:rPr>
            </w:pPr>
            <w:r>
              <w:rPr>
                <w:b w:val="1"/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AI 시대의 경쟁력</w:t>
            </w:r>
          </w:p>
          <w:p>
            <w:pPr>
              <w:pStyle w:val="PO26"/>
              <w:numPr>
                <w:numId w:val="1"/>
                <w:ilvl w:val="0"/>
              </w:numPr>
              <w:spacing w:after="60"/>
              <w:rPr>
                <w:color w:val="auto"/>
                <w:shd w:val="clear"/>
              </w:rPr>
            </w:pP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브랜드 / IP / Tech 중, Tech는 원천 기술로 문제를 해결하는 반면, 초기 투자 단계에서는 브랜드나 IP가 </w:t>
            </w: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부각되는 경우가 많음.</w:t>
            </w:r>
          </w:p>
          <w:p>
            <w:pPr>
              <w:pStyle w:val="PO26"/>
              <w:numPr>
                <w:numId w:val="1"/>
                <w:ilvl w:val="0"/>
              </w:numPr>
              <w:spacing w:after="60"/>
              <w:rPr>
                <w:color w:val="auto"/>
                <w:shd w:val="clear"/>
              </w:rPr>
            </w:pP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컴퓨트(Compute) / 알고리즘 / 데이터, 이 세 가지가 AI 시대의 핵심 경쟁력임.</w:t>
            </w:r>
          </w:p>
          <w:p>
            <w:pPr>
              <w:pStyle w:val="PO26"/>
              <w:numPr>
                <w:numId w:val="1"/>
                <w:ilvl w:val="0"/>
              </w:numPr>
              <w:spacing w:after="60"/>
              <w:rPr>
                <w:color w:val="auto"/>
                <w:shd w:val="clear"/>
              </w:rPr>
            </w:pPr>
            <w:r>
              <w:rPr>
                <w:color w:val="auto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그중에서도 특히 데이터가 중요한 차별화 요소 (예: 매드업).</w:t>
            </w:r>
          </w:p>
        </w:tc>
      </w:tr>
    </w:tbl>
    <w:p>
      <w:pPr>
        <w:jc w:val="center"/>
        <w:spacing w:before="220"/>
        <w:rPr>
          <w:shd w:val="clear"/>
        </w:rPr>
      </w:pPr>
      <w:r>
        <w:rPr>
          <w:i w:val="1"/>
          <w:color w:val="808080"/>
          <w:sz w:val="15"/>
          <w:szCs w:val="15"/>
          <w:shd w:val="clear"/>
          <w:rFonts w:ascii="맑은 고딕" w:eastAsia="맑은 고딕" w:hAnsi="맑은 고딕" w:cs="맑은 고딕"/>
        </w:rPr>
        <w:t xml:space="preserve">DPIC 2기 3조 정리</w:t>
      </w:r>
    </w:p>
    <w:sectPr>
      <w15:footnoteColumns w:val="1"/>
      <w:pgSz w:w="12240" w:h="15840"/>
      <w:pgMar w:top="680" w:left="900" w:bottom="680" w:right="90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E66C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●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</w:rPr>
      <w:lvlText w:val="●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</w:rPr>
      <w:lvlText w:val="●"/>
    </w:lvl>
  </w:abstractNum>
  <w:num w:numId="1">
    <w:abstractNumId w:va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evenAndOddHeaders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2"/>
      <w:szCs w:val="22"/>
      <w:shd w:val="clear"/>
      <w:rFonts w:ascii="나눔고딕" w:eastAsia="나눔고딕" w:hAnsi="나눔고딕" w:cs="나눔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2"/>
      <w:szCs w:val="22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  <w:style w:styleId="PO6" w:type="paragraph">
    <w:name w:val="Title"/>
    <w:qFormat/>
    <w:rPr>
      <w:sz w:val="56"/>
      <w:szCs w:val="56"/>
      <w:shd w:val="clear"/>
    </w:rPr>
  </w:style>
  <w:style w:styleId="PO20" w:type="paragraph">
    <w:name w:val="Strong"/>
    <w:qFormat/>
    <w:rPr>
      <w:b w:val="1"/>
      <w:shd w:val="clear"/>
    </w:rPr>
  </w:style>
  <w:style w:styleId="PO26" w:type="paragraph">
    <w:name w:val="List Paragraph"/>
    <w:qFormat/>
  </w:style>
  <w:style w:styleId="PO37" w:type="table">
    <w:name w:val="Table Grid"/>
    <w:basedOn w:val="PO3"/>
    <w:uiPriority w:val="-1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DD7EE" w:themeColor="accent1" w:themeTint="66" w:sz="4"/>
        <w:insideH w:val="single" w:color="BDD7EE" w:themeColor="accent1" w:themeTint="66" w:sz="4"/>
        <w:insideV w:val="single" w:color="BDD7EE" w:themeColor="accent1" w:themeTint="66" w:sz="4"/>
        <w:left w:val="single" w:color="BDD7EE" w:themeColor="accent1" w:themeTint="66" w:sz="4"/>
        <w:right w:val="single" w:color="BDD7EE" w:themeColor="accent1" w:themeTint="66" w:sz="4"/>
        <w:top w:val="single" w:color="BDD7EE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4C7E7" w:themeColor="accent5" w:themeTint="66" w:sz="4"/>
        <w:insideH w:val="single" w:color="B4C7E7" w:themeColor="accent5" w:themeTint="66" w:sz="4"/>
        <w:insideV w:val="single" w:color="B4C7E7" w:themeColor="accent5" w:themeTint="66" w:sz="4"/>
        <w:left w:val="single" w:color="B4C7E7" w:themeColor="accent5" w:themeTint="66" w:sz="4"/>
        <w:right w:val="single" w:color="B4C7E7" w:themeColor="accent5" w:themeTint="66" w:sz="4"/>
        <w:top w:val="single" w:color="B4C7E7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2"/>
        <w:insideH w:val="single" w:color="9DC3E6" w:themeColor="accent1" w:themeTint="99" w:sz="2"/>
        <w:insideV w:val="single" w:color="9DC3E6" w:themeColor="accent1" w:themeTint="99" w:sz="2"/>
        <w:top w:val="single" w:color="9DC3E6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DC3E6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DC3E6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2"/>
        <w:insideH w:val="single" w:color="8FAADC" w:themeColor="accent5" w:themeTint="99" w:sz="2"/>
        <w:insideV w:val="single" w:color="8FAADC" w:themeColor="accent5" w:themeTint="99" w:sz="2"/>
        <w:top w:val="single" w:color="8FAAD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8FAAD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8FAADC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5B9BD5" w:themeColor="accent1" w:sz="4"/>
          <w:insideH w:val="nil"/>
          <w:insideV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4472C4" w:themeColor="accent5" w:sz="4"/>
          <w:insideH w:val="nil"/>
          <w:insideV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1" w:themeFillTint="33" w:color="auto" w:val="clear"/>
    </w:tcPr>
    <w:tblStylePr w:type="band1Horz">
      <w:tcPr>
        <w:shd w:fill="BDD7EE" w:themeFill="accent1" w:themeFillTint="66" w:color="auto" w:val="clear"/>
      </w:tcPr>
    </w:tblStylePr>
    <w:tblStylePr w:type="band1Vert">
      <w:tcPr>
        <w:shd w:fill="BDD7EE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auto" w:val="clear"/>
    </w:tcPr>
    <w:tblStylePr w:type="band1Horz">
      <w:tcPr>
        <w:shd w:fill="F8CBAD" w:themeFill="accent2" w:themeFillTint="66" w:color="auto" w:val="clear"/>
      </w:tcPr>
    </w:tblStylePr>
    <w:tblStylePr w:type="band1Vert">
      <w:tcPr>
        <w:shd w:fill="F8CBAD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auto" w:val="clear"/>
    </w:tcPr>
    <w:tblStylePr w:type="band1Horz">
      <w:tcPr>
        <w:shd w:fill="DBDBDB" w:themeFill="accent3" w:themeFillTint="66" w:color="auto" w:val="clear"/>
      </w:tcPr>
    </w:tblStylePr>
    <w:tblStylePr w:type="band1Vert">
      <w:tcPr>
        <w:shd w:fill="DBDBDB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auto" w:val="clear"/>
    </w:tcPr>
    <w:tblStylePr w:type="band1Horz">
      <w:tcPr>
        <w:shd w:fill="FFE699" w:themeFill="accent4" w:themeFillTint="66" w:color="auto" w:val="clear"/>
      </w:tcPr>
    </w:tblStylePr>
    <w:tblStylePr w:type="band1Vert">
      <w:tcPr>
        <w:shd w:fill="FFE699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5" w:themeFillTint="33" w:color="auto" w:val="clear"/>
    </w:tcPr>
    <w:tblStylePr w:type="band1Horz">
      <w:tcPr>
        <w:shd w:fill="B4C7E7" w:themeFill="accent5" w:themeFillTint="66" w:color="auto" w:val="clear"/>
      </w:tcPr>
    </w:tblStylePr>
    <w:tblStylePr w:type="band1Vert">
      <w:tcPr>
        <w:shd w:fill="B4C7E7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auto" w:val="clear"/>
    </w:tcPr>
    <w:tblStylePr w:type="band1Horz">
      <w:tcPr>
        <w:shd w:fill="C5E0B4" w:themeFill="accent6" w:themeFillTint="66" w:color="auto" w:val="clear"/>
      </w:tcPr>
    </w:tblStylePr>
    <w:tblStylePr w:type="band1Vert">
      <w:tcPr>
        <w:shd w:fill="C5E0B4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DC3E6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8FAADC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5B9BD5" w:themeColor="accent1" w:sz="4"/>
        <w:left w:val="single" w:color="5B9BD5" w:themeColor="accent1" w:sz="4"/>
        <w:right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1" w:sz="4"/>
          <w:insideH w:val="nil"/>
          <w:top w:val="single" w:color="5B9BD5" w:themeColor="accent1" w:sz="4"/>
        </w:tcBorders>
      </w:tcPr>
    </w:tblStylePr>
    <w:tblStylePr w:type="band1Vert">
      <w:tcPr>
        <w:tcBorders>
          <w:left w:val="single" w:color="5B9BD5" w:themeColor="accent1" w:sz="4"/>
          <w:right w:val="single" w:color="5B9BD5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5B9BD5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1" w:sz="4"/>
        </w:tcBorders>
      </w:tcPr>
    </w:tblStylePr>
    <w:tblStylePr w:type="swCell">
      <w:tcPr>
        <w:tcBorders>
          <w:right w:val="nil"/>
          <w:top w:val="double" w:color="5B9BD5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4472C4" w:themeColor="accent5" w:sz="4"/>
        <w:left w:val="single" w:color="4472C4" w:themeColor="accent5" w:sz="4"/>
        <w:right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5" w:sz="4"/>
          <w:insideH w:val="nil"/>
          <w:top w:val="single" w:color="4472C4" w:themeColor="accent5" w:sz="4"/>
        </w:tcBorders>
      </w:tcPr>
    </w:tblStylePr>
    <w:tblStylePr w:type="band1Vert">
      <w:tcPr>
        <w:tcBorders>
          <w:left w:val="single" w:color="4472C4" w:themeColor="accent5" w:sz="4"/>
          <w:right w:val="single" w:color="4472C4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472C4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5" w:sz="4"/>
        </w:tcBorders>
      </w:tcPr>
    </w:tblStylePr>
    <w:tblStylePr w:type="swCell">
      <w:tcPr>
        <w:tcBorders>
          <w:right w:val="nil"/>
          <w:top w:val="double" w:color="4472C4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5B9BD5" w:themeColor="accent1" w:sz="4"/>
          <w:insideH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4472C4" w:themeColor="accent5" w:sz="4"/>
          <w:insideH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5B9BD5" w:themeColor="accent1" w:sz="24"/>
        <w:left w:val="single" w:color="5B9BD5" w:themeColor="accent1" w:sz="24"/>
        <w:right w:val="single" w:color="5B9BD5" w:themeColor="accent1" w:sz="24"/>
        <w:top w:val="single" w:color="5B9BD5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472C4" w:themeColor="accent5" w:sz="24"/>
        <w:left w:val="single" w:color="4472C4" w:themeColor="accent5" w:sz="24"/>
        <w:right w:val="single" w:color="4472C4" w:themeColor="accent5" w:sz="24"/>
        <w:top w:val="single" w:color="4472C4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AEFF7" w:themeFill="accent1" w:themeFillTint="33" w:color="auto" w:val="clear"/>
      </w:tcPr>
    </w:tblStylePr>
    <w:tblStylePr w:type="band1Vert">
      <w:tcPr>
        <w:shd w:fill="EAEFF7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5B9BD5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5B9BD5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5B9BD5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5B9BD5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CECE8" w:themeFill="accent2" w:themeFillTint="33" w:color="auto" w:val="clear"/>
      </w:tcPr>
    </w:tblStylePr>
    <w:tblStylePr w:type="band1Vert">
      <w:tcPr>
        <w:shd w:fill="FCECE8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0F0F0" w:themeFill="accent3" w:themeFillTint="33" w:color="auto" w:val="clear"/>
      </w:tcPr>
    </w:tblStylePr>
    <w:tblStylePr w:type="band1Vert">
      <w:tcPr>
        <w:shd w:fill="F0F0F0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4E7" w:themeFill="accent4" w:themeFillTint="33" w:color="auto" w:val="clear"/>
      </w:tcPr>
    </w:tblStylePr>
    <w:tblStylePr w:type="band1Vert">
      <w:tcPr>
        <w:shd w:fill="FFF4E7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BF5" w:themeFill="accent5" w:themeFillTint="33" w:color="auto" w:val="clear"/>
      </w:tcPr>
    </w:tblStylePr>
    <w:tblStylePr w:type="band1Vert">
      <w:tcPr>
        <w:shd w:fill="E9EB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472C4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472C4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472C4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472C4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E9" w:themeFill="accent6" w:themeFillTint="33" w:color="auto" w:val="clear"/>
      </w:tcPr>
    </w:tblStylePr>
    <w:tblStylePr w:type="band1Vert">
      <w:tcPr>
        <w:shd w:fill="EBF1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51" w:type="paragraph">
    <w:name w:val="Heading 1"/>
    <w:qFormat/>
    <w:rPr>
      <w:color w:val="2E74B5"/>
      <w:sz w:val="32"/>
      <w:szCs w:val="32"/>
      <w:shd w:val="clear"/>
    </w:rPr>
  </w:style>
  <w:style w:styleId="PO152" w:type="paragraph">
    <w:name w:val="Heading 2"/>
    <w:qFormat/>
    <w:rPr>
      <w:color w:val="2E74B5"/>
      <w:sz w:val="26"/>
      <w:szCs w:val="26"/>
      <w:shd w:val="clear"/>
    </w:rPr>
  </w:style>
  <w:style w:styleId="PO153" w:type="paragraph">
    <w:name w:val="Heading 3"/>
    <w:qFormat/>
    <w:rPr>
      <w:color w:val="1F4D78"/>
      <w:sz w:val="24"/>
      <w:szCs w:val="24"/>
      <w:shd w:val="clear"/>
    </w:rPr>
  </w:style>
  <w:style w:styleId="PO154" w:type="paragraph">
    <w:name w:val="Heading 4"/>
    <w:qFormat/>
    <w:rPr>
      <w:i w:val="1"/>
      <w:color w:val="2E74B5"/>
      <w:shd w:val="clear"/>
    </w:rPr>
  </w:style>
  <w:style w:styleId="PO155" w:type="paragraph">
    <w:name w:val="Heading 5"/>
    <w:qFormat/>
    <w:rPr>
      <w:color w:val="2E74B5"/>
      <w:shd w:val="clear"/>
    </w:rPr>
  </w:style>
  <w:style w:styleId="PO156" w:type="paragraph">
    <w:name w:val="Heading 6"/>
    <w:qFormat/>
    <w:rPr>
      <w:color w:val="1F4D78"/>
      <w:shd w:val="clear"/>
    </w:rPr>
  </w:style>
  <w:style w:styleId="PO157" w:type="character">
    <w:name w:val="Hyperlink"/>
    <w:uiPriority w:val="99"/>
    <w:unhideWhenUsed/>
    <w:rPr>
      <w:color w:val="0563C1"/>
      <w:u w:val="single"/>
      <w:shd w:val="clear"/>
    </w:rPr>
  </w:style>
  <w:style w:styleId="PO158" w:type="character">
    <w:name w:val="footnote reference"/>
    <w:uiPriority w:val="99"/>
    <w:semiHidden/>
    <w:unhideWhenUsed/>
    <w:rPr>
      <w:vertAlign w:val="superscript"/>
      <w:shd w:val="clear"/>
    </w:rPr>
  </w:style>
  <w:style w:styleId="PO159" w:type="paragraph">
    <w:name w:val="footnote text"/>
    <w:link w:val="PO160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0" w:type="character">
    <w:name w:val="Footnote Text Char"/>
    <w:link w:val="PO159"/>
    <w:uiPriority w:val="99"/>
    <w:semiHidden/>
    <w:unhideWhenUsed/>
    <w:rPr>
      <w:sz w:val="20"/>
      <w:szCs w:val="20"/>
      <w:shd w:val="clear"/>
    </w:rPr>
  </w:style>
  <w:style w:styleId="PO161" w:type="character">
    <w:name w:val="endnote reference"/>
    <w:uiPriority w:val="99"/>
    <w:semiHidden/>
    <w:unhideWhenUsed/>
    <w:rPr>
      <w:vertAlign w:val="superscript"/>
      <w:shd w:val="clear"/>
    </w:rPr>
  </w:style>
  <w:style w:styleId="PO162" w:type="paragraph">
    <w:name w:val="endnote text"/>
    <w:link w:val="PO163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3" w:type="character">
    <w:name w:val="Endnote Text Char"/>
    <w:link w:val="PO162"/>
    <w:uiPriority w:val="99"/>
    <w:semiHidden/>
    <w:unhideWhenUsed/>
    <w:rPr>
      <w:sz w:val="20"/>
      <w:szCs w:val="20"/>
      <w:shd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_rels/fontTable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3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Un-named</dc:creator>
  <cp:lastModifiedBy>duswn8252</cp:lastModifiedBy>
  <dcterms:modified xsi:type="dcterms:W3CDTF">2026-07-19T12:24:19Z</dcterms:modified>
</cp:coreProperties>
</file>