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2779" w14:textId="77777777" w:rsidR="002C4D24" w:rsidRPr="006B3D7E" w:rsidRDefault="006B3D7E" w:rsidP="00474E21">
      <w:pPr>
        <w:spacing w:after="60"/>
        <w:jc w:val="center"/>
        <w:rPr>
          <w:rFonts w:asciiTheme="majorHAnsi" w:eastAsiaTheme="majorHAnsi" w:hAnsiTheme="majorHAnsi"/>
        </w:rPr>
      </w:pPr>
      <w:r>
        <w:rPr>
          <w:rFonts w:asciiTheme="majorHAnsi" w:eastAsiaTheme="majorHAnsi" w:hAnsiTheme="majorHAnsi" w:hint="eastAsia"/>
          <w:b/>
          <w:bCs/>
          <w:sz w:val="40"/>
          <w:szCs w:val="40"/>
        </w:rPr>
        <w:t xml:space="preserve">DPIC 2기 </w:t>
      </w:r>
      <w:r>
        <w:rPr>
          <w:rFonts w:asciiTheme="majorHAnsi" w:eastAsiaTheme="majorHAnsi" w:hAnsiTheme="majorHAnsi"/>
          <w:b/>
          <w:bCs/>
          <w:sz w:val="40"/>
          <w:szCs w:val="40"/>
        </w:rPr>
        <w:t>투자 강연 노트</w:t>
      </w: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6"/>
        <w:gridCol w:w="2915"/>
        <w:gridCol w:w="1560"/>
        <w:gridCol w:w="4296"/>
      </w:tblGrid>
      <w:tr w:rsidR="002C4D24" w:rsidRPr="00474E21" w14:paraId="348BE64C" w14:textId="77777777" w:rsidTr="00435C4C">
        <w:trPr>
          <w:trHeight w:val="341"/>
        </w:trPr>
        <w:tc>
          <w:tcPr>
            <w:tcW w:w="16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AE352F" w14:textId="77777777" w:rsidR="002C4D24" w:rsidRPr="006B3D7E" w:rsidRDefault="00000000">
            <w:pPr>
              <w:rPr>
                <w:rFonts w:asciiTheme="majorHAnsi" w:eastAsiaTheme="majorHAnsi" w:hAnsiTheme="majorHAnsi"/>
              </w:rPr>
            </w:pPr>
            <w:r>
              <w:rPr>
                <w:rFonts w:asciiTheme="majorHAnsi" w:eastAsiaTheme="majorHAnsi" w:hAnsiTheme="majorHAnsi"/>
                <w:b/>
                <w:bCs/>
                <w:sz w:val="18"/>
                <w:szCs w:val="18"/>
              </w:rPr>
              <w:t>강연 주제</w:t>
            </w:r>
          </w:p>
        </w:tc>
        <w:tc>
          <w:tcPr>
            <w:tcW w:w="29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3B1907" w14:textId="492F1ABB"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PE의 기업 가치 평가</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3BE9EC" w14:textId="77777777" w:rsidR="002C4D24" w:rsidRPr="00435C4C" w:rsidRDefault="00000000">
            <w:pPr>
              <w:rPr>
                <w:rFonts w:asciiTheme="majorHAnsi" w:eastAsiaTheme="majorHAnsi" w:hAnsiTheme="majorHAnsi"/>
                <w:sz w:val="18"/>
                <w:szCs w:val="18"/>
              </w:rPr>
            </w:pPr>
            <w:r w:rsidRPr="00435C4C">
              <w:rPr>
                <w:rFonts w:asciiTheme="majorHAnsi" w:eastAsiaTheme="majorHAnsi" w:hAnsiTheme="majorHAnsi"/>
                <w:b/>
                <w:bCs/>
                <w:sz w:val="18"/>
                <w:szCs w:val="18"/>
              </w:rPr>
              <w:t>연사</w:t>
            </w:r>
          </w:p>
        </w:tc>
        <w:tc>
          <w:tcPr>
            <w:tcW w:w="429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89EE68" w14:textId="34AE29FC" w:rsidR="00D2202E" w:rsidRPr="00435C4C" w:rsidRDefault="00000000">
            <w:pPr>
              <w:rPr>
                <w:rFonts w:asciiTheme="majorHAnsi" w:eastAsiaTheme="majorHAnsi" w:hAnsiTheme="majorHAnsi"/>
                <w:color w:val="000000"/>
                <w:sz w:val="18"/>
                <w:szCs w:val="18"/>
              </w:rPr>
            </w:pPr>
            <w:r w:rsidRPr="00435C4C">
              <w:rPr>
                <w:rFonts w:asciiTheme="majorHAnsi" w:eastAsiaTheme="majorHAnsi" w:hAnsiTheme="majorHAnsi"/>
                <w:color w:val="000000"/>
                <w:sz w:val="18"/>
                <w:szCs w:val="18"/>
              </w:rPr>
              <w:t>이종원 상무님 / IMM크레딧앤솔루션</w:t>
            </w:r>
          </w:p>
        </w:tc>
      </w:tr>
      <w:tr w:rsidR="002C4D24" w:rsidRPr="00474E21" w14:paraId="18B77B4C" w14:textId="77777777" w:rsidTr="00435C4C">
        <w:trPr>
          <w:trHeight w:val="341"/>
        </w:trPr>
        <w:tc>
          <w:tcPr>
            <w:tcW w:w="16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0EB544" w14:textId="77777777" w:rsidR="002C4D24" w:rsidRPr="006B3D7E" w:rsidRDefault="00000000">
            <w:pPr>
              <w:rPr>
                <w:rFonts w:asciiTheme="majorHAnsi" w:eastAsiaTheme="majorHAnsi" w:hAnsiTheme="majorHAnsi"/>
              </w:rPr>
            </w:pPr>
            <w:r>
              <w:rPr>
                <w:rFonts w:asciiTheme="majorHAnsi" w:eastAsiaTheme="majorHAnsi" w:hAnsiTheme="majorHAnsi"/>
                <w:b/>
                <w:bCs/>
                <w:sz w:val="18"/>
                <w:szCs w:val="18"/>
              </w:rPr>
              <w:t>강연 일자</w:t>
            </w:r>
          </w:p>
        </w:tc>
        <w:tc>
          <w:tcPr>
            <w:tcW w:w="2915"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4CF2BB"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2026. 7. 22.(수)</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08C1AD" w14:textId="77777777" w:rsidR="002C4D24" w:rsidRPr="00435C4C" w:rsidRDefault="00000000">
            <w:pPr>
              <w:rPr>
                <w:rFonts w:asciiTheme="majorHAnsi" w:eastAsiaTheme="majorHAnsi" w:hAnsiTheme="majorHAnsi"/>
                <w:sz w:val="18"/>
                <w:szCs w:val="18"/>
              </w:rPr>
            </w:pPr>
            <w:r w:rsidRPr="00435C4C">
              <w:rPr>
                <w:rFonts w:asciiTheme="majorHAnsi" w:eastAsiaTheme="majorHAnsi" w:hAnsiTheme="majorHAnsi"/>
                <w:b/>
                <w:bCs/>
                <w:sz w:val="18"/>
                <w:szCs w:val="18"/>
              </w:rPr>
              <w:t>작성 조</w:t>
            </w:r>
          </w:p>
        </w:tc>
        <w:tc>
          <w:tcPr>
            <w:tcW w:w="429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FB1091"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5조</w:t>
            </w:r>
          </w:p>
        </w:tc>
      </w:tr>
      <w:tr w:rsidR="002C4D24" w:rsidRPr="00474E21" w14:paraId="79FAF9B5" w14:textId="77777777" w:rsidTr="00474E21">
        <w:trPr>
          <w:trHeight w:val="341"/>
        </w:trPr>
        <w:tc>
          <w:tcPr>
            <w:tcW w:w="161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01C662" w14:textId="77777777" w:rsidR="002C4D24" w:rsidRPr="006B3D7E" w:rsidRDefault="00000000">
            <w:pPr>
              <w:rPr>
                <w:rFonts w:asciiTheme="majorHAnsi" w:eastAsiaTheme="majorHAnsi" w:hAnsiTheme="majorHAnsi"/>
              </w:rPr>
            </w:pPr>
            <w:r>
              <w:rPr>
                <w:rFonts w:asciiTheme="majorHAnsi" w:eastAsiaTheme="majorHAnsi" w:hAnsiTheme="majorHAnsi"/>
                <w:b/>
                <w:bCs/>
                <w:sz w:val="18"/>
                <w:szCs w:val="18"/>
              </w:rPr>
              <w:t>조원</w:t>
            </w:r>
          </w:p>
        </w:tc>
        <w:tc>
          <w:tcPr>
            <w:tcW w:w="8771" w:type="dxa"/>
            <w:gridSpan w:val="3"/>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248B26"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최지웅, 김민서, 박세은, 이건준, 한윤수</w:t>
            </w:r>
          </w:p>
        </w:tc>
      </w:tr>
    </w:tbl>
    <w:p w14:paraId="2C4A8AD8" w14:textId="77777777" w:rsidR="002C4D24" w:rsidRPr="00474E21" w:rsidRDefault="002C4D24">
      <w:pPr>
        <w:spacing w:after="100"/>
        <w:rPr>
          <w:rFonts w:asciiTheme="majorHAnsi" w:eastAsiaTheme="majorHAnsi" w:hAnsiTheme="majorHAnsi"/>
        </w:rPr>
      </w:pP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8"/>
      </w:tblGrid>
      <w:tr w:rsidR="002C4D24" w:rsidRPr="00474E21" w14:paraId="71058AFF" w14:textId="77777777" w:rsidTr="00474E21">
        <w:tc>
          <w:tcPr>
            <w:tcW w:w="10348" w:type="dxa"/>
            <w:tcBorders>
              <w:top w:val="none" w:sz="0" w:space="0" w:color="FFFFFF"/>
              <w:left w:val="none" w:sz="0" w:space="0" w:color="FFFFFF"/>
              <w:bottom w:val="none" w:sz="0" w:space="0" w:color="FFFFFF"/>
              <w:right w:val="none" w:sz="0" w:space="0" w:color="FFFFFF"/>
            </w:tcBorders>
            <w:shd w:val="clear" w:color="auto" w:fill="404040" w:themeFill="text1" w:themeFillTint="BF"/>
            <w:tcMar>
              <w:top w:w="90" w:type="dxa"/>
              <w:left w:w="140" w:type="dxa"/>
              <w:bottom w:w="90" w:type="dxa"/>
              <w:right w:w="140" w:type="dxa"/>
            </w:tcMar>
          </w:tcPr>
          <w:p w14:paraId="42BD3E23" w14:textId="77777777" w:rsidR="002C4D24" w:rsidRPr="00474E21" w:rsidRDefault="00000000">
            <w:pPr>
              <w:rPr>
                <w:rFonts w:asciiTheme="majorHAnsi" w:eastAsiaTheme="majorHAnsi" w:hAnsiTheme="majorHAnsi"/>
              </w:rPr>
            </w:pPr>
            <w:r>
              <w:rPr>
                <w:rFonts w:asciiTheme="majorHAnsi" w:eastAsiaTheme="majorHAnsi" w:hAnsiTheme="majorHAnsi"/>
                <w:b/>
                <w:bCs/>
                <w:color w:val="FFFFFF"/>
              </w:rPr>
              <w:t xml:space="preserve">1  강연 핵심 </w:t>
            </w:r>
          </w:p>
        </w:tc>
      </w:tr>
      <w:tr w:rsidR="002C4D24" w:rsidRPr="00474E21" w14:paraId="13D489FB" w14:textId="77777777" w:rsidTr="00474E21">
        <w:tc>
          <w:tcPr>
            <w:tcW w:w="103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B24102" w14:textId="2FB057F5" w:rsidR="00D2202E" w:rsidRPr="00435C4C" w:rsidRDefault="00000000" w:rsidP="00435C4C">
            <w:pPr>
              <w:pStyle w:val="a4"/>
              <w:numPr>
                <w:ilvl w:val="0"/>
                <w:numId w:val="2"/>
              </w:numPr>
              <w:rPr>
                <w:rFonts w:asciiTheme="majorHAnsi" w:eastAsiaTheme="majorHAnsi" w:hAnsiTheme="majorHAnsi"/>
                <w:sz w:val="18"/>
                <w:szCs w:val="18"/>
              </w:rPr>
            </w:pPr>
            <w:r w:rsidRPr="00435C4C">
              <w:rPr>
                <w:rFonts w:asciiTheme="majorHAnsi" w:eastAsiaTheme="majorHAnsi" w:hAnsiTheme="majorHAnsi"/>
                <w:color w:val="000000"/>
                <w:sz w:val="18"/>
                <w:szCs w:val="18"/>
              </w:rPr>
              <w:t>자산군이 달라도 투자의 본질은 ‘가치와 가격의 괴리에 베팅하는 것’으로 동일하다. 다만 보유 기간이 길어질수록 의사결정은 느려지고 책임은 커진다. VC는 크게 성공한 딜 하나가 나머지 실패를 상쇄할 수 있지만, PE는 실패가 허용되지 않는다.</w:t>
            </w:r>
          </w:p>
          <w:p w14:paraId="5D74EAFA" w14:textId="5D500CD1" w:rsidR="00D2202E" w:rsidRPr="00435C4C" w:rsidRDefault="00000000" w:rsidP="00435C4C">
            <w:pPr>
              <w:pStyle w:val="a4"/>
              <w:numPr>
                <w:ilvl w:val="0"/>
                <w:numId w:val="2"/>
              </w:numPr>
              <w:rPr>
                <w:rFonts w:asciiTheme="majorHAnsi" w:eastAsiaTheme="majorHAnsi" w:hAnsiTheme="majorHAnsi"/>
                <w:sz w:val="18"/>
                <w:szCs w:val="18"/>
              </w:rPr>
            </w:pPr>
            <w:r w:rsidRPr="00435C4C">
              <w:rPr>
                <w:rFonts w:asciiTheme="majorHAnsi" w:eastAsiaTheme="majorHAnsi" w:hAnsiTheme="majorHAnsi"/>
                <w:color w:val="000000"/>
                <w:sz w:val="18"/>
                <w:szCs w:val="18"/>
              </w:rPr>
              <w:t>PE 투자는 투자 집행에서 끝나지 않고 기업가치 제고(Value Creation)와 회수(Exit)까지 설계하는 종합 프로젝트다. 엑시트가 가장 어렵고 불확실하므로, 검토 시점부터 바이어 풀과 회수 구조(바이백·배당 리캡)를 주주간계약에 미리 반영해야 한다.</w:t>
            </w:r>
          </w:p>
          <w:p w14:paraId="69675F65" w14:textId="47B80BF7" w:rsidR="00D2202E" w:rsidRPr="00435C4C" w:rsidRDefault="00000000" w:rsidP="00435C4C">
            <w:pPr>
              <w:pStyle w:val="a4"/>
              <w:numPr>
                <w:ilvl w:val="0"/>
                <w:numId w:val="2"/>
              </w:numPr>
              <w:rPr>
                <w:rFonts w:asciiTheme="majorHAnsi" w:eastAsiaTheme="majorHAnsi" w:hAnsiTheme="majorHAnsi"/>
                <w:sz w:val="18"/>
                <w:szCs w:val="18"/>
              </w:rPr>
            </w:pPr>
            <w:r w:rsidRPr="00435C4C">
              <w:rPr>
                <w:rFonts w:asciiTheme="majorHAnsi" w:eastAsiaTheme="majorHAnsi" w:hAnsiTheme="majorHAnsi"/>
                <w:color w:val="000000"/>
                <w:sz w:val="18"/>
                <w:szCs w:val="18"/>
              </w:rPr>
              <w:t>밸류에이션은 정확한 숫자를 맞히는 작업이 아니라 협상에서 상대의 논리를 압도하기 위한 ‘언어’다. 자산을 가장 비싸게 팔거나 싸게 사는 방식이 곧 맞는 방식이다.</w:t>
            </w:r>
          </w:p>
          <w:p w14:paraId="3DC39915" w14:textId="654C30B7" w:rsidR="00D2202E" w:rsidRPr="00435C4C" w:rsidRDefault="00000000" w:rsidP="00435C4C">
            <w:pPr>
              <w:pStyle w:val="a4"/>
              <w:numPr>
                <w:ilvl w:val="0"/>
                <w:numId w:val="2"/>
              </w:numPr>
              <w:rPr>
                <w:rFonts w:asciiTheme="majorHAnsi" w:eastAsiaTheme="majorHAnsi" w:hAnsiTheme="majorHAnsi"/>
                <w:sz w:val="18"/>
                <w:szCs w:val="18"/>
              </w:rPr>
            </w:pPr>
            <w:r w:rsidRPr="00435C4C">
              <w:rPr>
                <w:rFonts w:asciiTheme="majorHAnsi" w:eastAsiaTheme="majorHAnsi" w:hAnsiTheme="majorHAnsi"/>
                <w:color w:val="000000"/>
                <w:sz w:val="18"/>
                <w:szCs w:val="18"/>
              </w:rPr>
              <w:t>VC 업계는 인맥 중심의 과거 방식에서 벗어나, 창업·</w:t>
            </w:r>
            <w:proofErr w:type="spellStart"/>
            <w:r w:rsidRPr="00435C4C">
              <w:rPr>
                <w:rFonts w:asciiTheme="majorHAnsi" w:eastAsiaTheme="majorHAnsi" w:hAnsiTheme="majorHAnsi"/>
                <w:color w:val="000000"/>
                <w:sz w:val="18"/>
                <w:szCs w:val="18"/>
              </w:rPr>
              <w:t>엑시트</w:t>
            </w:r>
            <w:proofErr w:type="spellEnd"/>
            <w:r w:rsidRPr="00435C4C">
              <w:rPr>
                <w:rFonts w:asciiTheme="majorHAnsi" w:eastAsiaTheme="majorHAnsi" w:hAnsiTheme="majorHAnsi"/>
                <w:color w:val="000000"/>
                <w:sz w:val="18"/>
                <w:szCs w:val="18"/>
              </w:rPr>
              <w:t xml:space="preserve"> 경험자가 유입되며 시장 규모와 방식 모두 크게 변화하고 있다. 한국에서는 엔터·제조업 등 이미 강점이 드러난 산업에 주목할 필요가 있다.</w:t>
            </w:r>
          </w:p>
        </w:tc>
      </w:tr>
    </w:tbl>
    <w:p w14:paraId="5BBE235F" w14:textId="77777777" w:rsidR="002C4D24" w:rsidRPr="00474E21" w:rsidRDefault="002C4D24">
      <w:pPr>
        <w:spacing w:after="100"/>
        <w:rPr>
          <w:rFonts w:asciiTheme="majorHAnsi" w:eastAsiaTheme="majorHAnsi" w:hAnsiTheme="majorHAnsi"/>
        </w:rPr>
      </w:pP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20"/>
        <w:gridCol w:w="5528"/>
      </w:tblGrid>
      <w:tr w:rsidR="002C4D24" w:rsidRPr="00474E21" w14:paraId="7E7E058E" w14:textId="77777777" w:rsidTr="00474E21">
        <w:tc>
          <w:tcPr>
            <w:tcW w:w="10348" w:type="dxa"/>
            <w:gridSpan w:val="2"/>
            <w:tcBorders>
              <w:top w:val="none" w:sz="0" w:space="0" w:color="FFFFFF"/>
              <w:left w:val="none" w:sz="0" w:space="0" w:color="FFFFFF"/>
              <w:bottom w:val="none" w:sz="0" w:space="0" w:color="FFFFFF"/>
              <w:right w:val="none" w:sz="0" w:space="0" w:color="FFFFFF"/>
            </w:tcBorders>
            <w:shd w:val="clear" w:color="auto" w:fill="404040" w:themeFill="text1" w:themeFillTint="BF"/>
            <w:tcMar>
              <w:top w:w="90" w:type="dxa"/>
              <w:left w:w="140" w:type="dxa"/>
              <w:bottom w:w="90" w:type="dxa"/>
              <w:right w:w="140" w:type="dxa"/>
            </w:tcMar>
          </w:tcPr>
          <w:p w14:paraId="285FCE67" w14:textId="77777777" w:rsidR="002C4D24" w:rsidRPr="00474E21" w:rsidRDefault="00000000">
            <w:pPr>
              <w:rPr>
                <w:rFonts w:asciiTheme="majorHAnsi" w:eastAsiaTheme="majorHAnsi" w:hAnsiTheme="majorHAnsi"/>
              </w:rPr>
            </w:pPr>
            <w:r>
              <w:rPr>
                <w:rFonts w:asciiTheme="majorHAnsi" w:eastAsiaTheme="majorHAnsi" w:hAnsiTheme="majorHAnsi"/>
                <w:b/>
                <w:bCs/>
                <w:color w:val="FFFFFF"/>
              </w:rPr>
              <w:t>2  투자자 관점 인사이트</w:t>
            </w:r>
            <w:r>
              <w:rPr>
                <w:rFonts w:asciiTheme="majorHAnsi" w:eastAsiaTheme="majorHAnsi" w:hAnsiTheme="majorHAnsi"/>
                <w:i/>
                <w:iCs/>
                <w:color w:val="D9D9D9"/>
                <w:sz w:val="15"/>
                <w:szCs w:val="15"/>
              </w:rPr>
              <w:t xml:space="preserve"> </w:t>
            </w:r>
          </w:p>
        </w:tc>
      </w:tr>
      <w:tr w:rsidR="002C4D24" w:rsidRPr="00474E21" w14:paraId="4738D236" w14:textId="77777777" w:rsidTr="00474E21">
        <w:tc>
          <w:tcPr>
            <w:tcW w:w="48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A80502" w14:textId="77777777" w:rsidR="002C4D24" w:rsidRPr="00474E21" w:rsidRDefault="00000000">
            <w:pPr>
              <w:rPr>
                <w:rFonts w:asciiTheme="majorHAnsi" w:eastAsiaTheme="majorHAnsi" w:hAnsiTheme="majorHAnsi"/>
              </w:rPr>
            </w:pPr>
            <w:r>
              <w:rPr>
                <w:rFonts w:asciiTheme="majorHAnsi" w:eastAsiaTheme="majorHAnsi" w:hAnsiTheme="majorHAnsi"/>
                <w:b/>
                <w:bCs/>
                <w:color w:val="1F3864"/>
                <w:sz w:val="18"/>
                <w:szCs w:val="18"/>
              </w:rPr>
              <w:t>핵심 키워드 / 개념</w:t>
            </w:r>
          </w:p>
        </w:tc>
        <w:tc>
          <w:tcPr>
            <w:tcW w:w="552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D4F146" w14:textId="77777777" w:rsidR="002C4D24" w:rsidRPr="00474E21" w:rsidRDefault="00000000">
            <w:pPr>
              <w:rPr>
                <w:rFonts w:asciiTheme="majorHAnsi" w:eastAsiaTheme="majorHAnsi" w:hAnsiTheme="majorHAnsi"/>
              </w:rPr>
            </w:pPr>
            <w:r>
              <w:rPr>
                <w:rFonts w:asciiTheme="majorHAnsi" w:eastAsiaTheme="majorHAnsi" w:hAnsiTheme="majorHAnsi"/>
                <w:b/>
                <w:bCs/>
                <w:color w:val="1F3864"/>
                <w:sz w:val="18"/>
                <w:szCs w:val="18"/>
              </w:rPr>
              <w:t>왜 중요한가 (팀 해석)</w:t>
            </w:r>
          </w:p>
        </w:tc>
      </w:tr>
      <w:tr w:rsidR="002C4D24" w:rsidRPr="00435C4C" w14:paraId="72A71814"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E53BE7"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4S 운용철학</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380867"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수익 창출·사회적 책임·프로페셔널리즘·이해관계자 신뢰. 투심위 질문과 ESG 장기 리스크 검토의 기준으로, 모든 딜 판단의 밑바탕이 된다.</w:t>
            </w:r>
          </w:p>
        </w:tc>
      </w:tr>
      <w:tr w:rsidR="002C4D24" w:rsidRPr="00435C4C" w14:paraId="0F2F3D81"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3AE1B"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엑시트 우선 설계 (바이어 풀)</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4AF895"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진입 전에 회수처와 회수 시나리오(바이백·배당 리캡, SK루브리컨츠식 조항)를 확정해야 IRR과 원금 회수 안전성이 확보된다.</w:t>
            </w:r>
          </w:p>
        </w:tc>
      </w:tr>
      <w:tr w:rsidR="002C4D24" w:rsidRPr="00435C4C" w14:paraId="677BF287"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573B62"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밸류에이션 = 협상의 언어</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8DD6F4"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멀티플이냐 DCF냐에 정답은 없다. 회사의 본질을 담아 상대를 설득·압도하는 도구로 써야 한다.</w:t>
            </w:r>
          </w:p>
        </w:tc>
      </w:tr>
      <w:tr w:rsidR="002C4D24" w:rsidRPr="00435C4C" w14:paraId="35F98C03"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142579"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바이아웃 vs 마이너리티/크레딧</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EE532C"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경영권 유무가 밸류 크리에이션 수단을 가른다. 바이아웃은 직접 개입, 마이너리티/크레딧은 주주간계약이 방어의 핵심.</w:t>
            </w:r>
          </w:p>
        </w:tc>
      </w:tr>
      <w:tr w:rsidR="002C4D24" w:rsidRPr="00435C4C" w14:paraId="09617D0D"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7D1E70"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둠스데이 시나리오 &amp; 시나리오 분석</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05963C"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크레딧은 ‘회사가 망한다’는 가정하에 원금 회수 가능성을 먼저 본다. Best/Base/Worst 케이스로 매출·이익·현금흐름을 예측하며 항상 보수적 관점에서 리스크를 우선 검토한다.</w:t>
            </w:r>
          </w:p>
        </w:tc>
      </w:tr>
      <w:tr w:rsidR="002C4D24" w:rsidRPr="00435C4C" w14:paraId="7E677453"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071BEF"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과거 VC와 현재 VC의 차이</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C79337"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과거에는 인맥을 가진 시니어가 창업가를 키우는 구조였다면, 지금은 시장이 커지고 모바일 창업으로 엑시트한 이들이 VC로 유입되며 방식 자체가 달라졌다.</w:t>
            </w:r>
          </w:p>
        </w:tc>
      </w:tr>
      <w:tr w:rsidR="002C4D24" w:rsidRPr="00435C4C" w14:paraId="3AA6A90E" w14:textId="77777777" w:rsidTr="00474E21">
        <w:tc>
          <w:tcPr>
            <w:tcW w:w="48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E6A211"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b/>
                <w:color w:val="000000"/>
                <w:sz w:val="18"/>
                <w:szCs w:val="18"/>
              </w:rPr>
              <w:t>앞으로 한국에서 주목할 시장</w:t>
            </w:r>
          </w:p>
        </w:tc>
        <w:tc>
          <w:tcPr>
            <w:tcW w:w="552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E44136" w14:textId="77777777" w:rsidR="00D2202E" w:rsidRPr="00435C4C" w:rsidRDefault="00000000">
            <w:pPr>
              <w:rPr>
                <w:rFonts w:asciiTheme="majorHAnsi" w:eastAsiaTheme="majorHAnsi" w:hAnsiTheme="majorHAnsi"/>
                <w:sz w:val="18"/>
                <w:szCs w:val="18"/>
              </w:rPr>
            </w:pPr>
            <w:r w:rsidRPr="00435C4C">
              <w:rPr>
                <w:rFonts w:asciiTheme="majorHAnsi" w:eastAsiaTheme="majorHAnsi" w:hAnsiTheme="majorHAnsi"/>
                <w:color w:val="000000"/>
                <w:sz w:val="18"/>
                <w:szCs w:val="18"/>
              </w:rPr>
              <w:t>한국은 엔터·제조업 등 잘하는 분야가 이미 드러나 있다. VC를 하려면 한국 시장의 강점과 트렌드를 알고 있어야 한다.</w:t>
            </w:r>
          </w:p>
        </w:tc>
      </w:tr>
    </w:tbl>
    <w:p w14:paraId="26B06244" w14:textId="77777777" w:rsidR="002C4D24" w:rsidRPr="00435C4C" w:rsidRDefault="002C4D24">
      <w:pPr>
        <w:spacing w:after="100"/>
        <w:rPr>
          <w:rFonts w:asciiTheme="majorHAnsi" w:eastAsiaTheme="majorHAnsi" w:hAnsiTheme="majorHAnsi"/>
          <w:sz w:val="18"/>
          <w:szCs w:val="18"/>
        </w:rPr>
      </w:pP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8"/>
      </w:tblGrid>
      <w:tr w:rsidR="002C4D24" w:rsidRPr="00435C4C" w14:paraId="13FBA3DF" w14:textId="77777777" w:rsidTr="00474E21">
        <w:tc>
          <w:tcPr>
            <w:tcW w:w="10348" w:type="dxa"/>
            <w:tcBorders>
              <w:top w:val="none" w:sz="0" w:space="0" w:color="FFFFFF"/>
              <w:left w:val="none" w:sz="0" w:space="0" w:color="FFFFFF"/>
              <w:bottom w:val="none" w:sz="0" w:space="0" w:color="FFFFFF"/>
              <w:right w:val="none" w:sz="0" w:space="0" w:color="FFFFFF"/>
            </w:tcBorders>
            <w:shd w:val="clear" w:color="auto" w:fill="404040" w:themeFill="text1" w:themeFillTint="BF"/>
            <w:tcMar>
              <w:top w:w="90" w:type="dxa"/>
              <w:left w:w="140" w:type="dxa"/>
              <w:bottom w:w="90" w:type="dxa"/>
              <w:right w:w="140" w:type="dxa"/>
            </w:tcMar>
          </w:tcPr>
          <w:p w14:paraId="57B69EEC" w14:textId="77777777" w:rsidR="002C4D24" w:rsidRPr="00435C4C" w:rsidRDefault="00000000">
            <w:pPr>
              <w:rPr>
                <w:rFonts w:asciiTheme="majorHAnsi" w:eastAsiaTheme="majorHAnsi" w:hAnsiTheme="majorHAnsi"/>
                <w:sz w:val="18"/>
                <w:szCs w:val="18"/>
              </w:rPr>
            </w:pPr>
            <w:r w:rsidRPr="00435C4C">
              <w:rPr>
                <w:rFonts w:asciiTheme="majorHAnsi" w:eastAsiaTheme="majorHAnsi" w:hAnsiTheme="majorHAnsi"/>
                <w:b/>
                <w:bCs/>
                <w:color w:val="FFFFFF"/>
                <w:sz w:val="18"/>
                <w:szCs w:val="18"/>
              </w:rPr>
              <w:t>3  팀 토론 &amp; 논의 내용</w:t>
            </w:r>
            <w:r w:rsidRPr="00435C4C">
              <w:rPr>
                <w:rFonts w:asciiTheme="majorHAnsi" w:eastAsiaTheme="majorHAnsi" w:hAnsiTheme="majorHAnsi"/>
                <w:i/>
                <w:iCs/>
                <w:color w:val="D9D9D9"/>
                <w:sz w:val="18"/>
                <w:szCs w:val="18"/>
              </w:rPr>
              <w:t xml:space="preserve">   </w:t>
            </w:r>
          </w:p>
        </w:tc>
      </w:tr>
      <w:tr w:rsidR="002C4D24" w:rsidRPr="00435C4C" w14:paraId="1DCCC3B5" w14:textId="77777777" w:rsidTr="00474E21">
        <w:tc>
          <w:tcPr>
            <w:tcW w:w="103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CA5736" w14:textId="77777777" w:rsidR="00D2202E" w:rsidRDefault="00000000" w:rsidP="00601265">
            <w:pPr>
              <w:rPr>
                <w:rFonts w:asciiTheme="majorHAnsi" w:eastAsiaTheme="majorHAnsi" w:hAnsiTheme="majorHAnsi"/>
                <w:color w:val="000000"/>
                <w:sz w:val="18"/>
                <w:szCs w:val="18"/>
              </w:rPr>
            </w:pPr>
            <w:r w:rsidRPr="00435C4C">
              <w:rPr>
                <w:rFonts w:asciiTheme="majorHAnsi" w:eastAsiaTheme="majorHAnsi" w:hAnsiTheme="majorHAnsi"/>
                <w:color w:val="000000"/>
                <w:sz w:val="18"/>
                <w:szCs w:val="18"/>
              </w:rPr>
              <w:t>우리 조는 PE가 단순히 투자만 하는 조직이 아니라 투자 이후 기업가치를 높이고 회수 전략까지 설계하는 역할이라는 점, 그리고 투자 판단 시 재무뿐 아니라 지배구조와 엑시트 가능성까지 함께 고려한다는 점이 일반적인 주식 투자와의 가장 큰 차이라고 논의했다.</w:t>
            </w:r>
          </w:p>
          <w:p w14:paraId="21063D4A" w14:textId="77777777" w:rsidR="00435C4C" w:rsidRPr="00435C4C" w:rsidRDefault="00435C4C">
            <w:pPr>
              <w:rPr>
                <w:rFonts w:asciiTheme="majorHAnsi" w:eastAsiaTheme="majorHAnsi" w:hAnsiTheme="majorHAnsi"/>
                <w:sz w:val="18"/>
                <w:szCs w:val="18"/>
              </w:rPr>
            </w:pPr>
          </w:p>
          <w:p w14:paraId="26657881" w14:textId="0AFC66DA" w:rsidR="00D2202E" w:rsidRPr="00435C4C" w:rsidRDefault="00000000" w:rsidP="00601265">
            <w:pPr>
              <w:rPr>
                <w:rFonts w:asciiTheme="majorHAnsi" w:eastAsiaTheme="majorHAnsi" w:hAnsiTheme="majorHAnsi"/>
                <w:sz w:val="18"/>
                <w:szCs w:val="18"/>
              </w:rPr>
            </w:pPr>
            <w:r w:rsidRPr="00435C4C">
              <w:rPr>
                <w:rFonts w:asciiTheme="majorHAnsi" w:eastAsiaTheme="majorHAnsi" w:hAnsiTheme="majorHAnsi"/>
                <w:color w:val="000000"/>
                <w:sz w:val="18"/>
                <w:szCs w:val="18"/>
              </w:rPr>
              <w:t>또한 의무 공개매수제도 도입이 PE 투자 전략에 미치는 영향을 토론했다. ① 증권사의 공개매수 수수료 수익 증가 ② 매도인의 소수주주 배려 부담 확대 ③ PE의 집행 한도 내 경영권 지분 확보 난이도 상승 ④ 헤지펀드의 이벤트 드리븐·리스크 아비트라지 전략 확대를 짚었고, 대형 딜일수록 자금 조달 구조와 컨소시엄 설계가 중요해지는 반면 중소형 바이아웃 기회는 상대적으로 축소될 수 있다는 결론에 이르렀다.</w:t>
            </w:r>
            <w:r w:rsidR="00601265">
              <w:rPr>
                <w:rFonts w:asciiTheme="majorHAnsi" w:eastAsiaTheme="majorHAnsi" w:hAnsiTheme="majorHAnsi" w:hint="eastAsia"/>
                <w:sz w:val="18"/>
                <w:szCs w:val="18"/>
              </w:rPr>
              <w:t xml:space="preserve"> </w:t>
            </w:r>
            <w:r w:rsidRPr="00435C4C">
              <w:rPr>
                <w:rFonts w:asciiTheme="majorHAnsi" w:eastAsiaTheme="majorHAnsi" w:hAnsiTheme="majorHAnsi"/>
                <w:color w:val="000000"/>
                <w:sz w:val="18"/>
                <w:szCs w:val="18"/>
              </w:rPr>
              <w:t>마지막으로 VC는 획일화된 방법론이 아니라 각자가 딜을 겪으며 길러온 고유한 인사이트로 움직이는 업이라는 점도 인상 깊었다.</w:t>
            </w:r>
          </w:p>
        </w:tc>
      </w:tr>
    </w:tbl>
    <w:p w14:paraId="537CBE3C" w14:textId="77777777" w:rsidR="002C4D24" w:rsidRDefault="002C4D24">
      <w:pPr>
        <w:spacing w:after="100"/>
        <w:rPr>
          <w:rFonts w:asciiTheme="majorHAnsi" w:eastAsiaTheme="majorHAnsi" w:hAnsiTheme="majorHAnsi"/>
        </w:rPr>
      </w:pP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48"/>
      </w:tblGrid>
      <w:tr w:rsidR="00474E21" w:rsidRPr="00474E21" w14:paraId="18D93502" w14:textId="77777777" w:rsidTr="001877D1">
        <w:tc>
          <w:tcPr>
            <w:tcW w:w="10348" w:type="dxa"/>
            <w:tcBorders>
              <w:top w:val="none" w:sz="0" w:space="0" w:color="FFFFFF"/>
              <w:left w:val="none" w:sz="0" w:space="0" w:color="FFFFFF"/>
              <w:bottom w:val="none" w:sz="0" w:space="0" w:color="FFFFFF"/>
              <w:right w:val="none" w:sz="0" w:space="0" w:color="FFFFFF"/>
            </w:tcBorders>
            <w:shd w:val="clear" w:color="auto" w:fill="404040" w:themeFill="text1" w:themeFillTint="BF"/>
            <w:tcMar>
              <w:top w:w="90" w:type="dxa"/>
              <w:left w:w="140" w:type="dxa"/>
              <w:bottom w:w="90" w:type="dxa"/>
              <w:right w:w="140" w:type="dxa"/>
            </w:tcMar>
          </w:tcPr>
          <w:p w14:paraId="739AE893" w14:textId="77777777" w:rsidR="00474E21" w:rsidRPr="00474E21" w:rsidRDefault="00474E21" w:rsidP="001877D1">
            <w:pPr>
              <w:rPr>
                <w:rFonts w:asciiTheme="majorHAnsi" w:eastAsiaTheme="majorHAnsi" w:hAnsiTheme="majorHAnsi"/>
              </w:rPr>
            </w:pPr>
            <w:r>
              <w:rPr>
                <w:rFonts w:asciiTheme="majorHAnsi" w:eastAsiaTheme="majorHAnsi" w:hAnsiTheme="majorHAnsi" w:hint="eastAsia"/>
                <w:b/>
                <w:bCs/>
                <w:color w:val="FFFFFF"/>
              </w:rPr>
              <w:t>4</w:t>
            </w:r>
            <w:r>
              <w:rPr>
                <w:rFonts w:asciiTheme="majorHAnsi" w:eastAsiaTheme="majorHAnsi" w:hAnsiTheme="majorHAnsi"/>
                <w:b/>
                <w:bCs/>
                <w:color w:val="FFFFFF"/>
              </w:rPr>
              <w:t xml:space="preserve">  </w:t>
            </w:r>
            <w:r>
              <w:rPr>
                <w:rFonts w:asciiTheme="majorHAnsi" w:eastAsiaTheme="majorHAnsi" w:hAnsiTheme="majorHAnsi" w:hint="eastAsia"/>
                <w:b/>
                <w:bCs/>
                <w:color w:val="FFFFFF"/>
              </w:rPr>
              <w:t>강의 세부 내용</w:t>
            </w:r>
            <w:r>
              <w:rPr>
                <w:rFonts w:asciiTheme="majorHAnsi" w:eastAsiaTheme="majorHAnsi" w:hAnsiTheme="majorHAnsi"/>
                <w:i/>
                <w:iCs/>
                <w:color w:val="D9D9D9"/>
                <w:sz w:val="15"/>
                <w:szCs w:val="15"/>
              </w:rPr>
              <w:t xml:space="preserve">   </w:t>
            </w:r>
          </w:p>
        </w:tc>
      </w:tr>
      <w:tr w:rsidR="00474E21" w:rsidRPr="00435C4C" w14:paraId="1E1D2525" w14:textId="77777777" w:rsidTr="001877D1">
        <w:tc>
          <w:tcPr>
            <w:tcW w:w="10348"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D34CE4"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1. 운용사 개요 및 구조</w:t>
            </w:r>
          </w:p>
          <w:p w14:paraId="4839A563" w14:textId="77777777" w:rsidR="00D2202E" w:rsidRPr="00435C4C" w:rsidRDefault="00000000">
            <w:pPr>
              <w:rPr>
                <w:rFonts w:asciiTheme="majorHAnsi" w:eastAsiaTheme="majorHAnsi" w:hAnsiTheme="majorHAnsi"/>
                <w:i/>
                <w:iCs/>
                <w:color w:val="999999"/>
                <w:sz w:val="18"/>
                <w:szCs w:val="18"/>
              </w:rPr>
            </w:pPr>
            <w:r w:rsidRPr="00435C4C">
              <w:rPr>
                <w:color w:val="000000"/>
                <w:sz w:val="18"/>
                <w:szCs w:val="18"/>
              </w:rPr>
              <w:t>PE 부문 약 7.7조 원과 크레딧앤솔루션(CS) 약 3.1조 원, 총 약 10조 원을 운용하며 상위에 홀딩스 조직을 둔다. 인력은 PE 약 50명, CS 14명(투자 주니어 4명 포함)이다. 주요 포트폴리오는 펫프렌즈·하나투어·한샘·미샤(에이블씨엔씨)·코비트·에어퍼스트·ETK·현대렌탈 등이며, 한샘·미샤는 현재 어려운 상황임을 인정했다. CS는 배터리 섹터 펀드, 장기 캐피탈, PIPE, 해외 전략 등을 함께 운용한다. 운용 철학은 4S(수익 창출·사회적 책임·프로페셔널리즘·이해관계자 신뢰)이며, 투심위는 이를 근거로 ESG의 장기 리스크화 여부를 반드시 검토한다.</w:t>
            </w:r>
          </w:p>
          <w:p w14:paraId="668AA9A5" w14:textId="77777777" w:rsidR="00D2202E" w:rsidRPr="00435C4C" w:rsidRDefault="00D2202E">
            <w:pPr>
              <w:rPr>
                <w:rFonts w:asciiTheme="majorHAnsi" w:eastAsiaTheme="majorHAnsi" w:hAnsiTheme="majorHAnsi"/>
                <w:i/>
                <w:iCs/>
                <w:color w:val="999999"/>
                <w:sz w:val="18"/>
                <w:szCs w:val="18"/>
              </w:rPr>
            </w:pPr>
          </w:p>
          <w:p w14:paraId="709B013F"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2. 투자 프로세스</w:t>
            </w:r>
          </w:p>
          <w:p w14:paraId="058BB3B8" w14:textId="77777777" w:rsidR="00D2202E" w:rsidRPr="00435C4C" w:rsidRDefault="00000000">
            <w:pPr>
              <w:rPr>
                <w:rFonts w:asciiTheme="majorHAnsi" w:eastAsiaTheme="majorHAnsi" w:hAnsiTheme="majorHAnsi"/>
                <w:i/>
                <w:iCs/>
                <w:color w:val="999999"/>
                <w:sz w:val="18"/>
                <w:szCs w:val="18"/>
              </w:rPr>
            </w:pPr>
            <w:r w:rsidRPr="00435C4C">
              <w:rPr>
                <w:color w:val="000000"/>
                <w:sz w:val="18"/>
                <w:szCs w:val="18"/>
              </w:rPr>
              <w:t>딜 소싱 → MOU → 퀵 리뷰 → 프리 IC → 리스크관리위 → 1차 투심위 → 실사(DD) → 실사 보고 → 2차 투심위 → 투자 집행 → 포트폴리오 관리 → 엑시트 순으로 진행된다. 딜 소싱은 시니어(대표·본부장)의 기업 관계에서 포착하며, PE는 M&amp;A 시장의 솔루션 제공자로 자리매김한다. 1차 투심위는 만장일치제로, 통과해야 재무·법률·상업·운영·세무 자문사 선임과 본격 실사가 시작된다. 실사에서는 아웃사이드-인 분석을 인사이드-아웃으로 검증하고, 주니어는 자문사가 방향을 이탈하지 않도록 프로젝트 매니징을 담당한다. 2차 투심위에서 딜 구조·조건·파이낸싱을 확정하며, 이 단계에 도달하면 집행 가능성은 75% 이상이다.</w:t>
            </w:r>
          </w:p>
          <w:p w14:paraId="5B7A47A0" w14:textId="77777777" w:rsidR="00D2202E" w:rsidRPr="00435C4C" w:rsidRDefault="00D2202E">
            <w:pPr>
              <w:rPr>
                <w:rFonts w:asciiTheme="majorHAnsi" w:eastAsiaTheme="majorHAnsi" w:hAnsiTheme="majorHAnsi"/>
                <w:i/>
                <w:iCs/>
                <w:color w:val="999999"/>
                <w:sz w:val="18"/>
                <w:szCs w:val="18"/>
              </w:rPr>
            </w:pPr>
          </w:p>
          <w:p w14:paraId="7D1A9E49"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3. 밸류에이션 철학</w:t>
            </w:r>
          </w:p>
          <w:p w14:paraId="01375C92" w14:textId="77777777" w:rsidR="00D2202E" w:rsidRPr="00435C4C" w:rsidRDefault="00000000">
            <w:pPr>
              <w:rPr>
                <w:rFonts w:asciiTheme="majorHAnsi" w:eastAsiaTheme="majorHAnsi" w:hAnsiTheme="majorHAnsi"/>
                <w:i/>
                <w:iCs/>
                <w:color w:val="999999"/>
                <w:sz w:val="18"/>
                <w:szCs w:val="18"/>
              </w:rPr>
            </w:pPr>
            <w:r w:rsidRPr="00435C4C">
              <w:rPr>
                <w:color w:val="000000"/>
                <w:sz w:val="18"/>
                <w:szCs w:val="18"/>
              </w:rPr>
              <w:t>밸류에이션의 목적은 정확한 수치 산출이 아니라 협상에서 상대 논리를 압도하는 것이다. 상대가치평가(멀티플)와 DCF 중 절대 정답은 없으며, 자산을 가장 비싸게 팔거나 싸게 살 수 있는 방식이 곧 맞는 방식이다. 모델링의 목적은 복잡성이 아니라 회사의 본질을 정확히 담는 것이며, 투심위 현장에서 ‘EBITDA가 변하면 IRR이 어떻게 되는가’ 같은 시나리오 질문에 즉각 구두로 답할 수 있어야 한다. Best/Base/Worst 시나리오로 매출·이익·현금흐름을 예측해 예상 수익률을 검토하고, CS는 특히 둠스데이 시나리오(회사가 망한다는 가정하 원금 회수 가능성)를 항상 우선 검토한다.</w:t>
            </w:r>
          </w:p>
          <w:p w14:paraId="43E6FEDE" w14:textId="77777777" w:rsidR="00D2202E" w:rsidRPr="00435C4C" w:rsidRDefault="00D2202E">
            <w:pPr>
              <w:rPr>
                <w:rFonts w:asciiTheme="majorHAnsi" w:eastAsiaTheme="majorHAnsi" w:hAnsiTheme="majorHAnsi"/>
                <w:i/>
                <w:iCs/>
                <w:color w:val="999999"/>
                <w:sz w:val="18"/>
                <w:szCs w:val="18"/>
              </w:rPr>
            </w:pPr>
          </w:p>
          <w:p w14:paraId="0FCC5C79"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4. 바이아웃 vs 마이너리티/크레딧 투자</w:t>
            </w:r>
          </w:p>
          <w:p w14:paraId="2E045A63" w14:textId="77777777" w:rsidR="00D2202E" w:rsidRPr="00435C4C" w:rsidRDefault="00000000">
            <w:pPr>
              <w:rPr>
                <w:rFonts w:asciiTheme="majorHAnsi" w:eastAsiaTheme="majorHAnsi" w:hAnsiTheme="majorHAnsi"/>
                <w:i/>
                <w:iCs/>
                <w:color w:val="999999"/>
                <w:sz w:val="18"/>
                <w:szCs w:val="18"/>
              </w:rPr>
            </w:pPr>
            <w:r w:rsidRPr="00435C4C">
              <w:rPr>
                <w:color w:val="000000"/>
                <w:sz w:val="18"/>
                <w:szCs w:val="18"/>
              </w:rPr>
              <w:t>바이아웃은 경영권을 보유해 CEO 교체·구조조정·볼트온 M&amp;A·자본 재조정 등 적극적 밸류 크리에이션이 가능하다. 검토 단계부터 Ops 그룹과 운영 개선 시나리오를 세우되, 이를 베이스 케이스에 반영하면 비싸게 사는 결과가 되므로 보수적 관점을 유지한다. 마이너리티/크레딧은 경영권이 없어 직접 개입이 불가능하고 최후 수단이 소송·회생이므로 주주간계약이 핵심이다. 엑시트 방법(바이백·동반매각권 등)과 하드 스톱 조항을 사전 설계하고, 재무 자문·포트폴리오 간 정보 공유(예: 조선소-해운사) 같은 간접적 가치 기여가 주 역할이다. Value Creation의 핵심 수단은 매출 확대·비용 절감·신규 사업 추진이다.</w:t>
            </w:r>
          </w:p>
          <w:p w14:paraId="780C45ED" w14:textId="77777777" w:rsidR="00D2202E" w:rsidRPr="00435C4C" w:rsidRDefault="00D2202E">
            <w:pPr>
              <w:rPr>
                <w:rFonts w:asciiTheme="majorHAnsi" w:eastAsiaTheme="majorHAnsi" w:hAnsiTheme="majorHAnsi"/>
                <w:i/>
                <w:iCs/>
                <w:color w:val="999999"/>
                <w:sz w:val="18"/>
                <w:szCs w:val="18"/>
              </w:rPr>
            </w:pPr>
          </w:p>
          <w:p w14:paraId="09E39D9F"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5. 케이스 스터디 — 아워홈 딜</w:t>
            </w:r>
          </w:p>
          <w:p w14:paraId="1BD1EAF6" w14:textId="77777777" w:rsidR="00A04372" w:rsidRDefault="00000000">
            <w:pPr>
              <w:rPr>
                <w:color w:val="000000"/>
                <w:sz w:val="18"/>
                <w:szCs w:val="18"/>
              </w:rPr>
            </w:pPr>
            <w:r w:rsidRPr="00435C4C">
              <w:rPr>
                <w:color w:val="000000"/>
                <w:sz w:val="18"/>
                <w:szCs w:val="18"/>
              </w:rPr>
              <w:t xml:space="preserve">한화 김동선 사장이 분할 신설법인(테크·라이프)의 F&amp;B 플랫폼 강화를 위해 아워홈 인수를 추진한 실제 딜이다. 아워홈은 구씨 </w:t>
            </w:r>
            <w:r w:rsidRPr="00435C4C">
              <w:rPr>
                <w:color w:val="000000"/>
                <w:sz w:val="18"/>
                <w:szCs w:val="18"/>
              </w:rPr>
              <w:lastRenderedPageBreak/>
              <w:t xml:space="preserve">일가 4남매의 경영권 분쟁 상태(장남 약 40% vs 세 자매 각 약 20%)였고, 한화는 장남·차녀 지분을 인수했다. </w:t>
            </w:r>
          </w:p>
          <w:p w14:paraId="4303CD65" w14:textId="77777777" w:rsidR="00A04372" w:rsidRDefault="00000000">
            <w:pPr>
              <w:rPr>
                <w:color w:val="000000"/>
                <w:sz w:val="18"/>
                <w:szCs w:val="18"/>
              </w:rPr>
            </w:pPr>
            <w:r w:rsidRPr="00435C4C">
              <w:rPr>
                <w:color w:val="000000"/>
                <w:sz w:val="18"/>
                <w:szCs w:val="18"/>
              </w:rPr>
              <w:t xml:space="preserve">당초 </w:t>
            </w:r>
            <w:proofErr w:type="spellStart"/>
            <w:r w:rsidRPr="00435C4C">
              <w:rPr>
                <w:color w:val="000000"/>
                <w:sz w:val="18"/>
                <w:szCs w:val="18"/>
              </w:rPr>
              <w:t>한화호텔앤드리조트</w:t>
            </w:r>
            <w:proofErr w:type="spellEnd"/>
            <w:r w:rsidRPr="00435C4C">
              <w:rPr>
                <w:color w:val="000000"/>
                <w:sz w:val="18"/>
                <w:szCs w:val="18"/>
              </w:rPr>
              <w:t xml:space="preserve">·한화비전·ICS가 각 2,500억 원씩 총 7,500억 원 구조였으나, 한화비전이 국회 지적(CCTV 업체의 급식업체 인수 부적절)으로 이탈해 우리은행 2,500억 + ICS 2,500억 + 한화호텔앤드리조트 2,500억으로 재편됐다. ICS는 자체 차입 400억 + LP 별도 모집 1,100억 + 기존 펀드 1,000억으로 2,500억 원을 조달했다. 진행 과정에서 삼·사녀의 언론 공세로 헤드라인 리스크가 발생해 LP 우려에 대응해야 했고, 공정위 기업결합 신고 지연(정권 교체기)으로 캐피탈 콜을 취소 후 재발행했으며, 베트남 사업장 기업결합 미승인으로 클로징 직전 위기를 맞았으나 베트남 주6일제 덕에 토요일 승인을 받아 월요일(5/15) 클로징에 성공했다. </w:t>
            </w:r>
          </w:p>
          <w:p w14:paraId="7C228E70" w14:textId="5F2FACC4" w:rsidR="00D2202E" w:rsidRPr="00435C4C" w:rsidRDefault="00000000">
            <w:pPr>
              <w:rPr>
                <w:rFonts w:asciiTheme="majorHAnsi" w:eastAsiaTheme="majorHAnsi" w:hAnsiTheme="majorHAnsi"/>
                <w:i/>
                <w:iCs/>
                <w:color w:val="999999"/>
                <w:sz w:val="18"/>
                <w:szCs w:val="18"/>
              </w:rPr>
            </w:pPr>
            <w:proofErr w:type="spellStart"/>
            <w:r w:rsidRPr="00435C4C">
              <w:rPr>
                <w:color w:val="000000"/>
                <w:sz w:val="18"/>
                <w:szCs w:val="18"/>
              </w:rPr>
              <w:t>클로징</w:t>
            </w:r>
            <w:proofErr w:type="spellEnd"/>
            <w:r w:rsidRPr="00435C4C">
              <w:rPr>
                <w:color w:val="000000"/>
                <w:sz w:val="18"/>
                <w:szCs w:val="18"/>
              </w:rPr>
              <w:t xml:space="preserve"> 후 주총·이사회를 통해 경영진 교체를 완료했고, 현재 연 20% 성장 중인 건실한 회사로 운영되고 있다. 지배구조 이슈·경영권 분쟁·자금조달·기업결합심사 같은 변수를 검토하고 해결하는 과정 자체가 PE의 핵심 역할임을 보여주는 사례였다.</w:t>
            </w:r>
          </w:p>
          <w:p w14:paraId="54BF48EF" w14:textId="77777777" w:rsidR="00D2202E" w:rsidRPr="00435C4C" w:rsidRDefault="00D2202E">
            <w:pPr>
              <w:rPr>
                <w:rFonts w:asciiTheme="majorHAnsi" w:eastAsiaTheme="majorHAnsi" w:hAnsiTheme="majorHAnsi"/>
                <w:i/>
                <w:iCs/>
                <w:color w:val="999999"/>
                <w:sz w:val="18"/>
                <w:szCs w:val="18"/>
              </w:rPr>
            </w:pPr>
          </w:p>
          <w:p w14:paraId="495DE88B"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6. VC 업계의 변화와 한국 시장</w:t>
            </w:r>
          </w:p>
          <w:p w14:paraId="7A003FF9" w14:textId="77777777" w:rsidR="00A04372" w:rsidRDefault="00000000">
            <w:pPr>
              <w:rPr>
                <w:color w:val="000000"/>
                <w:sz w:val="18"/>
                <w:szCs w:val="18"/>
              </w:rPr>
            </w:pPr>
            <w:r w:rsidRPr="00435C4C">
              <w:rPr>
                <w:color w:val="000000"/>
                <w:sz w:val="18"/>
                <w:szCs w:val="18"/>
              </w:rPr>
              <w:t xml:space="preserve">과거 VC가 인맥을 가진 시니어 중심으로 창업가를 성장시키는 구조였다면, 현재는 시장 규모가 커지고 모바일 창업으로 엑시트한 창업가 출신들이 유입되며 방식 자체가 달라지고 있다. 산업의 존재 이유·역사·경쟁 구도를 먼저 분석하는 산업 이해가 무엇보다 중요하며, 현장에서는 이미 Claude 등 AI 도구를 산업 리서치에 적극 활용하고 있다. </w:t>
            </w:r>
          </w:p>
          <w:p w14:paraId="32AEEFAB" w14:textId="03EB6EA4" w:rsidR="00D2202E" w:rsidRPr="00435C4C" w:rsidRDefault="00000000">
            <w:pPr>
              <w:rPr>
                <w:rFonts w:asciiTheme="majorHAnsi" w:eastAsiaTheme="majorHAnsi" w:hAnsiTheme="majorHAnsi"/>
                <w:i/>
                <w:iCs/>
                <w:color w:val="999999"/>
                <w:sz w:val="18"/>
                <w:szCs w:val="18"/>
              </w:rPr>
            </w:pPr>
            <w:r w:rsidRPr="00435C4C">
              <w:rPr>
                <w:color w:val="000000"/>
                <w:sz w:val="18"/>
                <w:szCs w:val="18"/>
              </w:rPr>
              <w:t xml:space="preserve">한국은 </w:t>
            </w:r>
            <w:proofErr w:type="spellStart"/>
            <w:r w:rsidRPr="00435C4C">
              <w:rPr>
                <w:color w:val="000000"/>
                <w:sz w:val="18"/>
                <w:szCs w:val="18"/>
              </w:rPr>
              <w:t>엔터</w:t>
            </w:r>
            <w:proofErr w:type="spellEnd"/>
            <w:r w:rsidRPr="00435C4C">
              <w:rPr>
                <w:color w:val="000000"/>
                <w:sz w:val="18"/>
                <w:szCs w:val="18"/>
              </w:rPr>
              <w:t>·제조업처럼 강점이 드러난 산업에 주목하는 것이 좋지만, 본인조차 미래를 확신할 수 없다며 ‘지금 드러난 정보로 예측하는 것이 고작’이라고 틀릴 가능성을 인정했다. 매크로·산업 뉴스를 자주 접하고 그 뉴스가 어떤 영향을 줄지 스스로 생각해보는 습관을 권했다.</w:t>
            </w:r>
          </w:p>
          <w:p w14:paraId="7C2D3E6C" w14:textId="77777777" w:rsidR="00D2202E" w:rsidRPr="00435C4C" w:rsidRDefault="00D2202E">
            <w:pPr>
              <w:rPr>
                <w:rFonts w:asciiTheme="majorHAnsi" w:eastAsiaTheme="majorHAnsi" w:hAnsiTheme="majorHAnsi"/>
                <w:i/>
                <w:iCs/>
                <w:color w:val="999999"/>
                <w:sz w:val="18"/>
                <w:szCs w:val="18"/>
              </w:rPr>
            </w:pPr>
          </w:p>
          <w:p w14:paraId="6EC0A420" w14:textId="77777777" w:rsidR="00D2202E" w:rsidRPr="00435C4C" w:rsidRDefault="00000000">
            <w:pPr>
              <w:rPr>
                <w:rFonts w:asciiTheme="majorHAnsi" w:eastAsiaTheme="majorHAnsi" w:hAnsiTheme="majorHAnsi"/>
                <w:i/>
                <w:iCs/>
                <w:color w:val="999999"/>
                <w:sz w:val="18"/>
                <w:szCs w:val="18"/>
              </w:rPr>
            </w:pPr>
            <w:r w:rsidRPr="00435C4C">
              <w:rPr>
                <w:b/>
                <w:color w:val="000000"/>
                <w:sz w:val="18"/>
                <w:szCs w:val="18"/>
              </w:rPr>
              <w:t>7. Q&amp;A 및 커리어 시사점</w:t>
            </w:r>
          </w:p>
          <w:p w14:paraId="6D43F4AD" w14:textId="77777777" w:rsidR="00A04372" w:rsidRDefault="00000000">
            <w:pPr>
              <w:rPr>
                <w:color w:val="000000"/>
                <w:sz w:val="18"/>
                <w:szCs w:val="18"/>
              </w:rPr>
            </w:pPr>
            <w:r w:rsidRPr="00435C4C">
              <w:rPr>
                <w:color w:val="000000"/>
                <w:sz w:val="18"/>
                <w:szCs w:val="18"/>
              </w:rPr>
              <w:t xml:space="preserve">바이아웃은 이사회·경영위원회로 방향을 지시하고 필요 시 임직원을 대표로 파견하지만, 마이너리티는 계약 조항으로 보호할 뿐 실적 악화 자체를 계약으로 막기는 어렵다. 메가박스 딜은 담보 자산 부재, 최대주주(중앙 계열)의 재무 불안정 등으로 진행하지 않았고, 포트폴리오 간 시너지보다는 이해상충 배제와 IRR 극대화를 기준으로 판단한다. </w:t>
            </w:r>
          </w:p>
          <w:p w14:paraId="3CA0E25B" w14:textId="77777777" w:rsidR="00D2202E" w:rsidRDefault="00000000">
            <w:pPr>
              <w:rPr>
                <w:color w:val="000000"/>
                <w:sz w:val="18"/>
                <w:szCs w:val="18"/>
              </w:rPr>
            </w:pPr>
            <w:r w:rsidRPr="00435C4C">
              <w:rPr>
                <w:color w:val="000000"/>
                <w:sz w:val="18"/>
                <w:szCs w:val="18"/>
              </w:rPr>
              <w:t>PE 업무는 투자심사 10%·딜소싱 20%·세일즈/IR 30%·포트폴리오 관리 30%로 구성되어 단순 투자분석을 넘어선 종합 프로젝트 매니징 역량이 요구되며, 신입 진입은 어렵지만 기회가 오면 도전할 것을 권했다. VC 대비 하드 스킬 습득 기회가 많다는 점도 강조했고, 스트레스 관리로는 초기 7년간 일과 자아를 동일시하되 이후 취미·가정 등 ‘부캐’로 분리하는 전략을 제안했다.</w:t>
            </w:r>
          </w:p>
          <w:p w14:paraId="6F65593B" w14:textId="76A32EB6" w:rsidR="00A04372" w:rsidRPr="00435C4C" w:rsidRDefault="00A04372">
            <w:pPr>
              <w:rPr>
                <w:rFonts w:asciiTheme="majorHAnsi" w:eastAsiaTheme="majorHAnsi" w:hAnsiTheme="majorHAnsi"/>
                <w:i/>
                <w:iCs/>
                <w:color w:val="999999"/>
                <w:sz w:val="18"/>
                <w:szCs w:val="18"/>
              </w:rPr>
            </w:pPr>
          </w:p>
        </w:tc>
      </w:tr>
    </w:tbl>
    <w:p w14:paraId="5F26C7E5" w14:textId="099BAA43" w:rsidR="002C4D24" w:rsidRPr="00474E21" w:rsidRDefault="002C4D24" w:rsidP="00435C4C">
      <w:pPr>
        <w:spacing w:before="220"/>
        <w:rPr>
          <w:rFonts w:asciiTheme="majorHAnsi" w:eastAsiaTheme="majorHAnsi" w:hAnsiTheme="majorHAnsi" w:hint="eastAsia"/>
        </w:rPr>
      </w:pPr>
    </w:p>
    <w:sectPr w:rsidR="002C4D24" w:rsidRPr="00474E21">
      <w:pgSz w:w="12240" w:h="15840"/>
      <w:pgMar w:top="680" w:right="900" w:bottom="6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885C" w14:textId="77777777" w:rsidR="00863271" w:rsidRDefault="00863271" w:rsidP="00474E21">
      <w:r>
        <w:separator/>
      </w:r>
    </w:p>
  </w:endnote>
  <w:endnote w:type="continuationSeparator" w:id="0">
    <w:p w14:paraId="004B3100" w14:textId="77777777" w:rsidR="00863271" w:rsidRDefault="00863271" w:rsidP="00474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1B39" w14:textId="77777777" w:rsidR="00863271" w:rsidRDefault="00863271" w:rsidP="00474E21">
      <w:r>
        <w:separator/>
      </w:r>
    </w:p>
  </w:footnote>
  <w:footnote w:type="continuationSeparator" w:id="0">
    <w:p w14:paraId="17DDE3AF" w14:textId="77777777" w:rsidR="00863271" w:rsidRDefault="00863271" w:rsidP="00474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B5620"/>
    <w:multiLevelType w:val="hybridMultilevel"/>
    <w:tmpl w:val="BBAC65D6"/>
    <w:lvl w:ilvl="0" w:tplc="38F0AEF0">
      <w:start w:val="1"/>
      <w:numFmt w:val="decimal"/>
      <w:lvlText w:val="%1)"/>
      <w:lvlJc w:val="left"/>
      <w:pPr>
        <w:ind w:left="502" w:hanging="360"/>
      </w:pPr>
      <w:rPr>
        <w:rFonts w:hint="default"/>
        <w:color w:val="000000"/>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1" w15:restartNumberingAfterBreak="0">
    <w:nsid w:val="3E922E78"/>
    <w:multiLevelType w:val="hybridMultilevel"/>
    <w:tmpl w:val="FC40B79E"/>
    <w:lvl w:ilvl="0" w:tplc="C2F6E34E">
      <w:start w:val="1"/>
      <w:numFmt w:val="bullet"/>
      <w:lvlText w:val="●"/>
      <w:lvlJc w:val="left"/>
      <w:pPr>
        <w:ind w:left="720" w:hanging="360"/>
      </w:pPr>
    </w:lvl>
    <w:lvl w:ilvl="1" w:tplc="D8CCAF9E">
      <w:start w:val="1"/>
      <w:numFmt w:val="bullet"/>
      <w:lvlText w:val="○"/>
      <w:lvlJc w:val="left"/>
      <w:pPr>
        <w:ind w:left="1440" w:hanging="360"/>
      </w:pPr>
    </w:lvl>
    <w:lvl w:ilvl="2" w:tplc="BAD87D72">
      <w:start w:val="1"/>
      <w:numFmt w:val="bullet"/>
      <w:lvlText w:val="■"/>
      <w:lvlJc w:val="left"/>
      <w:pPr>
        <w:ind w:left="2160" w:hanging="360"/>
      </w:pPr>
    </w:lvl>
    <w:lvl w:ilvl="3" w:tplc="F9AAB3E0">
      <w:start w:val="1"/>
      <w:numFmt w:val="bullet"/>
      <w:lvlText w:val="●"/>
      <w:lvlJc w:val="left"/>
      <w:pPr>
        <w:ind w:left="2880" w:hanging="360"/>
      </w:pPr>
    </w:lvl>
    <w:lvl w:ilvl="4" w:tplc="4A12E864">
      <w:start w:val="1"/>
      <w:numFmt w:val="bullet"/>
      <w:lvlText w:val="○"/>
      <w:lvlJc w:val="left"/>
      <w:pPr>
        <w:ind w:left="3600" w:hanging="360"/>
      </w:pPr>
    </w:lvl>
    <w:lvl w:ilvl="5" w:tplc="D64EF75A">
      <w:start w:val="1"/>
      <w:numFmt w:val="bullet"/>
      <w:lvlText w:val="■"/>
      <w:lvlJc w:val="left"/>
      <w:pPr>
        <w:ind w:left="4320" w:hanging="360"/>
      </w:pPr>
    </w:lvl>
    <w:lvl w:ilvl="6" w:tplc="D0FCE15E">
      <w:start w:val="1"/>
      <w:numFmt w:val="bullet"/>
      <w:lvlText w:val="●"/>
      <w:lvlJc w:val="left"/>
      <w:pPr>
        <w:ind w:left="5040" w:hanging="360"/>
      </w:pPr>
    </w:lvl>
    <w:lvl w:ilvl="7" w:tplc="8814ECB6">
      <w:start w:val="1"/>
      <w:numFmt w:val="bullet"/>
      <w:lvlText w:val="●"/>
      <w:lvlJc w:val="left"/>
      <w:pPr>
        <w:ind w:left="5760" w:hanging="360"/>
      </w:pPr>
    </w:lvl>
    <w:lvl w:ilvl="8" w:tplc="A33A9106">
      <w:start w:val="1"/>
      <w:numFmt w:val="bullet"/>
      <w:lvlText w:val="●"/>
      <w:lvlJc w:val="left"/>
      <w:pPr>
        <w:ind w:left="6480" w:hanging="360"/>
      </w:pPr>
    </w:lvl>
  </w:abstractNum>
  <w:num w:numId="1" w16cid:durableId="716316477">
    <w:abstractNumId w:val="1"/>
    <w:lvlOverride w:ilvl="0">
      <w:startOverride w:val="1"/>
    </w:lvlOverride>
  </w:num>
  <w:num w:numId="2" w16cid:durableId="30731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24"/>
    <w:rsid w:val="000071A1"/>
    <w:rsid w:val="0005599C"/>
    <w:rsid w:val="001A0139"/>
    <w:rsid w:val="0025775E"/>
    <w:rsid w:val="002C10AF"/>
    <w:rsid w:val="002C4D24"/>
    <w:rsid w:val="00376694"/>
    <w:rsid w:val="00435C4C"/>
    <w:rsid w:val="00474E21"/>
    <w:rsid w:val="00601265"/>
    <w:rsid w:val="006B3D7E"/>
    <w:rsid w:val="006E2B80"/>
    <w:rsid w:val="00863271"/>
    <w:rsid w:val="009214B5"/>
    <w:rsid w:val="00A04372"/>
    <w:rsid w:val="00D220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31313"/>
  <w15:docId w15:val="{A2809975-6357-4677-A475-8C344204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74E21"/>
    <w:pPr>
      <w:tabs>
        <w:tab w:val="center" w:pos="4513"/>
        <w:tab w:val="right" w:pos="9026"/>
      </w:tabs>
      <w:snapToGrid w:val="0"/>
    </w:pPr>
  </w:style>
  <w:style w:type="character" w:customStyle="1" w:styleId="Char1">
    <w:name w:val="머리글 Char"/>
    <w:basedOn w:val="a0"/>
    <w:link w:val="aa"/>
    <w:uiPriority w:val="99"/>
    <w:rsid w:val="00474E21"/>
  </w:style>
  <w:style w:type="paragraph" w:styleId="ab">
    <w:name w:val="footer"/>
    <w:basedOn w:val="a"/>
    <w:link w:val="Char2"/>
    <w:uiPriority w:val="99"/>
    <w:unhideWhenUsed/>
    <w:rsid w:val="00474E21"/>
    <w:pPr>
      <w:tabs>
        <w:tab w:val="center" w:pos="4513"/>
        <w:tab w:val="right" w:pos="9026"/>
      </w:tabs>
      <w:snapToGrid w:val="0"/>
    </w:pPr>
  </w:style>
  <w:style w:type="character" w:customStyle="1" w:styleId="Char2">
    <w:name w:val="바닥글 Char"/>
    <w:basedOn w:val="a0"/>
    <w:link w:val="ab"/>
    <w:uiPriority w:val="99"/>
    <w:rsid w:val="00474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CHOEJI UNG</cp:lastModifiedBy>
  <cp:revision>5</cp:revision>
  <dcterms:created xsi:type="dcterms:W3CDTF">2026-07-06T05:35:00Z</dcterms:created>
  <dcterms:modified xsi:type="dcterms:W3CDTF">2026-07-28T07:21:00Z</dcterms:modified>
</cp:coreProperties>
</file>