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Prediction- (WP2) and intervention-arm (WP4) connection protocol: definition of risk group at stage of child delivery</w:t>
      </w:r>
    </w:p>
    <w:p>
      <w:pPr>
        <w:pStyle w:val="Author"/>
      </w:pPr>
      <w:r>
        <w:t xml:space="preserve">Hjalte Mikkelsen</w:t>
      </w:r>
    </w:p>
    <w:p>
      <w:pPr>
        <w:pStyle w:val="Author"/>
      </w:pPr>
      <w:r>
        <w:t xml:space="preserve">Jonas Rosborg Schaarup</w:t>
      </w:r>
    </w:p>
    <w:p>
      <w:pPr>
        <w:pStyle w:val="Author"/>
      </w:pPr>
      <w:r>
        <w:t xml:space="preserve">Elpida Vounzoulaki</w:t>
      </w:r>
    </w:p>
    <w:p>
      <w:pPr>
        <w:pStyle w:val="Author"/>
      </w:pPr>
      <w:r>
        <w:t xml:space="preserve">Ulla Kampmann</w:t>
      </w:r>
    </w:p>
    <w:p>
      <w:pPr>
        <w:pStyle w:val="Author"/>
      </w:pPr>
      <w:r>
        <w:t xml:space="preserve">Daniel R. Witte</w:t>
      </w:r>
    </w:p>
    <w:p>
      <w:pPr>
        <w:pStyle w:val="Author"/>
      </w:pPr>
      <w:r>
        <w:t xml:space="preserve">Thomas Gerds</w:t>
      </w:r>
    </w:p>
    <w:p>
      <w:pPr>
        <w:pStyle w:val="Author"/>
      </w:pPr>
      <w:r>
        <w:t xml:space="preserve">Karoline Kragelund Nielsen</w:t>
      </w:r>
    </w:p>
    <w:p>
      <w:pPr>
        <w:pStyle w:val="Author"/>
      </w:pPr>
      <w:r>
        <w:t xml:space="preserve">Stine Byberg</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study-information"/>
    <w:p>
      <w:pPr>
        <w:pStyle w:val="Heading2"/>
      </w:pPr>
      <w:r>
        <w:t xml:space="preserve">1 Study information</w:t>
      </w:r>
    </w:p>
    <w:bookmarkStart w:id="9" w:name="title"/>
    <w:p>
      <w:pPr>
        <w:pStyle w:val="Heading3"/>
      </w:pPr>
      <w:r>
        <w:t xml:space="preserve">1.1 Title</w:t>
      </w:r>
    </w:p>
    <w:p>
      <w:pPr>
        <w:pStyle w:val="FirstParagraph"/>
      </w:pPr>
      <w:r>
        <w:t xml:space="preserve">Prediction- (WP2) and intervention-arm (WP4) connection protocol: definition of risk group at stage of child delivery</w:t>
      </w:r>
    </w:p>
    <w:bookmarkEnd w:id="9"/>
    <w:bookmarkStart w:id="10" w:name="description"/>
    <w:p>
      <w:pPr>
        <w:pStyle w:val="Heading3"/>
      </w:pPr>
      <w:r>
        <w:t xml:space="preserve">1.2 Description</w:t>
      </w:r>
    </w:p>
    <w:p>
      <w:pPr>
        <w:pStyle w:val="FirstParagraph"/>
      </w:pPr>
      <w:r>
        <w:t xml:space="preserve">Globally, the prevalence of type 2 diabetes (T2D) is rising rapidly, contributing to reduced life expectancy, lower quality of life, and increased healthcare expenditure. In recent years, the development of T2D has increased at alarming rates particularly among younger ages, with epigenetic effects and prenatal exposures being critical determinants.</w:t>
      </w:r>
      <w:r>
        <w:t xml:space="preserve"> </w:t>
      </w:r>
      <w:r>
        <w:t xml:space="preserve">Pregnancy represents a period of metabolic vulnerability due to the occurring physiological changes, where underappreciated cardiometabolic risks can impact long-term maternal health and fuel the intergenerational transmission of obesity and diabetes. Various adverse pregnancy outcomes have been shown to be associated with increased long-term risk of maternal and child cardiometabolic conditions. Gestational diabetes (GDM) is one of the most common of such complications, affecting around 6% of deliveries in Denmark. Despite being historically recognized as a transient condition, GDM is now established as an early marker of cardiometabolic disease, being associated with a near tenfold higher risk of future T2D, as well as cardiovascular disease, hypertension, and depression.</w:t>
      </w:r>
      <w:r>
        <w:br/>
      </w:r>
      <w:r>
        <w:t xml:space="preserve">Children of women with GDM, as well as pre-pregnancy obesity, and increased gestational weight gain also have higher rates of obesity, cardiovascular and cardiometabolic complications later in life, and it is suggested that the impact of maternal obesity on childhood obesity is independent of glycemic status.</w:t>
      </w:r>
    </w:p>
    <w:p>
      <w:pPr>
        <w:pStyle w:val="BodyText"/>
      </w:pPr>
      <w:r>
        <w:t xml:space="preserve">In Denmark, currently used diagnostic criteria for GDM apply a very high threshold, while they solely rely on a 2h plasma glucose value for GDM diagnosis. Therefore, it is expected that many women who do not meet this diagnostic threshold are still at elevated risk of reoccurring GDM in a subsequent pregnancy and at elevated risk of T2D later in life. Furthermore, there is a general impression that pregnancies and the family formation stage are time points in the life course when women and their families are more receptive to health messages and behavior changes.</w:t>
      </w:r>
    </w:p>
    <w:p>
      <w:pPr>
        <w:pStyle w:val="BodyText"/>
      </w:pPr>
      <w:r>
        <w:t xml:space="preserve">To date, the majority of literature exploring prevention strategies for T2D focuses on prevention at the time when some degree of glucose intolerance is already established. Recent evidence has highlighted the need to shift perceptions by redesigning screening and intervention approaches to follow a life course approach, instead of anticipating abnormal glucose values to present. In this context, the work in DP-Next intervention-arm (WP4) will be focused on reducing the risk of diabetes in women who have recently given birth and their families. To identify women at higher risk who will benefit from the intervention will be based on connecting work with DP-Next prediction-arm (WP2).</w:t>
      </w:r>
    </w:p>
    <w:bookmarkEnd w:id="10"/>
    <w:bookmarkEnd w:id="11"/>
    <w:bookmarkStart w:id="13" w:name="objectives-and-hypotheses"/>
    <w:p>
      <w:pPr>
        <w:pStyle w:val="Heading2"/>
      </w:pPr>
      <w:r>
        <w:t xml:space="preserve">2 Objectives and hypotheses</w:t>
      </w:r>
    </w:p>
    <w:bookmarkStart w:id="12" w:name="X6680688153776fe2950ebef3a2b2e7d3627dae0"/>
    <w:p>
      <w:pPr>
        <w:pStyle w:val="Heading3"/>
      </w:pPr>
      <w:r>
        <w:t xml:space="preserve">2.1 Definition of risk group for intervention work package (WP4) in prediction work package (WP2)</w:t>
      </w:r>
    </w:p>
    <w:p>
      <w:pPr>
        <w:pStyle w:val="FirstParagraph"/>
      </w:pPr>
      <w:r>
        <w:t xml:space="preserve">DP-Next prediction-arm aims to develop diabetes risk prediction models for the entire population based exclusively on register-based data. The aims and objectives of the work that will be carried out as part of the DP-Next prediction-arm (WP2) is described elsewhere. (cite WP2 protocol) This subproject for prediction-arm (WP2) will focus on calculating diabetes risk specifically for women with a recent delivery, in order to provide a clear selection of at-risk women that intervention group (WP4) can focus on. An added benefit of focus on this specific group is that various additional relevant variables are available for pregnant women based on the registration of their first trimester pregnancy checkup. In particular, BMI, smoking status, and blood pressure are recorded, as well as measured HbA1c before or during pregnancy in many cases.</w:t>
      </w:r>
    </w:p>
    <w:p>
      <w:pPr>
        <w:pStyle w:val="BodyText"/>
      </w:pPr>
    </w:p>
    <w:p>
      <w:pPr>
        <w:pStyle w:val="BodyText"/>
      </w:pPr>
      <w:r>
        <w:t xml:space="preserve">The primary aim of DP-Next prediction-arm (WP2) is to: Develop and validate a prediction model that identifies women at high risk of type 2 diabetes after the time of giving birth</w:t>
      </w:r>
    </w:p>
    <w:p>
      <w:pPr>
        <w:pStyle w:val="BodyText"/>
      </w:pPr>
    </w:p>
    <w:p>
      <w:pPr>
        <w:pStyle w:val="BodyText"/>
      </w:pPr>
      <w:r>
        <w:t xml:space="preserve">Our long-term goal is to implement the model as a clinically ready tool at the 8-week postpartum check-up in general practice, so that women at high risk of type 2 diabetes can be offered timely initiatives designed from intervention-arm (WP4) in DP-NEXT to improve cardiometabolic health.</w:t>
      </w:r>
    </w:p>
    <w:bookmarkEnd w:id="12"/>
    <w:bookmarkEnd w:id="13"/>
    <w:bookmarkStart w:id="19" w:name="X44873e479912de2d45d8aa6de19a582e1246930"/>
    <w:p>
      <w:pPr>
        <w:pStyle w:val="Heading2"/>
      </w:pPr>
      <w:r>
        <w:t xml:space="preserve">3 Design plan for derivation of specific pregnancy-connected risk prediction model</w:t>
      </w:r>
    </w:p>
    <w:bookmarkStart w:id="14" w:name="study-population-model-derivation"/>
    <w:p>
      <w:pPr>
        <w:pStyle w:val="Heading3"/>
      </w:pPr>
      <w:r>
        <w:t xml:space="preserve">3.1 Study population (model derivation)</w:t>
      </w:r>
    </w:p>
    <w:p>
      <w:pPr>
        <w:pStyle w:val="FirstParagraph"/>
      </w:pPr>
      <w:r>
        <w:t xml:space="preserve">Prediction-arm (WP2) will derive the model for a cohort of women who:</w:t>
      </w:r>
    </w:p>
    <w:p>
      <w:pPr>
        <w:pStyle w:val="BodyText"/>
      </w:pPr>
      <w:r>
        <w:t xml:space="preserve">Prediction-arm (WP2) will derive the model for a cohort of women who:</w:t>
      </w:r>
      <w:r>
        <w:t xml:space="preserve"> </w:t>
      </w:r>
      <w:r>
        <w:t xml:space="preserve">- Have given birth at least once between 2010 and 2015</w:t>
      </w:r>
      <w:r>
        <w:br/>
      </w:r>
      <w:r>
        <w:t xml:space="preserve">- Do not have a previous diagnosis of type 1 or type 2 diabetes at index date</w:t>
      </w:r>
      <w:r>
        <w:br/>
      </w:r>
      <w:r>
        <w:t xml:space="preserve">- Stillbirths will be excluded exclusively for primiparous women (parity=1) who experienced a stillbirth</w:t>
      </w:r>
    </w:p>
    <w:bookmarkEnd w:id="14"/>
    <w:bookmarkStart w:id="15" w:name="time-window-for-prediction"/>
    <w:p>
      <w:pPr>
        <w:pStyle w:val="Heading3"/>
      </w:pPr>
      <w:r>
        <w:t xml:space="preserve">3.2 Time window for prediction</w:t>
      </w:r>
    </w:p>
    <w:p>
      <w:pPr>
        <w:pStyle w:val="FirstParagraph"/>
      </w:pPr>
      <w:r>
        <w:t xml:space="preserve">The index date is defined as one week after delivery, to ensure that all delivery-related data have been recorded. Variables from the first trimester through the delivery of child are therefore complete at the index date. These data will be used for a potential use case at the 8-week postpartum check-up.</w:t>
      </w:r>
    </w:p>
    <w:p>
      <w:pPr>
        <w:pStyle w:val="BodyText"/>
      </w:pPr>
      <w:r>
        <w:t xml:space="preserve">The model will predict the 10-year risk of registry-defined incident type 2 diabetes (T2D). We chose a 10-year horizon because the population is young, and few women will develop T2D within a shorter period. This requires 10 years of potential follow-up from delivery. Registry data on T2D incidence are available to the end of follow-up on 31 December 2025. We therefore restrict the cohort to deliveries between 2010, when laboratory data become available to some extent, and 2015, which allows a full 10-year follow-up within the available registry data. Individuals are right-censored by end-of-follow up, incedence of type 2 diabetes or date of death.</w:t>
      </w:r>
    </w:p>
    <w:p>
      <w:pPr>
        <w:pStyle w:val="BodyText"/>
      </w:pPr>
      <w:r>
        <w:t xml:space="preserve">If HbA1c data allow, secondary outcomes will be HbA1c levels at 5 and 10 years after the index birth, and HbA1c trajectories over this period.</w:t>
      </w:r>
    </w:p>
    <w:bookmarkEnd w:id="15"/>
    <w:bookmarkStart w:id="16" w:name="X76f77e065213ae8108698d3f997138262cd2f30"/>
    <w:p>
      <w:pPr>
        <w:pStyle w:val="Heading3"/>
      </w:pPr>
      <w:r>
        <w:t xml:space="preserve">3.3 Definition of available data for prediction</w:t>
      </w:r>
    </w:p>
    <w:p>
      <w:pPr>
        <w:pStyle w:val="FirstParagraph"/>
      </w:pPr>
      <w:r>
        <w:t xml:space="preserve">The prediction models will be built based on general register-based data</w:t>
      </w:r>
      <w:r>
        <w:t xml:space="preserve"> </w:t>
      </w:r>
      <w:r>
        <w:t xml:space="preserve">supplemented with the results of the women’s first, second, third</w:t>
      </w:r>
      <w:r>
        <w:t xml:space="preserve"> </w:t>
      </w:r>
      <w:r>
        <w:t xml:space="preserve">trimester, and delivery based on data from the National Birth Registry.</w:t>
      </w:r>
      <w:r>
        <w:t xml:space="preserve"> </w:t>
      </w:r>
      <w:r>
        <w:t xml:space="preserve">As the aim is to focus the intervention on the post-partum period, risk</w:t>
      </w:r>
      <w:r>
        <w:t xml:space="preserve"> </w:t>
      </w:r>
      <w:r>
        <w:t xml:space="preserve">indicators from pre-pregnancy and all pregnancy stages as well as</w:t>
      </w:r>
      <w:r>
        <w:t xml:space="preserve"> </w:t>
      </w:r>
      <w:r>
        <w:t xml:space="preserve">delivery can be incorporated into the risk model.</w:t>
      </w:r>
    </w:p>
    <w:p>
      <w:pPr>
        <w:pStyle w:val="Compact"/>
        <w:numPr>
          <w:ilvl w:val="0"/>
          <w:numId w:val="1001"/>
        </w:numPr>
      </w:pPr>
      <w:r>
        <w:t xml:space="preserve">Pre-pregnancy: based on pre-existing register-based data, following</w:t>
      </w:r>
      <w:r>
        <w:t xml:space="preserve"> </w:t>
      </w:r>
      <w:r>
        <w:t xml:space="preserve">the same general-population strategy defined in WP2. It also includes</w:t>
      </w:r>
      <w:r>
        <w:t xml:space="preserve"> </w:t>
      </w:r>
      <w:r>
        <w:t xml:space="preserve">additional information from previous deliveries.</w:t>
      </w:r>
    </w:p>
    <w:p>
      <w:pPr>
        <w:pStyle w:val="Compact"/>
        <w:numPr>
          <w:ilvl w:val="0"/>
          <w:numId w:val="1001"/>
        </w:numPr>
      </w:pPr>
      <w:r>
        <w:t xml:space="preserve">During pregnancy: additional data collected at the first, second, and</w:t>
      </w:r>
      <w:r>
        <w:t xml:space="preserve"> </w:t>
      </w:r>
      <w:r>
        <w:t xml:space="preserve">third trimester pregnancy check-up.</w:t>
      </w:r>
    </w:p>
    <w:p>
      <w:pPr>
        <w:pStyle w:val="Compact"/>
        <w:numPr>
          <w:ilvl w:val="0"/>
          <w:numId w:val="1001"/>
        </w:numPr>
      </w:pPr>
      <w:r>
        <w:t xml:space="preserve">At delivery: additional data collected around the delivery and early</w:t>
      </w:r>
      <w:r>
        <w:t xml:space="preserve"> </w:t>
      </w:r>
      <w:r>
        <w:t xml:space="preserve">health status of the baby.</w:t>
      </w:r>
    </w:p>
    <w:p>
      <w:pPr>
        <w:pStyle w:val="FirstParagraph"/>
      </w:pPr>
      <w:r>
        <w:t xml:space="preserve">All data come from Danish nationwide registries accessed through</w:t>
      </w:r>
      <w:r>
        <w:t xml:space="preserve"> </w:t>
      </w:r>
      <w:r>
        <w:t xml:space="preserve">Statistics Denmark (DST) and linked by the pseudonymised CPR number. The</w:t>
      </w:r>
      <w:r>
        <w:t xml:space="preserve"> </w:t>
      </w:r>
      <w:r>
        <w:t xml:space="preserve">index birth is identified in the Medical Birth Register (MFR), which</w:t>
      </w:r>
      <w:r>
        <w:t xml:space="preserve"> </w:t>
      </w:r>
      <w:r>
        <w:t xml:space="preserve">also links the woman to the child and to her earlier deliveries, and the</w:t>
      </w:r>
      <w:r>
        <w:t xml:space="preserve"> </w:t>
      </w:r>
      <w:r>
        <w:t xml:space="preserve">parent identifiers in the population register (</w:t>
      </w:r>
      <w:r>
        <w:rPr>
          <w:rStyle w:val="VerbatimChar"/>
        </w:rPr>
        <w:t xml:space="preserve">MOR_ID</w:t>
      </w:r>
      <w:r>
        <w:t xml:space="preserve">,</w:t>
      </w:r>
      <w:r>
        <w:t xml:space="preserve"> </w:t>
      </w:r>
      <w:r>
        <w:rPr>
          <w:rStyle w:val="VerbatimChar"/>
        </w:rPr>
        <w:t xml:space="preserve">FAR_ID</w:t>
      </w:r>
      <w:r>
        <w:t xml:space="preserve">) link</w:t>
      </w:r>
      <w:r>
        <w:t xml:space="preserve"> </w:t>
      </w:r>
      <w:r>
        <w:t xml:space="preserve">her to her parents and siblings for family history. Pregnancy start is</w:t>
      </w:r>
      <w:r>
        <w:t xml:space="preserve"> </w:t>
      </w:r>
      <w:r>
        <w:t xml:space="preserve">estimated as delivery date minus gestational age, and each predictor is</w:t>
      </w:r>
      <w:r>
        <w:t xml:space="preserve"> </w:t>
      </w:r>
      <w:r>
        <w:t xml:space="preserve">assigned to the pre-pregnancy, pregnancy or delivery stage by its date</w:t>
      </w:r>
      <w:r>
        <w:t xml:space="preserve"> </w:t>
      </w:r>
      <w:r>
        <w:t xml:space="preserve">relative to pregnancy start and delivery.</w:t>
      </w:r>
    </w:p>
    <w:p>
      <w:pPr>
        <w:pStyle w:val="BodyText"/>
      </w:pPr>
      <w:r>
        <w:t xml:space="preserve">Pre-pregnancy predictors follow the WP2 strategy, using the population,</w:t>
      </w:r>
      <w:r>
        <w:t xml:space="preserve"> </w:t>
      </w:r>
      <w:r>
        <w:t xml:space="preserve">education and income registers, the National Patient Registry (LPR) and</w:t>
      </w:r>
      <w:r>
        <w:t xml:space="preserve"> </w:t>
      </w:r>
      <w:r>
        <w:t xml:space="preserve">the National Prescription Registry (LMDB), supplemented by earlier</w:t>
      </w:r>
      <w:r>
        <w:t xml:space="preserve"> </w:t>
      </w:r>
      <w:r>
        <w:t xml:space="preserve">deliveries in MFR. During pregnancy, MFR contributes BMI and smoking</w:t>
      </w:r>
      <w:r>
        <w:t xml:space="preserve"> </w:t>
      </w:r>
      <w:r>
        <w:t xml:space="preserve">from the first antenatal visit, while diagnoses and laboratory results</w:t>
      </w:r>
      <w:r>
        <w:t xml:space="preserve"> </w:t>
      </w:r>
      <w:r>
        <w:t xml:space="preserve">are placed in trimesters by their date. Delivery predictors come from</w:t>
      </w:r>
      <w:r>
        <w:t xml:space="preserve"> </w:t>
      </w:r>
      <w:r>
        <w:t xml:space="preserve">MFR and from the LPR records of mother and child.</w:t>
      </w:r>
    </w:p>
    <w:p>
      <w:pPr>
        <w:pStyle w:val="BodyText"/>
      </w:pPr>
      <w:r>
        <w:t xml:space="preserve">Diagnoses from outpatient and emergency contacts and redeemed</w:t>
      </w:r>
      <w:r>
        <w:t xml:space="preserve"> </w:t>
      </w:r>
      <w:r>
        <w:t xml:space="preserve">prescriptions are available from 1995, so the 10-year look-back is</w:t>
      </w:r>
      <w:r>
        <w:t xml:space="preserve"> </w:t>
      </w:r>
      <w:r>
        <w:t xml:space="preserve">complete for index births from 2005 onwards. LPR changed data model from</w:t>
      </w:r>
      <w:r>
        <w:t xml:space="preserve"> </w:t>
      </w:r>
      <w:r>
        <w:t xml:space="preserve">LPR2 to LPR3 in February 2019, and both versions are combined. The</w:t>
      </w:r>
      <w:r>
        <w:t xml:space="preserve"> </w:t>
      </w:r>
      <w:r>
        <w:t xml:space="preserve">laboratory register reached nationwide coverage only in July 2015, so</w:t>
      </w:r>
      <w:r>
        <w:t xml:space="preserve"> </w:t>
      </w:r>
      <w:r>
        <w:t xml:space="preserve">laboratory-based predictors are available for a subset of index births</w:t>
      </w:r>
      <w:r>
        <w:t xml:space="preserve"> </w:t>
      </w:r>
      <w:r>
        <w:t xml:space="preserve">only. The registries and code systems (ICD-10 in the Danish SKS version,</w:t>
      </w:r>
      <w:r>
        <w:t xml:space="preserve"> </w:t>
      </w:r>
      <w:r>
        <w:t xml:space="preserve">SKS procedure codes, ATC, and NPU and local DNK codes) are summarised</w:t>
      </w:r>
      <w:r>
        <w:t xml:space="preserve"> </w:t>
      </w:r>
      <w:r>
        <w:t xml:space="preserve">below, and</w:t>
      </w:r>
      <w:r>
        <w:t xml:space="preserve"> </w:t>
      </w:r>
      <w:r>
        <w:rPr>
          <w:b/>
          <w:bCs/>
        </w:rPr>
        <w:t xml:space="preserve">?@tbl-predictors</w:t>
      </w:r>
      <w:r>
        <w:t xml:space="preserve"> </w:t>
      </w:r>
      <w:r>
        <w:t xml:space="preserve">gives the source and codes for each</w:t>
      </w:r>
      <w:r>
        <w:t xml:space="preserve"> </w:t>
      </w:r>
      <w:r>
        <w:t xml:space="preserve">predictor.</w:t>
      </w:r>
    </w:p>
    <w:p>
      <w:pPr>
        <w:pStyle w:val="TableCaption"/>
      </w:pPr>
      <w:r>
        <w:t xml:space="preserve">Danish registries used, their coverage and the codes applied in</w:t>
      </w:r>
      <w:r>
        <w:t xml:space="preserve"> </w:t>
      </w:r>
      <w:r>
        <w:rPr>
          <w:b/>
          <w:bCs/>
        </w:rPr>
        <w:t xml:space="preserve">?@tbl-predictors</w:t>
      </w:r>
    </w:p>
    <w:tbl>
      <w:tblPr>
        <w:tblStyle w:val="Table"/>
        <w:tblW w:type="pct" w:w="4873"/>
        <w:tblLayout w:type="fixed"/>
        <w:tblLook w:firstRow="1" w:lastRow="0" w:firstColumn="0" w:lastColumn="0" w:noHBand="0" w:noVBand="0" w:val="0020"/>
        <w:tblCaption w:val="Danish registries used, their coverage and the codes applied in ?@tbl-predictors"/>
      </w:tblPr>
      <w:tblGrid>
        <w:gridCol w:w="1804"/>
        <w:gridCol w:w="1904"/>
        <w:gridCol w:w="2305"/>
        <w:gridCol w:w="1704"/>
      </w:tblGrid>
      <w:tr>
        <w:trPr>
          <w:tblHeader w:val="on"/>
        </w:trPr>
        <w:tc>
          <w:tcPr/>
          <w:p>
            <w:pPr>
              <w:pStyle w:val="Compact"/>
              <w:jc w:val="left"/>
            </w:pPr>
            <w:r>
              <w:t xml:space="preserve">Registry (DST</w:t>
            </w:r>
            <w:r>
              <w:t xml:space="preserve"> </w:t>
            </w:r>
            <w:r>
              <w:t xml:space="preserve">table)</w:t>
            </w:r>
          </w:p>
        </w:tc>
        <w:tc>
          <w:tcPr/>
          <w:p>
            <w:pPr>
              <w:pStyle w:val="Compact"/>
              <w:jc w:val="left"/>
            </w:pPr>
            <w:r>
              <w:t xml:space="preserve">Coverage</w:t>
            </w:r>
          </w:p>
        </w:tc>
        <w:tc>
          <w:tcPr/>
          <w:p>
            <w:pPr>
              <w:pStyle w:val="Compact"/>
              <w:jc w:val="left"/>
            </w:pPr>
            <w:r>
              <w:t xml:space="preserve">Codes and key</w:t>
            </w:r>
            <w:r>
              <w:t xml:space="preserve"> </w:t>
            </w:r>
            <w:r>
              <w:t xml:space="preserve">variables</w:t>
            </w:r>
          </w:p>
        </w:tc>
        <w:tc>
          <w:tcPr/>
          <w:p>
            <w:pPr>
              <w:pStyle w:val="Compact"/>
              <w:jc w:val="left"/>
            </w:pPr>
            <w:r>
              <w:t xml:space="preserve">Used for</w:t>
            </w:r>
          </w:p>
        </w:tc>
      </w:tr>
      <w:tr>
        <w:tc>
          <w:tcPr/>
          <w:p>
            <w:pPr>
              <w:pStyle w:val="Compact"/>
              <w:jc w:val="left"/>
            </w:pPr>
            <w:r>
              <w:t xml:space="preserve">Population</w:t>
            </w:r>
            <w:r>
              <w:t xml:space="preserve"> </w:t>
            </w:r>
            <w:r>
              <w:t xml:space="preserve">register, CPR</w:t>
            </w:r>
            <w:r>
              <w:t xml:space="preserve"> </w:t>
            </w:r>
            <w:r>
              <w:t xml:space="preserve">(BEF)</w:t>
            </w:r>
          </w:p>
        </w:tc>
        <w:tc>
          <w:tcPr/>
          <w:p>
            <w:pPr>
              <w:pStyle w:val="Compact"/>
              <w:jc w:val="left"/>
            </w:pPr>
            <w:r>
              <w:t xml:space="preserve">CPR from 1968;</w:t>
            </w:r>
            <w:r>
              <w:t xml:space="preserve"> </w:t>
            </w:r>
            <w:r>
              <w:t xml:space="preserve">BEF annual from</w:t>
            </w:r>
            <w:r>
              <w:t xml:space="preserve"> </w:t>
            </w:r>
            <w:r>
              <w:t xml:space="preserve">1980</w:t>
            </w:r>
          </w:p>
        </w:tc>
        <w:tc>
          <w:tcPr/>
          <w:p>
            <w:pPr>
              <w:pStyle w:val="Compact"/>
              <w:jc w:val="left"/>
            </w:pPr>
            <w:r>
              <w:rPr>
                <w:rStyle w:val="VerbatimChar"/>
              </w:rPr>
              <w:t xml:space="preserve">FOED_DAG</w:t>
            </w:r>
            <w:r>
              <w:t xml:space="preserve">,</w:t>
            </w:r>
            <w:r>
              <w:t xml:space="preserve"> </w:t>
            </w:r>
            <w:r>
              <w:rPr>
                <w:rStyle w:val="VerbatimChar"/>
              </w:rPr>
              <w:t xml:space="preserve">KOEN</w:t>
            </w:r>
            <w:r>
              <w:t xml:space="preserve">,</w:t>
            </w:r>
            <w:r>
              <w:t xml:space="preserve"> </w:t>
            </w:r>
            <w:r>
              <w:rPr>
                <w:rStyle w:val="VerbatimChar"/>
              </w:rPr>
              <w:t xml:space="preserve">OPR_LAND</w:t>
            </w:r>
            <w:r>
              <w:t xml:space="preserve">,</w:t>
            </w:r>
            <w:r>
              <w:t xml:space="preserve"> </w:t>
            </w:r>
            <w:r>
              <w:rPr>
                <w:rStyle w:val="VerbatimChar"/>
              </w:rPr>
              <w:t xml:space="preserve">IE_TYPE</w:t>
            </w:r>
            <w:r>
              <w:t xml:space="preserve">,</w:t>
            </w:r>
            <w:r>
              <w:t xml:space="preserve"> </w:t>
            </w:r>
            <w:r>
              <w:rPr>
                <w:rStyle w:val="VerbatimChar"/>
              </w:rPr>
              <w:t xml:space="preserve">MOR_ID</w:t>
            </w:r>
            <w:r>
              <w:t xml:space="preserve">,</w:t>
            </w:r>
            <w:r>
              <w:t xml:space="preserve"> </w:t>
            </w:r>
            <w:r>
              <w:rPr>
                <w:rStyle w:val="VerbatimChar"/>
              </w:rPr>
              <w:t xml:space="preserve">FAR_ID</w:t>
            </w:r>
          </w:p>
        </w:tc>
        <w:tc>
          <w:tcPr/>
          <w:p>
            <w:pPr>
              <w:pStyle w:val="Compact"/>
              <w:jc w:val="left"/>
            </w:pPr>
            <w:r>
              <w:t xml:space="preserve">Age, region of</w:t>
            </w:r>
            <w:r>
              <w:t xml:space="preserve"> </w:t>
            </w:r>
            <w:r>
              <w:t xml:space="preserve">origin, child</w:t>
            </w:r>
            <w:r>
              <w:t xml:space="preserve"> </w:t>
            </w:r>
            <w:r>
              <w:t xml:space="preserve">sex, family</w:t>
            </w:r>
            <w:r>
              <w:t xml:space="preserve"> </w:t>
            </w:r>
            <w:r>
              <w:t xml:space="preserve">linkage</w:t>
            </w:r>
          </w:p>
        </w:tc>
      </w:tr>
      <w:tr>
        <w:tc>
          <w:tcPr/>
          <w:p>
            <w:pPr>
              <w:pStyle w:val="Compact"/>
              <w:jc w:val="left"/>
            </w:pPr>
            <w:r>
              <w:t xml:space="preserve">Education</w:t>
            </w:r>
            <w:r>
              <w:t xml:space="preserve"> </w:t>
            </w:r>
            <w:r>
              <w:t xml:space="preserve">register (UDDA)</w:t>
            </w:r>
          </w:p>
        </w:tc>
        <w:tc>
          <w:tcPr/>
          <w:p>
            <w:pPr>
              <w:pStyle w:val="Compact"/>
              <w:jc w:val="left"/>
            </w:pPr>
            <w:r>
              <w:t xml:space="preserve">Annual from 1980</w:t>
            </w:r>
          </w:p>
        </w:tc>
        <w:tc>
          <w:tcPr/>
          <w:p>
            <w:pPr>
              <w:pStyle w:val="Compact"/>
              <w:jc w:val="left"/>
            </w:pPr>
            <w:r>
              <w:rPr>
                <w:rStyle w:val="VerbatimChar"/>
              </w:rPr>
              <w:t xml:space="preserve">HFAUDD</w:t>
            </w:r>
            <w:r>
              <w:t xml:space="preserve"> </w:t>
            </w:r>
            <w:r>
              <w:t xml:space="preserve">mapped to</w:t>
            </w:r>
            <w:r>
              <w:t xml:space="preserve"> </w:t>
            </w:r>
            <w:r>
              <w:t xml:space="preserve">ISCED 2011</w:t>
            </w:r>
          </w:p>
        </w:tc>
        <w:tc>
          <w:tcPr/>
          <w:p>
            <w:pPr>
              <w:pStyle w:val="Compact"/>
              <w:jc w:val="left"/>
            </w:pPr>
            <w:r>
              <w:t xml:space="preserve">Education</w:t>
            </w:r>
          </w:p>
        </w:tc>
      </w:tr>
      <w:tr>
        <w:tc>
          <w:tcPr/>
          <w:p>
            <w:pPr>
              <w:pStyle w:val="Compact"/>
              <w:jc w:val="left"/>
            </w:pPr>
            <w:r>
              <w:t xml:space="preserve">Income register</w:t>
            </w:r>
            <w:r>
              <w:t xml:space="preserve"> </w:t>
            </w:r>
            <w:r>
              <w:t xml:space="preserve">(IND)</w:t>
            </w:r>
          </w:p>
        </w:tc>
        <w:tc>
          <w:tcPr/>
          <w:p>
            <w:pPr>
              <w:pStyle w:val="Compact"/>
              <w:jc w:val="left"/>
            </w:pPr>
            <w:r>
              <w:t xml:space="preserve">Annual from 1980</w:t>
            </w:r>
          </w:p>
        </w:tc>
        <w:tc>
          <w:tcPr/>
          <w:p>
            <w:pPr>
              <w:pStyle w:val="Compact"/>
              <w:jc w:val="left"/>
            </w:pPr>
            <w:r>
              <w:rPr>
                <w:rStyle w:val="VerbatimChar"/>
              </w:rPr>
              <w:t xml:space="preserve">FAMAEKVIVADISP_13</w:t>
            </w:r>
            <w:r>
              <w:t xml:space="preserve">,</w:t>
            </w:r>
            <w:r>
              <w:t xml:space="preserve"> </w:t>
            </w:r>
            <w:r>
              <w:rPr>
                <w:rStyle w:val="VerbatimChar"/>
              </w:rPr>
              <w:t xml:space="preserve">PERINDKIALT_13</w:t>
            </w:r>
          </w:p>
        </w:tc>
        <w:tc>
          <w:tcPr/>
          <w:p>
            <w:pPr>
              <w:pStyle w:val="Compact"/>
              <w:jc w:val="left"/>
            </w:pPr>
            <w:r>
              <w:t xml:space="preserve">Income</w:t>
            </w:r>
          </w:p>
        </w:tc>
      </w:tr>
      <w:tr>
        <w:tc>
          <w:tcPr/>
          <w:p>
            <w:pPr>
              <w:pStyle w:val="Compact"/>
              <w:jc w:val="left"/>
            </w:pPr>
            <w:r>
              <w:t xml:space="preserve">National</w:t>
            </w:r>
            <w:r>
              <w:t xml:space="preserve"> </w:t>
            </w:r>
            <w:r>
              <w:t xml:space="preserve">Patient</w:t>
            </w:r>
            <w:r>
              <w:t xml:space="preserve"> </w:t>
            </w:r>
            <w:r>
              <w:t xml:space="preserve">Registry (LPR2:</w:t>
            </w:r>
            <w:r>
              <w:t xml:space="preserve"> </w:t>
            </w:r>
            <w:r>
              <w:rPr>
                <w:rStyle w:val="VerbatimChar"/>
              </w:rPr>
              <w:t xml:space="preserve">lpr_adm</w:t>
            </w:r>
            <w:r>
              <w:t xml:space="preserve">,</w:t>
            </w:r>
            <w:r>
              <w:t xml:space="preserve"> </w:t>
            </w:r>
            <w:r>
              <w:rPr>
                <w:rStyle w:val="VerbatimChar"/>
              </w:rPr>
              <w:t xml:space="preserve">lpr_diag</w:t>
            </w:r>
            <w:r>
              <w:t xml:space="preserve">;</w:t>
            </w:r>
            <w:r>
              <w:t xml:space="preserve"> </w:t>
            </w:r>
            <w:r>
              <w:t xml:space="preserve">LPR3:</w:t>
            </w:r>
            <w:r>
              <w:t xml:space="preserve"> </w:t>
            </w:r>
            <w:r>
              <w:rPr>
                <w:rStyle w:val="VerbatimChar"/>
              </w:rPr>
              <w:t xml:space="preserve">kontakter</w:t>
            </w:r>
            <w:r>
              <w:t xml:space="preserve">,</w:t>
            </w:r>
            <w:r>
              <w:t xml:space="preserve"> </w:t>
            </w:r>
            <w:r>
              <w:rPr>
                <w:rStyle w:val="VerbatimChar"/>
              </w:rPr>
              <w:t xml:space="preserve">diagnoser</w:t>
            </w:r>
            <w:r>
              <w:t xml:space="preserve">)</w:t>
            </w:r>
          </w:p>
        </w:tc>
        <w:tc>
          <w:tcPr/>
          <w:p>
            <w:pPr>
              <w:pStyle w:val="Compact"/>
              <w:jc w:val="left"/>
            </w:pPr>
            <w:r>
              <w:t xml:space="preserve">Inpatient from</w:t>
            </w:r>
            <w:r>
              <w:t xml:space="preserve"> </w:t>
            </w:r>
            <w:r>
              <w:t xml:space="preserve">1977; outpatient</w:t>
            </w:r>
            <w:r>
              <w:t xml:space="preserve"> </w:t>
            </w:r>
            <w:r>
              <w:t xml:space="preserve">and emergency</w:t>
            </w:r>
            <w:r>
              <w:t xml:space="preserve"> </w:t>
            </w:r>
            <w:r>
              <w:t xml:space="preserve">from 1995;</w:t>
            </w:r>
            <w:r>
              <w:t xml:space="preserve"> </w:t>
            </w:r>
            <w:r>
              <w:t xml:space="preserve">ICD-10 from</w:t>
            </w:r>
            <w:r>
              <w:t xml:space="preserve"> </w:t>
            </w:r>
            <w:r>
              <w:t xml:space="preserve">1994; LPR3 from</w:t>
            </w:r>
            <w:r>
              <w:t xml:space="preserve"> </w:t>
            </w:r>
            <w:r>
              <w:t xml:space="preserve">Feb 2019</w:t>
            </w:r>
          </w:p>
        </w:tc>
        <w:tc>
          <w:tcPr/>
          <w:p>
            <w:pPr>
              <w:pStyle w:val="Compact"/>
              <w:jc w:val="left"/>
            </w:pPr>
            <w:r>
              <w:t xml:space="preserve">ICD-10 (SKS,</w:t>
            </w:r>
            <w:r>
              <w:t xml:space="preserve"> </w:t>
            </w:r>
            <w:r>
              <w:t xml:space="preserve">D-prefixed); SKS</w:t>
            </w:r>
            <w:r>
              <w:t xml:space="preserve"> </w:t>
            </w:r>
            <w:r>
              <w:t xml:space="preserve">procedure codes</w:t>
            </w:r>
            <w:r>
              <w:t xml:space="preserve"> </w:t>
            </w:r>
            <w:r>
              <w:t xml:space="preserve">(KMCA, KMAC, BKHD)</w:t>
            </w:r>
          </w:p>
        </w:tc>
        <w:tc>
          <w:tcPr/>
          <w:p>
            <w:pPr>
              <w:pStyle w:val="Compact"/>
              <w:jc w:val="left"/>
            </w:pPr>
            <w:r>
              <w:t xml:space="preserve">All diagnoses,</w:t>
            </w:r>
            <w:r>
              <w:t xml:space="preserve"> </w:t>
            </w:r>
            <w:r>
              <w:t xml:space="preserve">PMOS, GDM,</w:t>
            </w:r>
            <w:r>
              <w:t xml:space="preserve"> </w:t>
            </w:r>
            <w:r>
              <w:t xml:space="preserve">pre-eclampsia,</w:t>
            </w:r>
            <w:r>
              <w:t xml:space="preserve"> </w:t>
            </w:r>
            <w:r>
              <w:t xml:space="preserve">mode of</w:t>
            </w:r>
            <w:r>
              <w:t xml:space="preserve"> </w:t>
            </w:r>
            <w:r>
              <w:t xml:space="preserve">delivery,</w:t>
            </w:r>
            <w:r>
              <w:t xml:space="preserve"> </w:t>
            </w:r>
            <w:r>
              <w:t xml:space="preserve">delivery and</w:t>
            </w:r>
            <w:r>
              <w:t xml:space="preserve"> </w:t>
            </w:r>
            <w:r>
              <w:t xml:space="preserve">neonatal</w:t>
            </w:r>
            <w:r>
              <w:t xml:space="preserve"> </w:t>
            </w:r>
            <w:r>
              <w:t xml:space="preserve">complications</w:t>
            </w:r>
          </w:p>
        </w:tc>
      </w:tr>
      <w:tr>
        <w:tc>
          <w:tcPr/>
          <w:p>
            <w:pPr>
              <w:pStyle w:val="Compact"/>
              <w:jc w:val="left"/>
            </w:pPr>
            <w:r>
              <w:t xml:space="preserve">Medical Birth</w:t>
            </w:r>
            <w:r>
              <w:t xml:space="preserve"> </w:t>
            </w:r>
            <w:r>
              <w:t xml:space="preserve">Register (MFR)</w:t>
            </w:r>
          </w:p>
        </w:tc>
        <w:tc>
          <w:tcPr/>
          <w:p>
            <w:pPr>
              <w:pStyle w:val="Compact"/>
              <w:jc w:val="left"/>
            </w:pPr>
            <w:r>
              <w:t xml:space="preserve">From 1973;</w:t>
            </w:r>
            <w:r>
              <w:t xml:space="preserve"> </w:t>
            </w:r>
            <w:r>
              <w:t xml:space="preserve">LPR-based from</w:t>
            </w:r>
            <w:r>
              <w:t xml:space="preserve"> </w:t>
            </w:r>
            <w:r>
              <w:t xml:space="preserve">1997; smoking</w:t>
            </w:r>
            <w:r>
              <w:t xml:space="preserve"> </w:t>
            </w:r>
            <w:r>
              <w:t xml:space="preserve">from late 1997;</w:t>
            </w:r>
            <w:r>
              <w:t xml:space="preserve"> </w:t>
            </w:r>
            <w:r>
              <w:t xml:space="preserve">height and</w:t>
            </w:r>
            <w:r>
              <w:t xml:space="preserve"> </w:t>
            </w:r>
            <w:r>
              <w:t xml:space="preserve">weight from late</w:t>
            </w:r>
            <w:r>
              <w:t xml:space="preserve"> </w:t>
            </w:r>
            <w:r>
              <w:t xml:space="preserve">2003</w:t>
            </w:r>
          </w:p>
        </w:tc>
        <w:tc>
          <w:tcPr/>
          <w:p>
            <w:pPr>
              <w:pStyle w:val="Compact"/>
              <w:jc w:val="left"/>
            </w:pPr>
            <w:r>
              <w:t xml:space="preserve">Gestational age,</w:t>
            </w:r>
            <w:r>
              <w:t xml:space="preserve"> </w:t>
            </w:r>
            <w:r>
              <w:t xml:space="preserve">birth weight and</w:t>
            </w:r>
            <w:r>
              <w:t xml:space="preserve"> </w:t>
            </w:r>
            <w:r>
              <w:t xml:space="preserve">length, plurality,</w:t>
            </w:r>
            <w:r>
              <w:t xml:space="preserve"> </w:t>
            </w:r>
            <w:r>
              <w:t xml:space="preserve">mode of delivery,</w:t>
            </w:r>
            <w:r>
              <w:t xml:space="preserve"> </w:t>
            </w:r>
            <w:r>
              <w:t xml:space="preserve">smoking, height and</w:t>
            </w:r>
            <w:r>
              <w:t xml:space="preserve"> </w:t>
            </w:r>
            <w:r>
              <w:t xml:space="preserve">weight; mother–child</w:t>
            </w:r>
            <w:r>
              <w:t xml:space="preserve"> </w:t>
            </w:r>
            <w:r>
              <w:t xml:space="preserve">link</w:t>
            </w:r>
          </w:p>
        </w:tc>
        <w:tc>
          <w:tcPr/>
          <w:p>
            <w:pPr>
              <w:pStyle w:val="Compact"/>
              <w:jc w:val="left"/>
            </w:pPr>
            <w:r>
              <w:t xml:space="preserve">Pregnancy</w:t>
            </w:r>
            <w:r>
              <w:t xml:space="preserve"> </w:t>
            </w:r>
            <w:r>
              <w:t xml:space="preserve">start,</w:t>
            </w:r>
            <w:r>
              <w:t xml:space="preserve"> </w:t>
            </w:r>
            <w:r>
              <w:t xml:space="preserve">previous</w:t>
            </w:r>
            <w:r>
              <w:t xml:space="preserve"> </w:t>
            </w:r>
            <w:r>
              <w:t xml:space="preserve">pregnancies,</w:t>
            </w:r>
            <w:r>
              <w:t xml:space="preserve"> </w:t>
            </w:r>
            <w:r>
              <w:t xml:space="preserve">BMI, smoking,</w:t>
            </w:r>
            <w:r>
              <w:t xml:space="preserve"> </w:t>
            </w:r>
            <w:r>
              <w:t xml:space="preserve">delivery</w:t>
            </w:r>
            <w:r>
              <w:t xml:space="preserve"> </w:t>
            </w:r>
            <w:r>
              <w:t xml:space="preserve">variables</w:t>
            </w:r>
          </w:p>
        </w:tc>
      </w:tr>
      <w:tr>
        <w:tc>
          <w:tcPr/>
          <w:p>
            <w:pPr>
              <w:pStyle w:val="Compact"/>
              <w:jc w:val="left"/>
            </w:pPr>
            <w:r>
              <w:t xml:space="preserve">National</w:t>
            </w:r>
            <w:r>
              <w:t xml:space="preserve"> </w:t>
            </w:r>
            <w:r>
              <w:t xml:space="preserve">Prescription</w:t>
            </w:r>
            <w:r>
              <w:t xml:space="preserve"> </w:t>
            </w:r>
            <w:r>
              <w:t xml:space="preserve">Registry (LMDB)</w:t>
            </w:r>
          </w:p>
        </w:tc>
        <w:tc>
          <w:tcPr/>
          <w:p>
            <w:pPr>
              <w:pStyle w:val="Compact"/>
              <w:jc w:val="left"/>
            </w:pPr>
            <w:r>
              <w:t xml:space="preserve">Individual-level</w:t>
            </w:r>
            <w:r>
              <w:t xml:space="preserve"> </w:t>
            </w:r>
            <w:r>
              <w:t xml:space="preserve">from 1995</w:t>
            </w:r>
          </w:p>
        </w:tc>
        <w:tc>
          <w:tcPr/>
          <w:p>
            <w:pPr>
              <w:pStyle w:val="Compact"/>
              <w:jc w:val="left"/>
            </w:pPr>
            <w:r>
              <w:t xml:space="preserve">ATC,</w:t>
            </w:r>
            <w:r>
              <w:t xml:space="preserve"> </w:t>
            </w:r>
            <w:r>
              <w:rPr>
                <w:rStyle w:val="VerbatimChar"/>
              </w:rPr>
              <w:t xml:space="preserve">EKSD</w:t>
            </w:r>
          </w:p>
        </w:tc>
        <w:tc>
          <w:tcPr/>
          <w:p>
            <w:pPr>
              <w:pStyle w:val="Compact"/>
              <w:jc w:val="left"/>
            </w:pPr>
            <w:r>
              <w:t xml:space="preserve">All</w:t>
            </w:r>
            <w:r>
              <w:t xml:space="preserve"> </w:t>
            </w:r>
            <w:r>
              <w:t xml:space="preserve">medication,</w:t>
            </w:r>
            <w:r>
              <w:t xml:space="preserve"> </w:t>
            </w:r>
            <w:r>
              <w:t xml:space="preserve">metformin</w:t>
            </w:r>
            <w:r>
              <w:t xml:space="preserve"> </w:t>
            </w:r>
            <w:r>
              <w:t xml:space="preserve">(PMOS proxy),</w:t>
            </w:r>
            <w:r>
              <w:t xml:space="preserve"> </w:t>
            </w:r>
            <w:r>
              <w:t xml:space="preserve">OSDC</w:t>
            </w:r>
          </w:p>
        </w:tc>
      </w:tr>
      <w:tr>
        <w:tc>
          <w:tcPr/>
          <w:p>
            <w:pPr>
              <w:pStyle w:val="Compact"/>
              <w:jc w:val="left"/>
            </w:pPr>
            <w:r>
              <w:t xml:space="preserve">Register of</w:t>
            </w:r>
            <w:r>
              <w:t xml:space="preserve"> </w:t>
            </w:r>
            <w:r>
              <w:t xml:space="preserve">Laboratory</w:t>
            </w:r>
            <w:r>
              <w:t xml:space="preserve"> </w:t>
            </w:r>
            <w:r>
              <w:t xml:space="preserve">Results for</w:t>
            </w:r>
            <w:r>
              <w:t xml:space="preserve"> </w:t>
            </w:r>
            <w:r>
              <w:t xml:space="preserve">Research</w:t>
            </w:r>
            <w:r>
              <w:t xml:space="preserve"> </w:t>
            </w:r>
            <w:r>
              <w:t xml:space="preserve">(</w:t>
            </w:r>
            <w:r>
              <w:rPr>
                <w:rStyle w:val="VerbatimChar"/>
              </w:rPr>
              <w:t xml:space="preserve">lab_forsker</w:t>
            </w:r>
            <w:r>
              <w:t xml:space="preserve">)</w:t>
            </w:r>
          </w:p>
        </w:tc>
        <w:tc>
          <w:tcPr/>
          <w:p>
            <w:pPr>
              <w:pStyle w:val="Compact"/>
              <w:jc w:val="left"/>
            </w:pPr>
            <w:r>
              <w:t xml:space="preserve">Zealand and</w:t>
            </w:r>
            <w:r>
              <w:t xml:space="preserve"> </w:t>
            </w:r>
            <w:r>
              <w:t xml:space="preserve">North Oct 2013,</w:t>
            </w:r>
            <w:r>
              <w:t xml:space="preserve"> </w:t>
            </w:r>
            <w:r>
              <w:t xml:space="preserve">Central Nov</w:t>
            </w:r>
            <w:r>
              <w:t xml:space="preserve"> </w:t>
            </w:r>
            <w:r>
              <w:t xml:space="preserve">2013, Capital</w:t>
            </w:r>
            <w:r>
              <w:t xml:space="preserve"> </w:t>
            </w:r>
            <w:r>
              <w:t xml:space="preserve">Oct 2014,</w:t>
            </w:r>
            <w:r>
              <w:t xml:space="preserve"> </w:t>
            </w:r>
            <w:r>
              <w:t xml:space="preserve">Southern Jul</w:t>
            </w:r>
            <w:r>
              <w:t xml:space="preserve"> </w:t>
            </w:r>
            <w:r>
              <w:t xml:space="preserve">2015</w:t>
            </w:r>
          </w:p>
        </w:tc>
        <w:tc>
          <w:tcPr/>
          <w:p>
            <w:pPr>
              <w:pStyle w:val="Compact"/>
              <w:jc w:val="left"/>
            </w:pPr>
            <w:r>
              <w:t xml:space="preserve">NPU and local DNK</w:t>
            </w:r>
            <w:r>
              <w:t xml:space="preserve"> </w:t>
            </w:r>
            <w:r>
              <w:t xml:space="preserve">codes</w:t>
            </w:r>
          </w:p>
        </w:tc>
        <w:tc>
          <w:tcPr/>
          <w:p>
            <w:pPr>
              <w:pStyle w:val="Compact"/>
              <w:jc w:val="left"/>
            </w:pPr>
            <w:r>
              <w:t xml:space="preserve">HbA1c, lipids,</w:t>
            </w:r>
            <w:r>
              <w:t xml:space="preserve"> </w:t>
            </w:r>
            <w:r>
              <w:t xml:space="preserve">Hb, liver and</w:t>
            </w:r>
            <w:r>
              <w:t xml:space="preserve"> </w:t>
            </w:r>
            <w:r>
              <w:t xml:space="preserve">kidney</w:t>
            </w:r>
            <w:r>
              <w:t xml:space="preserve"> </w:t>
            </w:r>
            <w:r>
              <w:t xml:space="preserve">markers, CRP,</w:t>
            </w:r>
            <w:r>
              <w:t xml:space="preserve"> </w:t>
            </w:r>
            <w:r>
              <w:t xml:space="preserve">OGTT</w:t>
            </w:r>
          </w:p>
        </w:tc>
      </w:tr>
      <w:tr>
        <w:tc>
          <w:tcPr/>
          <w:p>
            <w:pPr>
              <w:pStyle w:val="Compact"/>
              <w:jc w:val="left"/>
            </w:pPr>
            <w:r>
              <w:t xml:space="preserve">Health Service</w:t>
            </w:r>
            <w:r>
              <w:t xml:space="preserve"> </w:t>
            </w:r>
            <w:r>
              <w:t xml:space="preserve">Registry (SYSI,</w:t>
            </w:r>
            <w:r>
              <w:t xml:space="preserve"> </w:t>
            </w:r>
            <w:r>
              <w:t xml:space="preserve">SSSY)</w:t>
            </w:r>
          </w:p>
        </w:tc>
        <w:tc>
          <w:tcPr/>
          <w:p>
            <w:pPr>
              <w:pStyle w:val="Compact"/>
              <w:jc w:val="left"/>
            </w:pPr>
            <w:r>
              <w:t xml:space="preserve">SYSI 1990–2005;</w:t>
            </w:r>
            <w:r>
              <w:t xml:space="preserve"> </w:t>
            </w:r>
            <w:r>
              <w:t xml:space="preserve">SSSY from 2006</w:t>
            </w:r>
          </w:p>
        </w:tc>
        <w:tc>
          <w:tcPr/>
          <w:p>
            <w:pPr>
              <w:pStyle w:val="Compact"/>
              <w:jc w:val="left"/>
            </w:pPr>
            <w:r>
              <w:t xml:space="preserve">Service (billing)</w:t>
            </w:r>
            <w:r>
              <w:t xml:space="preserve"> </w:t>
            </w:r>
            <w:r>
              <w:t xml:space="preserve">codes</w:t>
            </w:r>
          </w:p>
        </w:tc>
        <w:tc>
          <w:tcPr/>
          <w:p>
            <w:pPr>
              <w:pStyle w:val="Compact"/>
              <w:jc w:val="left"/>
            </w:pPr>
            <w:r>
              <w:t xml:space="preserve">Podiatry</w:t>
            </w:r>
            <w:r>
              <w:t xml:space="preserve"> </w:t>
            </w:r>
            <w:r>
              <w:t xml:space="preserve">services in</w:t>
            </w:r>
            <w:r>
              <w:t xml:space="preserve"> </w:t>
            </w:r>
            <w:r>
              <w:t xml:space="preserve">OSDC (family</w:t>
            </w:r>
            <w:r>
              <w:t xml:space="preserve"> </w:t>
            </w:r>
            <w:r>
              <w:t xml:space="preserve">history of</w:t>
            </w:r>
            <w:r>
              <w:t xml:space="preserve"> </w:t>
            </w:r>
            <w:r>
              <w:t xml:space="preserve">T2D)</w:t>
            </w:r>
          </w:p>
        </w:tc>
      </w:tr>
    </w:tbl>
    <w:p>
      <w:pPr>
        <w:pStyle w:val="BodyText"/>
      </w:pPr>
      <w:r>
        <w:t xml:space="preserve"> </w:t>
      </w:r>
    </w:p>
    <w:p>
      <w:pPr>
        <w:pStyle w:val="TableCaption"/>
      </w:pPr>
      <w:r>
        <w:t xml:space="preserve">Available potential predictors in the National Registries</w:t>
      </w:r>
    </w:p>
    <w:tbl>
      <w:tblPr>
        <w:tblStyle w:val="Table"/>
        <w:tblW w:type="pct" w:w="4937"/>
        <w:tblLayout w:type="fixed"/>
        <w:tblLook w:firstRow="1" w:lastRow="0" w:firstColumn="0" w:lastColumn="0" w:noHBand="0" w:noVBand="0" w:val="0020"/>
        <w:tblCaption w:val="Available potential predictors in the National Registries"/>
      </w:tblPr>
      <w:tblGrid>
        <w:gridCol w:w="1804"/>
        <w:gridCol w:w="2706"/>
        <w:gridCol w:w="3308"/>
      </w:tblGrid>
      <w:tr>
        <w:trPr>
          <w:tblHeader w:val="on"/>
        </w:trPr>
        <w:tc>
          <w:tcPr/>
          <w:p>
            <w:pPr>
              <w:pStyle w:val="Compact"/>
            </w:pPr>
            <w:r>
              <w:t xml:space="preserve">Type</w:t>
            </w:r>
          </w:p>
        </w:tc>
        <w:tc>
          <w:tcPr/>
          <w:p>
            <w:pPr>
              <w:pStyle w:val="Compact"/>
            </w:pPr>
            <w:r>
              <w:t xml:space="preserve">Variables</w:t>
            </w:r>
          </w:p>
        </w:tc>
        <w:tc>
          <w:tcPr/>
          <w:p>
            <w:pPr>
              <w:pStyle w:val="Compact"/>
            </w:pPr>
            <w:r>
              <w:t xml:space="preserve">Registry source and codes</w:t>
            </w:r>
          </w:p>
        </w:tc>
      </w:tr>
      <w:tr>
        <w:tc>
          <w:tcPr/>
          <w:p>
            <w:pPr>
              <w:pStyle w:val="Compact"/>
            </w:pPr>
            <w:r>
              <w:rPr>
                <w:b/>
                <w:bCs/>
              </w:rPr>
              <w:t xml:space="preserve">Pre-pregnancy</w:t>
            </w:r>
            <w:r>
              <w:rPr>
                <w:b/>
                <w:bCs/>
              </w:rPr>
              <w:t xml:space="preserve"> </w:t>
            </w:r>
            <w:r>
              <w:rPr>
                <w:b/>
                <w:bCs/>
              </w:rPr>
              <w:t xml:space="preserve">variables</w:t>
            </w:r>
          </w:p>
        </w:tc>
        <w:tc>
          <w:tcPr/>
          <w:p>
            <w:pPr>
              <w:pStyle w:val="Compact"/>
            </w:pPr>
          </w:p>
        </w:tc>
        <w:tc>
          <w:tcPr/>
          <w:p>
            <w:pPr>
              <w:pStyle w:val="Compact"/>
            </w:pPr>
          </w:p>
        </w:tc>
      </w:tr>
      <w:tr>
        <w:tc>
          <w:tcPr/>
          <w:p>
            <w:pPr>
              <w:pStyle w:val="Compact"/>
            </w:pPr>
            <w:r>
              <w:t xml:space="preserve">Demographic</w:t>
            </w:r>
            <w:r>
              <w:t xml:space="preserve"> </w:t>
            </w:r>
            <w:r>
              <w:t xml:space="preserve">variables</w:t>
            </w:r>
          </w:p>
        </w:tc>
        <w:tc>
          <w:tcPr/>
          <w:p>
            <w:pPr>
              <w:pStyle w:val="Compact"/>
            </w:pPr>
            <w:r>
              <w:t xml:space="preserve">Age</w:t>
            </w:r>
          </w:p>
        </w:tc>
        <w:tc>
          <w:tcPr/>
          <w:p>
            <w:pPr>
              <w:pStyle w:val="Compact"/>
            </w:pPr>
            <w:r>
              <w:t xml:space="preserve">CPR via BEF (DST):</w:t>
            </w:r>
            <w:r>
              <w:t xml:space="preserve"> </w:t>
            </w:r>
            <w:r>
              <w:rPr>
                <w:rStyle w:val="VerbatimChar"/>
              </w:rPr>
              <w:t xml:space="preserve">FOED_DAG</w:t>
            </w:r>
            <w:r>
              <w:t xml:space="preserve"> </w:t>
            </w:r>
            <w:r>
              <w:t xml:space="preserve">(date of birth); age at</w:t>
            </w:r>
            <w:r>
              <w:t xml:space="preserve"> </w:t>
            </w:r>
            <w:r>
              <w:t xml:space="preserve">delivery date from MFR.</w:t>
            </w:r>
            <w:r>
              <w:t xml:space="preserve"> </w:t>
            </w:r>
            <w:r>
              <w:t xml:space="preserve">Maternal age is also recorded</w:t>
            </w:r>
            <w:r>
              <w:t xml:space="preserve"> </w:t>
            </w:r>
            <w:r>
              <w:t xml:space="preserve">directly in MFR.</w:t>
            </w:r>
          </w:p>
        </w:tc>
      </w:tr>
      <w:tr>
        <w:tc>
          <w:tcPr/>
          <w:p>
            <w:pPr>
              <w:pStyle w:val="Compact"/>
            </w:pPr>
          </w:p>
        </w:tc>
        <w:tc>
          <w:tcPr/>
          <w:p>
            <w:pPr>
              <w:pStyle w:val="Compact"/>
            </w:pPr>
            <w:r>
              <w:t xml:space="preserve">National region of</w:t>
            </w:r>
            <w:r>
              <w:t xml:space="preserve"> </w:t>
            </w:r>
            <w:r>
              <w:t xml:space="preserve">origin (western vs</w:t>
            </w:r>
            <w:r>
              <w:t xml:space="preserve"> </w:t>
            </w:r>
            <w:r>
              <w:t xml:space="preserve">non-western from WHO)</w:t>
            </w:r>
            <w:r>
              <w:t xml:space="preserve"> </w:t>
            </w:r>
            <w:r>
              <w:t xml:space="preserve">[Make a better</w:t>
            </w:r>
            <w:r>
              <w:t xml:space="preserve"> </w:t>
            </w:r>
            <w:r>
              <w:t xml:space="preserve">distinction based on</w:t>
            </w:r>
            <w:r>
              <w:t xml:space="preserve"> </w:t>
            </w:r>
            <w:r>
              <w:t xml:space="preserve">10.1210/clinem/dgae113]</w:t>
            </w:r>
            <w:r>
              <w:t xml:space="preserve"> </w:t>
            </w:r>
            <w:r>
              <w:t xml:space="preserve">(African Region, Eastern</w:t>
            </w:r>
            <w:r>
              <w:t xml:space="preserve"> </w:t>
            </w:r>
            <w:r>
              <w:t xml:space="preserve">Mediterranean Region,</w:t>
            </w:r>
            <w:r>
              <w:t xml:space="preserve"> </w:t>
            </w:r>
            <w:r>
              <w:t xml:space="preserve">European region,</w:t>
            </w:r>
            <w:r>
              <w:t xml:space="preserve"> </w:t>
            </w:r>
            <w:r>
              <w:t xml:space="preserve">South-East Asian Region,</w:t>
            </w:r>
            <w:r>
              <w:t xml:space="preserve"> </w:t>
            </w:r>
            <w:r>
              <w:t xml:space="preserve">Western Pacific?)</w:t>
            </w:r>
          </w:p>
        </w:tc>
        <w:tc>
          <w:tcPr/>
          <w:p>
            <w:pPr>
              <w:pStyle w:val="BodyText"/>
            </w:pPr>
            <w:r>
              <w:t xml:space="preserve">BEF (DST):</w:t>
            </w:r>
            <w:r>
              <w:t xml:space="preserve"> </w:t>
            </w:r>
            <w:r>
              <w:rPr>
                <w:rStyle w:val="VerbatimChar"/>
              </w:rPr>
              <w:t xml:space="preserve">OPR_LAND</w:t>
            </w:r>
            <w:r>
              <w:t xml:space="preserve"> </w:t>
            </w:r>
            <w:r>
              <w:t xml:space="preserve">(country</w:t>
            </w:r>
            <w:r>
              <w:t xml:space="preserve"> </w:t>
            </w:r>
            <w:r>
              <w:t xml:space="preserve">of origin, DST country codes)</w:t>
            </w:r>
            <w:r>
              <w:t xml:space="preserve"> </w:t>
            </w:r>
            <w:r>
              <w:t xml:space="preserve">and</w:t>
            </w:r>
            <w:r>
              <w:t xml:space="preserve"> </w:t>
            </w:r>
            <w:r>
              <w:rPr>
                <w:rStyle w:val="VerbatimChar"/>
              </w:rPr>
              <w:t xml:space="preserve">IE_TYPE</w:t>
            </w:r>
            <w:r>
              <w:t xml:space="preserve"> </w:t>
            </w:r>
            <w:r>
              <w:t xml:space="preserve">(1 = Danish</w:t>
            </w:r>
            <w:r>
              <w:t xml:space="preserve"> </w:t>
            </w:r>
            <w:r>
              <w:t xml:space="preserve">origin, 2 = immigrant, 3 =</w:t>
            </w:r>
            <w:r>
              <w:t xml:space="preserve"> </w:t>
            </w:r>
            <w:r>
              <w:t xml:space="preserve">descendant); country codes</w:t>
            </w:r>
            <w:r>
              <w:t xml:space="preserve"> </w:t>
            </w:r>
            <w:r>
              <w:t xml:space="preserve">mapped to WHO regions with a</w:t>
            </w:r>
            <w:r>
              <w:t xml:space="preserve"> </w:t>
            </w:r>
            <w:r>
              <w:t xml:space="preserve">self-made key.</w:t>
            </w:r>
          </w:p>
          <w:p>
            <w:pPr>
              <w:pStyle w:val="BodyText"/>
            </w:pPr>
            <w:r>
              <w:t xml:space="preserve">Grouping in Nielsen H et al.,</w:t>
            </w:r>
            <w:r>
              <w:t xml:space="preserve"> </w:t>
            </w:r>
            <w:r>
              <w:t xml:space="preserve">JCEM 2024</w:t>
            </w:r>
            <w:r>
              <w:t xml:space="preserve"> </w:t>
            </w:r>
            <w:r>
              <w:t xml:space="preserve">(10.1210/clinem/dgae113):</w:t>
            </w:r>
            <w:r>
              <w:t xml:space="preserve"> </w:t>
            </w:r>
            <w:r>
              <w:t xml:space="preserve">Danish origin (reference);</w:t>
            </w:r>
            <w:r>
              <w:t xml:space="preserve"> </w:t>
            </w:r>
            <w:r>
              <w:t xml:space="preserve">single countries with &gt; 150</w:t>
            </w:r>
            <w:r>
              <w:t xml:space="preserve"> </w:t>
            </w:r>
            <w:r>
              <w:t xml:space="preserve">GDM cases or high GDM risk</w:t>
            </w:r>
            <w:r>
              <w:t xml:space="preserve"> </w:t>
            </w:r>
            <w:r>
              <w:t xml:space="preserve">(Turkey, Iraq, Pakistan,</w:t>
            </w:r>
            <w:r>
              <w:t xml:space="preserve"> </w:t>
            </w:r>
            <w:r>
              <w:t xml:space="preserve">Somalia, Sri Lanka,</w:t>
            </w:r>
            <w:r>
              <w:t xml:space="preserve"> </w:t>
            </w:r>
            <w:r>
              <w:t xml:space="preserve">Afghanistan, Morocco, Syria,</w:t>
            </w:r>
            <w:r>
              <w:t xml:space="preserve"> </w:t>
            </w:r>
            <w:r>
              <w:t xml:space="preserve">China); remaining countries by</w:t>
            </w:r>
            <w:r>
              <w:t xml:space="preserve"> </w:t>
            </w:r>
            <w:r>
              <w:t xml:space="preserve">WHO region (African, Eastern</w:t>
            </w:r>
            <w:r>
              <w:t xml:space="preserve"> </w:t>
            </w:r>
            <w:r>
              <w:t xml:space="preserve">Mediterranean, European,</w:t>
            </w:r>
            <w:r>
              <w:t xml:space="preserve"> </w:t>
            </w:r>
            <w:r>
              <w:t xml:space="preserve">Americas, South-East Asian,</w:t>
            </w:r>
            <w:r>
              <w:t xml:space="preserve"> </w:t>
            </w:r>
            <w:r>
              <w:t xml:space="preserve">Western Pacific).</w:t>
            </w:r>
          </w:p>
        </w:tc>
      </w:tr>
      <w:tr>
        <w:tc>
          <w:tcPr/>
          <w:p>
            <w:pPr>
              <w:pStyle w:val="Compact"/>
            </w:pPr>
          </w:p>
        </w:tc>
        <w:tc>
          <w:tcPr/>
          <w:p>
            <w:pPr>
              <w:pStyle w:val="BodyText"/>
            </w:pPr>
            <w:r>
              <w:t xml:space="preserve">Socioeconomic</w:t>
            </w:r>
            <w:r>
              <w:t xml:space="preserve"> </w:t>
            </w:r>
            <w:r>
              <w:t xml:space="preserve">indicators:</w:t>
            </w:r>
          </w:p>
          <w:p>
            <w:pPr>
              <w:pStyle w:val="Compact"/>
              <w:numPr>
                <w:ilvl w:val="0"/>
                <w:numId w:val="1002"/>
              </w:numPr>
            </w:pPr>
            <w:r>
              <w:t xml:space="preserve">Education</w:t>
            </w:r>
          </w:p>
          <w:p>
            <w:pPr>
              <w:pStyle w:val="Compact"/>
              <w:numPr>
                <w:ilvl w:val="0"/>
                <w:numId w:val="1002"/>
              </w:numPr>
            </w:pPr>
            <w:r>
              <w:t xml:space="preserve">Income</w:t>
            </w:r>
          </w:p>
        </w:tc>
        <w:tc>
          <w:tcPr/>
          <w:p>
            <w:pPr>
              <w:pStyle w:val="Compact"/>
              <w:numPr>
                <w:ilvl w:val="0"/>
                <w:numId w:val="1003"/>
              </w:numPr>
            </w:pPr>
            <w:r>
              <w:t xml:space="preserve">Education: UDDA (DST),</w:t>
            </w:r>
            <w:r>
              <w:t xml:space="preserve"> </w:t>
            </w:r>
            <w:r>
              <w:rPr>
                <w:rStyle w:val="VerbatimChar"/>
              </w:rPr>
              <w:t xml:space="preserve">HFAUDD</w:t>
            </w:r>
            <w:r>
              <w:t xml:space="preserve"> </w:t>
            </w:r>
            <w:r>
              <w:t xml:space="preserve">(highest completed</w:t>
            </w:r>
            <w:r>
              <w:t xml:space="preserve"> </w:t>
            </w:r>
            <w:r>
              <w:t xml:space="preserve">education) mapped to ISCED</w:t>
            </w:r>
            <w:r>
              <w:t xml:space="preserve"> </w:t>
            </w:r>
            <w:r>
              <w:t xml:space="preserve">2011 levels; status in the</w:t>
            </w:r>
            <w:r>
              <w:t xml:space="preserve"> </w:t>
            </w:r>
            <w:r>
              <w:t xml:space="preserve">year before delivery. Often</w:t>
            </w:r>
            <w:r>
              <w:t xml:space="preserve"> </w:t>
            </w:r>
            <w:r>
              <w:t xml:space="preserve">missing for immigrants</w:t>
            </w:r>
            <w:r>
              <w:t xml:space="preserve"> </w:t>
            </w:r>
            <w:r>
              <w:t xml:space="preserve">(coded</w:t>
            </w:r>
            <w:r>
              <w:t xml:space="preserve"> </w:t>
            </w:r>
            <w:r>
              <w:t xml:space="preserve">‘uoplyst’</w:t>
            </w:r>
            <w:r>
              <w:t xml:space="preserve">).</w:t>
            </w:r>
          </w:p>
          <w:p>
            <w:pPr>
              <w:pStyle w:val="Compact"/>
              <w:numPr>
                <w:ilvl w:val="0"/>
                <w:numId w:val="1003"/>
              </w:numPr>
            </w:pPr>
            <w:r>
              <w:t xml:space="preserve">Income: IND (DST), e.g.</w:t>
            </w:r>
            <w:r>
              <w:t xml:space="preserve"> </w:t>
            </w:r>
            <w:r>
              <w:rPr>
                <w:rStyle w:val="VerbatimChar"/>
              </w:rPr>
              <w:t xml:space="preserve">FAMAEKVIVADISP_13</w:t>
            </w:r>
            <w:r>
              <w:t xml:space="preserve"> </w:t>
            </w:r>
            <w:r>
              <w:t xml:space="preserve">(equivalised household</w:t>
            </w:r>
            <w:r>
              <w:t xml:space="preserve"> </w:t>
            </w:r>
            <w:r>
              <w:t xml:space="preserve">disposable income) or</w:t>
            </w:r>
            <w:r>
              <w:t xml:space="preserve"> </w:t>
            </w:r>
            <w:r>
              <w:rPr>
                <w:rStyle w:val="VerbatimChar"/>
              </w:rPr>
              <w:t xml:space="preserve">PERINDKIALT_13</w:t>
            </w:r>
            <w:r>
              <w:t xml:space="preserve"> </w:t>
            </w:r>
            <w:r>
              <w:t xml:space="preserve">(personal</w:t>
            </w:r>
            <w:r>
              <w:t xml:space="preserve"> </w:t>
            </w:r>
            <w:r>
              <w:t xml:space="preserve">gross income); year before</w:t>
            </w:r>
            <w:r>
              <w:t xml:space="preserve"> </w:t>
            </w:r>
            <w:r>
              <w:t xml:space="preserve">delivery, as quintiles</w:t>
            </w:r>
            <w:r>
              <w:t xml:space="preserve"> </w:t>
            </w:r>
            <w:r>
              <w:t xml:space="preserve">within calendar year.</w:t>
            </w:r>
          </w:p>
        </w:tc>
      </w:tr>
      <w:tr>
        <w:tc>
          <w:tcPr/>
          <w:p>
            <w:pPr>
              <w:pStyle w:val="Compact"/>
            </w:pPr>
            <w:r>
              <w:t xml:space="preserve">Diagnosis</w:t>
            </w:r>
          </w:p>
        </w:tc>
        <w:tc>
          <w:tcPr/>
          <w:p>
            <w:pPr>
              <w:pStyle w:val="Compact"/>
            </w:pPr>
            <w:r>
              <w:t xml:space="preserve">All ICD codes 10-year</w:t>
            </w:r>
            <w:r>
              <w:t xml:space="preserve"> </w:t>
            </w:r>
            <w:r>
              <w:t xml:space="preserve">prior child birth from</w:t>
            </w:r>
            <w:r>
              <w:t xml:space="preserve"> </w:t>
            </w:r>
            <w:r>
              <w:t xml:space="preserve">National Patient</w:t>
            </w:r>
            <w:r>
              <w:t xml:space="preserve"> </w:t>
            </w:r>
            <w:r>
              <w:t xml:space="preserve">Registry</w:t>
            </w:r>
          </w:p>
        </w:tc>
        <w:tc>
          <w:tcPr/>
          <w:p>
            <w:pPr>
              <w:pStyle w:val="Compact"/>
            </w:pPr>
            <w:r>
              <w:t xml:space="preserve">LPR (DST): LPR2</w:t>
            </w:r>
            <w:r>
              <w:t xml:space="preserve"> </w:t>
            </w:r>
            <w:r>
              <w:rPr>
                <w:rStyle w:val="VerbatimChar"/>
              </w:rPr>
              <w:t xml:space="preserve">lpr_adm</w:t>
            </w:r>
            <w:r>
              <w:t xml:space="preserve"> </w:t>
            </w:r>
            <w:r>
              <w:t xml:space="preserve">+</w:t>
            </w:r>
            <w:r>
              <w:t xml:space="preserve"> </w:t>
            </w:r>
            <w:r>
              <w:rPr>
                <w:rStyle w:val="VerbatimChar"/>
              </w:rPr>
              <w:t xml:space="preserve">lpr_diag</w:t>
            </w:r>
            <w:r>
              <w:t xml:space="preserve"> </w:t>
            </w:r>
            <w:r>
              <w:t xml:space="preserve">(to Feb 2019) and</w:t>
            </w:r>
            <w:r>
              <w:t xml:space="preserve"> </w:t>
            </w:r>
            <w:r>
              <w:t xml:space="preserve">LPR3</w:t>
            </w:r>
            <w:r>
              <w:t xml:space="preserve"> </w:t>
            </w:r>
            <w:r>
              <w:rPr>
                <w:rStyle w:val="VerbatimChar"/>
              </w:rPr>
              <w:t xml:space="preserve">kontakter</w:t>
            </w:r>
            <w:r>
              <w:t xml:space="preserve"> </w:t>
            </w:r>
            <w:r>
              <w:t xml:space="preserve">+</w:t>
            </w:r>
            <w:r>
              <w:t xml:space="preserve"> </w:t>
            </w:r>
            <w:r>
              <w:rPr>
                <w:rStyle w:val="VerbatimChar"/>
              </w:rPr>
              <w:t xml:space="preserve">diagnoser</w:t>
            </w:r>
            <w:r>
              <w:t xml:space="preserve"> </w:t>
            </w:r>
            <w:r>
              <w:t xml:space="preserve">(from Feb 2019). ICD-10 in SKS</w:t>
            </w:r>
            <w:r>
              <w:t xml:space="preserve"> </w:t>
            </w:r>
            <w:r>
              <w:t xml:space="preserve">format (D-prefixed, e.g.</w:t>
            </w:r>
            <w:r>
              <w:t xml:space="preserve"> </w:t>
            </w:r>
            <w:r>
              <w:t xml:space="preserve">DE11); A- and B-diagnoses; in</w:t>
            </w:r>
            <w:r>
              <w:t xml:space="preserve"> </w:t>
            </w:r>
            <w:r>
              <w:t xml:space="preserve">LPR3 exclude diagnoses flagged</w:t>
            </w:r>
            <w:r>
              <w:t xml:space="preserve"> </w:t>
            </w:r>
            <w:r>
              <w:rPr>
                <w:rStyle w:val="VerbatimChar"/>
              </w:rPr>
              <w:t xml:space="preserve">senere_afkraeftet</w:t>
            </w:r>
            <w:r>
              <w:t xml:space="preserve">.</w:t>
            </w:r>
            <w:r>
              <w:t xml:space="preserve"> </w:t>
            </w:r>
            <w:r>
              <w:t xml:space="preserve">Inpatient, outpatient and</w:t>
            </w:r>
            <w:r>
              <w:t xml:space="preserve"> </w:t>
            </w:r>
            <w:r>
              <w:t xml:space="preserve">emergency contacts (outpatient</w:t>
            </w:r>
            <w:r>
              <w:t xml:space="preserve"> </w:t>
            </w:r>
            <w:r>
              <w:t xml:space="preserve">and emergency from 1995).</w:t>
            </w:r>
          </w:p>
        </w:tc>
      </w:tr>
      <w:tr>
        <w:tc>
          <w:tcPr/>
          <w:p>
            <w:pPr>
              <w:pStyle w:val="Compact"/>
            </w:pPr>
          </w:p>
        </w:tc>
        <w:tc>
          <w:tcPr/>
          <w:p>
            <w:pPr>
              <w:pStyle w:val="BodyText"/>
            </w:pPr>
            <w:r>
              <w:t xml:space="preserve">Specific diagnosis</w:t>
            </w:r>
          </w:p>
          <w:p>
            <w:pPr>
              <w:pStyle w:val="Compact"/>
              <w:numPr>
                <w:ilvl w:val="0"/>
                <w:numId w:val="1004"/>
              </w:numPr>
            </w:pPr>
            <w:r>
              <w:t xml:space="preserve">Polyendocrine</w:t>
            </w:r>
            <w:r>
              <w:t xml:space="preserve"> </w:t>
            </w:r>
            <w:r>
              <w:t xml:space="preserve">metabolic ovarian</w:t>
            </w:r>
            <w:r>
              <w:t xml:space="preserve"> </w:t>
            </w:r>
            <w:r>
              <w:t xml:space="preserve">syndrome (PMOS)</w:t>
            </w:r>
          </w:p>
          <w:p>
            <w:pPr>
              <w:pStyle w:val="Compact"/>
              <w:numPr>
                <w:ilvl w:val="0"/>
                <w:numId w:val="1004"/>
              </w:numPr>
            </w:pPr>
            <w:r>
              <w:t xml:space="preserve">Gestational diabetes</w:t>
            </w:r>
            <w:r>
              <w:t xml:space="preserve"> </w:t>
            </w:r>
            <w:r>
              <w:t xml:space="preserve">(GDM) from previous</w:t>
            </w:r>
            <w:r>
              <w:t xml:space="preserve"> </w:t>
            </w:r>
            <w:r>
              <w:t xml:space="preserve">pregnancy</w:t>
            </w:r>
          </w:p>
          <w:p>
            <w:pPr>
              <w:pStyle w:val="Compact"/>
              <w:numPr>
                <w:ilvl w:val="0"/>
                <w:numId w:val="1004"/>
              </w:numPr>
            </w:pPr>
            <w:r>
              <w:t xml:space="preserve">Pre-eclampsia or</w:t>
            </w:r>
            <w:r>
              <w:t xml:space="preserve"> </w:t>
            </w:r>
            <w:r>
              <w:t xml:space="preserve">gestational</w:t>
            </w:r>
            <w:r>
              <w:t xml:space="preserve"> </w:t>
            </w:r>
            <w:r>
              <w:t xml:space="preserve">hypertension from</w:t>
            </w:r>
            <w:r>
              <w:t xml:space="preserve"> </w:t>
            </w:r>
            <w:r>
              <w:t xml:space="preserve">previous pregnancy.</w:t>
            </w:r>
          </w:p>
        </w:tc>
        <w:tc>
          <w:tcPr/>
          <w:p>
            <w:pPr>
              <w:pStyle w:val="Compact"/>
              <w:numPr>
                <w:ilvl w:val="0"/>
                <w:numId w:val="1005"/>
              </w:numPr>
            </w:pPr>
            <w:r>
              <w:t xml:space="preserve">PMOS: LPR ICD-10 DE282</w:t>
            </w:r>
            <w:r>
              <w:t xml:space="preserve"> </w:t>
            </w:r>
            <w:r>
              <w:t xml:space="preserve">(polycystic ovary syndrome;</w:t>
            </w:r>
            <w:r>
              <w:t xml:space="preserve"> </w:t>
            </w:r>
            <w:r>
              <w:t xml:space="preserve">no separate code after the</w:t>
            </w:r>
            <w:r>
              <w:t xml:space="preserve"> </w:t>
            </w:r>
            <w:r>
              <w:t xml:space="preserve">2026 renaming).</w:t>
            </w:r>
            <w:r>
              <w:t xml:space="preserve"> </w:t>
            </w:r>
            <w:r>
              <w:t xml:space="preserve">Under-ascertained in LPR</w:t>
            </w:r>
            <w:r>
              <w:t xml:space="preserve"> </w:t>
            </w:r>
            <w:r>
              <w:t xml:space="preserve">because many are diagnosed</w:t>
            </w:r>
            <w:r>
              <w:t xml:space="preserve"> </w:t>
            </w:r>
            <w:r>
              <w:t xml:space="preserve">in private gynaecology</w:t>
            </w:r>
            <w:r>
              <w:t xml:space="preserve"> </w:t>
            </w:r>
            <w:r>
              <w:t xml:space="preserve">practice; possible proxies</w:t>
            </w:r>
            <w:r>
              <w:t xml:space="preserve"> </w:t>
            </w:r>
            <w:r>
              <w:t xml:space="preserve">are hirsutism DL680 and</w:t>
            </w:r>
            <w:r>
              <w:t xml:space="preserve"> </w:t>
            </w:r>
            <w:r>
              <w:t xml:space="preserve">metformin A10BA02 without</w:t>
            </w:r>
            <w:r>
              <w:t xml:space="preserve"> </w:t>
            </w:r>
            <w:r>
              <w:t xml:space="preserve">diabetes (LMDB).</w:t>
            </w:r>
          </w:p>
          <w:p>
            <w:pPr>
              <w:pStyle w:val="Compact"/>
              <w:numPr>
                <w:ilvl w:val="0"/>
                <w:numId w:val="1005"/>
              </w:numPr>
            </w:pPr>
            <w:r>
              <w:t xml:space="preserve">GDM: LPR ICD-10 DO244</w:t>
            </w:r>
            <w:r>
              <w:t xml:space="preserve"> </w:t>
            </w:r>
            <w:r>
              <w:t xml:space="preserve">(diabetes arising in</w:t>
            </w:r>
            <w:r>
              <w:t xml:space="preserve"> </w:t>
            </w:r>
            <w:r>
              <w:t xml:space="preserve">pregnancy); DO249 (diabetes</w:t>
            </w:r>
            <w:r>
              <w:t xml:space="preserve"> </w:t>
            </w:r>
            <w:r>
              <w:t xml:space="preserve">in pregnancy, unspecified)</w:t>
            </w:r>
            <w:r>
              <w:t xml:space="preserve"> </w:t>
            </w:r>
            <w:r>
              <w:t xml:space="preserve">as sensitivity. Previous</w:t>
            </w:r>
            <w:r>
              <w:t xml:space="preserve"> </w:t>
            </w:r>
            <w:r>
              <w:t xml:space="preserve">pregnancies = earlier</w:t>
            </w:r>
            <w:r>
              <w:t xml:space="preserve"> </w:t>
            </w:r>
            <w:r>
              <w:t xml:space="preserve">deliveries of the same woman</w:t>
            </w:r>
            <w:r>
              <w:t xml:space="preserve"> </w:t>
            </w:r>
            <w:r>
              <w:t xml:space="preserve">in MFR.</w:t>
            </w:r>
          </w:p>
          <w:p>
            <w:pPr>
              <w:pStyle w:val="Compact"/>
              <w:numPr>
                <w:ilvl w:val="0"/>
                <w:numId w:val="1005"/>
              </w:numPr>
            </w:pPr>
            <w:r>
              <w:t xml:space="preserve">Pre-eclampsia: LPR ICD-10</w:t>
            </w:r>
            <w:r>
              <w:t xml:space="preserve"> </w:t>
            </w:r>
            <w:r>
              <w:t xml:space="preserve">DO14 (incl. DO142 HELLP),</w:t>
            </w:r>
            <w:r>
              <w:t xml:space="preserve"> </w:t>
            </w:r>
            <w:r>
              <w:t xml:space="preserve">DO15 (eclampsia), DO11</w:t>
            </w:r>
            <w:r>
              <w:t xml:space="preserve"> </w:t>
            </w:r>
            <w:r>
              <w:t xml:space="preserve">(pre-existing hypertension</w:t>
            </w:r>
            <w:r>
              <w:t xml:space="preserve"> </w:t>
            </w:r>
            <w:r>
              <w:t xml:space="preserve">with superimposed</w:t>
            </w:r>
            <w:r>
              <w:t xml:space="preserve"> </w:t>
            </w:r>
            <w:r>
              <w:t xml:space="preserve">pre-eclampsia). Gestational</w:t>
            </w:r>
            <w:r>
              <w:t xml:space="preserve"> </w:t>
            </w:r>
            <w:r>
              <w:t xml:space="preserve">hypertension: DO13.</w:t>
            </w:r>
          </w:p>
        </w:tc>
      </w:tr>
      <w:tr>
        <w:tc>
          <w:tcPr/>
          <w:p>
            <w:pPr>
              <w:pStyle w:val="Compact"/>
            </w:pPr>
            <w:r>
              <w:t xml:space="preserve">Medication</w:t>
            </w:r>
          </w:p>
        </w:tc>
        <w:tc>
          <w:tcPr/>
          <w:p>
            <w:pPr>
              <w:pStyle w:val="Compact"/>
            </w:pPr>
            <w:r>
              <w:t xml:space="preserve">All ATC codes 10-year</w:t>
            </w:r>
            <w:r>
              <w:t xml:space="preserve"> </w:t>
            </w:r>
            <w:r>
              <w:t xml:space="preserve">prior childbirth from</w:t>
            </w:r>
            <w:r>
              <w:t xml:space="preserve"> </w:t>
            </w:r>
            <w:r>
              <w:t xml:space="preserve">National Prescription</w:t>
            </w:r>
            <w:r>
              <w:t xml:space="preserve"> </w:t>
            </w:r>
            <w:r>
              <w:t xml:space="preserve">Registry</w:t>
            </w:r>
          </w:p>
        </w:tc>
        <w:tc>
          <w:tcPr/>
          <w:p>
            <w:pPr>
              <w:pStyle w:val="Compact"/>
            </w:pPr>
            <w:r>
              <w:t xml:space="preserve">LMDB (DST):</w:t>
            </w:r>
            <w:r>
              <w:t xml:space="preserve"> </w:t>
            </w:r>
            <w:r>
              <w:rPr>
                <w:rStyle w:val="VerbatimChar"/>
              </w:rPr>
              <w:t xml:space="preserve">ATC</w:t>
            </w:r>
            <w:r>
              <w:t xml:space="preserve"> </w:t>
            </w:r>
            <w:r>
              <w:t xml:space="preserve">(full code)</w:t>
            </w:r>
            <w:r>
              <w:t xml:space="preserve"> </w:t>
            </w:r>
            <w:r>
              <w:t xml:space="preserve">and</w:t>
            </w:r>
            <w:r>
              <w:t xml:space="preserve"> </w:t>
            </w:r>
            <w:r>
              <w:rPr>
                <w:rStyle w:val="VerbatimChar"/>
              </w:rPr>
              <w:t xml:space="preserve">EKSD</w:t>
            </w:r>
            <w:r>
              <w:t xml:space="preserve"> </w:t>
            </w:r>
            <w:r>
              <w:t xml:space="preserve">(dispensing date);</w:t>
            </w:r>
            <w:r>
              <w:t xml:space="preserve"> </w:t>
            </w:r>
            <w:r>
              <w:t xml:space="preserve">prescriptions redeemed at</w:t>
            </w:r>
            <w:r>
              <w:t xml:space="preserve"> </w:t>
            </w:r>
            <w:r>
              <w:t xml:space="preserve">community pharmacies from 1995</w:t>
            </w:r>
            <w:r>
              <w:t xml:space="preserve"> </w:t>
            </w:r>
            <w:r>
              <w:t xml:space="preserve">(no in-hospital medication).</w:t>
            </w:r>
          </w:p>
        </w:tc>
      </w:tr>
      <w:tr>
        <w:tc>
          <w:tcPr/>
          <w:p>
            <w:pPr>
              <w:pStyle w:val="Compact"/>
            </w:pPr>
            <w:r>
              <w:t xml:space="preserve">Biochemical</w:t>
            </w:r>
            <w:r>
              <w:t xml:space="preserve"> </w:t>
            </w:r>
            <w:r>
              <w:t xml:space="preserve">measures</w:t>
            </w:r>
          </w:p>
        </w:tc>
        <w:tc>
          <w:tcPr/>
          <w:p>
            <w:pPr>
              <w:pStyle w:val="BodyText"/>
            </w:pPr>
            <w:r>
              <w:t xml:space="preserve">From Laboratory</w:t>
            </w:r>
            <w:r>
              <w:t xml:space="preserve"> </w:t>
            </w:r>
            <w:r>
              <w:t xml:space="preserve">Registry:</w:t>
            </w:r>
          </w:p>
          <w:p>
            <w:pPr>
              <w:pStyle w:val="Compact"/>
              <w:numPr>
                <w:ilvl w:val="0"/>
                <w:numId w:val="1006"/>
              </w:numPr>
            </w:pPr>
            <w:r>
              <w:t xml:space="preserve">HbA1c and lipids: 3</w:t>
            </w:r>
            <w:r>
              <w:t xml:space="preserve"> </w:t>
            </w:r>
            <w:r>
              <w:t xml:space="preserve">years prior to index</w:t>
            </w:r>
            <w:r>
              <w:t xml:space="preserve"> </w:t>
            </w:r>
            <w:r>
              <w:t xml:space="preserve">pregnancy</w:t>
            </w:r>
          </w:p>
          <w:p>
            <w:pPr>
              <w:pStyle w:val="Compact"/>
              <w:numPr>
                <w:ilvl w:val="0"/>
                <w:numId w:val="1006"/>
              </w:numPr>
            </w:pPr>
            <w:r>
              <w:t xml:space="preserve">Hb, markers of liver</w:t>
            </w:r>
            <w:r>
              <w:t xml:space="preserve"> </w:t>
            </w:r>
            <w:r>
              <w:t xml:space="preserve">and kidney function if</w:t>
            </w:r>
            <w:r>
              <w:t xml:space="preserve"> </w:t>
            </w:r>
            <w:r>
              <w:t xml:space="preserve">available,</w:t>
            </w:r>
            <w:r>
              <w:t xml:space="preserve"> </w:t>
            </w:r>
            <w:r>
              <w:t xml:space="preserve">inflammatory markers</w:t>
            </w:r>
          </w:p>
        </w:tc>
        <w:tc>
          <w:tcPr/>
          <w:p>
            <w:pPr>
              <w:pStyle w:val="FirstParagraph"/>
            </w:pPr>
            <w:r>
              <w:t xml:space="preserve">Register of Laboratory Results</w:t>
            </w:r>
            <w:r>
              <w:t xml:space="preserve"> </w:t>
            </w:r>
            <w:r>
              <w:t xml:space="preserve">for Research (RLRR), DST table</w:t>
            </w:r>
            <w:r>
              <w:t xml:space="preserve"> </w:t>
            </w:r>
            <w:r>
              <w:rPr>
                <w:rStyle w:val="VerbatimChar"/>
              </w:rPr>
              <w:t xml:space="preserve">lab_forsker</w:t>
            </w:r>
            <w:r>
              <w:t xml:space="preserve">:</w:t>
            </w:r>
            <w:r>
              <w:t xml:space="preserve"> </w:t>
            </w:r>
            <w:r>
              <w:rPr>
                <w:rStyle w:val="VerbatimChar"/>
              </w:rPr>
              <w:t xml:space="preserve">analysiscode</w:t>
            </w:r>
            <w:r>
              <w:t xml:space="preserve"> </w:t>
            </w:r>
            <w:r>
              <w:t xml:space="preserve">(NPU),</w:t>
            </w:r>
            <w:r>
              <w:t xml:space="preserve"> </w:t>
            </w:r>
            <w:r>
              <w:rPr>
                <w:rStyle w:val="VerbatimChar"/>
              </w:rPr>
              <w:t xml:space="preserve">samplingdate</w:t>
            </w:r>
            <w:r>
              <w:t xml:space="preserve">,</w:t>
            </w:r>
            <w:r>
              <w:t xml:space="preserve"> </w:t>
            </w:r>
            <w:r>
              <w:rPr>
                <w:rStyle w:val="VerbatimChar"/>
              </w:rPr>
              <w:t xml:space="preserve">value</w:t>
            </w:r>
            <w:r>
              <w:t xml:space="preserve">.</w:t>
            </w:r>
          </w:p>
          <w:p>
            <w:pPr>
              <w:pStyle w:val="Compact"/>
              <w:numPr>
                <w:ilvl w:val="0"/>
                <w:numId w:val="1007"/>
              </w:numPr>
            </w:pPr>
            <w:r>
              <w:t xml:space="preserve">HbA1c: NPU27300 (mmol/mol);</w:t>
            </w:r>
            <w:r>
              <w:t xml:space="preserve"> </w:t>
            </w:r>
            <w:r>
              <w:t xml:space="preserve">NPU03835 (%, DCCT).</w:t>
            </w:r>
          </w:p>
          <w:p>
            <w:pPr>
              <w:pStyle w:val="Compact"/>
              <w:numPr>
                <w:ilvl w:val="0"/>
                <w:numId w:val="1007"/>
              </w:numPr>
            </w:pPr>
            <w:r>
              <w:t xml:space="preserve">Lipids: total cholesterol</w:t>
            </w:r>
            <w:r>
              <w:t xml:space="preserve"> </w:t>
            </w:r>
            <w:r>
              <w:t xml:space="preserve">NPU01566; HDL NPU01567,</w:t>
            </w:r>
            <w:r>
              <w:t xml:space="preserve"> </w:t>
            </w:r>
            <w:r>
              <w:t xml:space="preserve">NPU10157 (fasting); LDL</w:t>
            </w:r>
            <w:r>
              <w:t xml:space="preserve"> </w:t>
            </w:r>
            <w:r>
              <w:t xml:space="preserve">NPU01568; triglycerides</w:t>
            </w:r>
            <w:r>
              <w:t xml:space="preserve"> </w:t>
            </w:r>
            <w:r>
              <w:t xml:space="preserve">NPU04094, NPU03620</w:t>
            </w:r>
            <w:r>
              <w:t xml:space="preserve"> </w:t>
            </w:r>
            <w:r>
              <w:t xml:space="preserve">(fasting).</w:t>
            </w:r>
          </w:p>
          <w:p>
            <w:pPr>
              <w:pStyle w:val="Compact"/>
              <w:numPr>
                <w:ilvl w:val="0"/>
                <w:numId w:val="1007"/>
              </w:numPr>
            </w:pPr>
            <w:r>
              <w:t xml:space="preserve">Haemoglobin: NPU02319.</w:t>
            </w:r>
          </w:p>
          <w:p>
            <w:pPr>
              <w:pStyle w:val="Compact"/>
              <w:numPr>
                <w:ilvl w:val="0"/>
                <w:numId w:val="1007"/>
              </w:numPr>
            </w:pPr>
            <w:r>
              <w:t xml:space="preserve">Liver: ALAT NPU19651; GGT</w:t>
            </w:r>
            <w:r>
              <w:t xml:space="preserve"> </w:t>
            </w:r>
            <w:r>
              <w:t xml:space="preserve">NPU19657; alkaline</w:t>
            </w:r>
            <w:r>
              <w:t xml:space="preserve"> </w:t>
            </w:r>
            <w:r>
              <w:t xml:space="preserve">phosphatase NPU27783;</w:t>
            </w:r>
            <w:r>
              <w:t xml:space="preserve"> </w:t>
            </w:r>
            <w:r>
              <w:t xml:space="preserve">bilirubin NPU01370; albumin</w:t>
            </w:r>
            <w:r>
              <w:t xml:space="preserve"> </w:t>
            </w:r>
            <w:r>
              <w:t xml:space="preserve">NPU19673.</w:t>
            </w:r>
          </w:p>
          <w:p>
            <w:pPr>
              <w:pStyle w:val="Compact"/>
              <w:numPr>
                <w:ilvl w:val="0"/>
                <w:numId w:val="1007"/>
              </w:numPr>
            </w:pPr>
            <w:r>
              <w:t xml:space="preserve">Kidney: creatinine NPU18016;</w:t>
            </w:r>
            <w:r>
              <w:t xml:space="preserve"> </w:t>
            </w:r>
            <w:r>
              <w:t xml:space="preserve">eGFR DNK35302 (CKD-EPI);</w:t>
            </w:r>
            <w:r>
              <w:t xml:space="preserve"> </w:t>
            </w:r>
            <w:r>
              <w:t xml:space="preserve">urine albumin/creatinine</w:t>
            </w:r>
            <w:r>
              <w:t xml:space="preserve"> </w:t>
            </w:r>
            <w:r>
              <w:t xml:space="preserve">ratio NPU19661, NPU03918.</w:t>
            </w:r>
          </w:p>
          <w:p>
            <w:pPr>
              <w:pStyle w:val="Compact"/>
              <w:numPr>
                <w:ilvl w:val="0"/>
                <w:numId w:val="1007"/>
              </w:numPr>
            </w:pPr>
            <w:r>
              <w:t xml:space="preserve">Inflammation: CRP NPU19748.</w:t>
            </w:r>
          </w:p>
          <w:p>
            <w:pPr>
              <w:pStyle w:val="FirstParagraph"/>
            </w:pPr>
            <w:r>
              <w:t xml:space="preserve">Nationwide coverage only from</w:t>
            </w:r>
            <w:r>
              <w:t xml:space="preserve"> </w:t>
            </w:r>
            <w:r>
              <w:t xml:space="preserve">Oct 2013 (North, Central,</w:t>
            </w:r>
            <w:r>
              <w:t xml:space="preserve"> </w:t>
            </w:r>
            <w:r>
              <w:t xml:space="preserve">Zealand), Oct 2014 (Capital)</w:t>
            </w:r>
            <w:r>
              <w:t xml:space="preserve"> </w:t>
            </w:r>
            <w:r>
              <w:t xml:space="preserve">and Jul 2015 (Southern), so a</w:t>
            </w:r>
            <w:r>
              <w:t xml:space="preserve"> </w:t>
            </w:r>
            <w:r>
              <w:t xml:space="preserve">full 3-year look-back exists</w:t>
            </w:r>
            <w:r>
              <w:t xml:space="preserve"> </w:t>
            </w:r>
            <w:r>
              <w:t xml:space="preserve">only for pregnancies starting</w:t>
            </w:r>
            <w:r>
              <w:t xml:space="preserve"> </w:t>
            </w:r>
            <w:r>
              <w:t xml:space="preserve">from mid-2018.</w:t>
            </w:r>
          </w:p>
        </w:tc>
      </w:tr>
      <w:tr>
        <w:tc>
          <w:tcPr/>
          <w:p>
            <w:pPr>
              <w:pStyle w:val="Compact"/>
            </w:pPr>
            <w:r>
              <w:t xml:space="preserve">Family disease</w:t>
            </w:r>
            <w:r>
              <w:t xml:space="preserve"> </w:t>
            </w:r>
            <w:r>
              <w:t xml:space="preserve">history</w:t>
            </w:r>
          </w:p>
        </w:tc>
        <w:tc>
          <w:tcPr/>
          <w:p>
            <w:pPr>
              <w:pStyle w:val="BodyText"/>
            </w:pPr>
            <w:r>
              <w:t xml:space="preserve">Based on</w:t>
            </w:r>
            <w:r>
              <w:t xml:space="preserve"> </w:t>
            </w:r>
            <w:r>
              <w:t xml:space="preserve">multigenerational</w:t>
            </w:r>
            <w:r>
              <w:t xml:space="preserve"> </w:t>
            </w:r>
            <w:r>
              <w:t xml:space="preserve">registry linkage:</w:t>
            </w:r>
          </w:p>
          <w:p>
            <w:pPr>
              <w:pStyle w:val="Compact"/>
              <w:numPr>
                <w:ilvl w:val="0"/>
                <w:numId w:val="1008"/>
              </w:numPr>
            </w:pPr>
            <w:r>
              <w:t xml:space="preserve">Family History of T2D:</w:t>
            </w:r>
            <w:r>
              <w:t xml:space="preserve"> </w:t>
            </w:r>
            <w:r>
              <w:t xml:space="preserve">OSDC combined with</w:t>
            </w:r>
            <w:r>
              <w:t xml:space="preserve"> </w:t>
            </w:r>
            <w:r>
              <w:t xml:space="preserve">multigenerational</w:t>
            </w:r>
            <w:r>
              <w:t xml:space="preserve"> </w:t>
            </w:r>
            <w:r>
              <w:t xml:space="preserve">registry</w:t>
            </w:r>
          </w:p>
          <w:p>
            <w:pPr>
              <w:pStyle w:val="Compact"/>
              <w:numPr>
                <w:ilvl w:val="0"/>
                <w:numId w:val="1008"/>
              </w:numPr>
            </w:pPr>
            <w:r>
              <w:t xml:space="preserve">GDM in mother or</w:t>
            </w:r>
            <w:r>
              <w:t xml:space="preserve"> </w:t>
            </w:r>
            <w:r>
              <w:t xml:space="preserve">sisters</w:t>
            </w:r>
          </w:p>
        </w:tc>
        <w:tc>
          <w:tcPr/>
          <w:p>
            <w:pPr>
              <w:pStyle w:val="FirstParagraph"/>
            </w:pPr>
            <w:r>
              <w:t xml:space="preserve">BEF (DST):</w:t>
            </w:r>
            <w:r>
              <w:t xml:space="preserve"> </w:t>
            </w:r>
            <w:r>
              <w:rPr>
                <w:rStyle w:val="VerbatimChar"/>
              </w:rPr>
              <w:t xml:space="preserve">MOR_ID</w:t>
            </w:r>
            <w:r>
              <w:t xml:space="preserve"> </w:t>
            </w:r>
            <w:r>
              <w:t xml:space="preserve">and</w:t>
            </w:r>
            <w:r>
              <w:t xml:space="preserve"> </w:t>
            </w:r>
            <w:r>
              <w:rPr>
                <w:rStyle w:val="VerbatimChar"/>
              </w:rPr>
              <w:t xml:space="preserve">FAR_ID</w:t>
            </w:r>
            <w:r>
              <w:t xml:space="preserve"> </w:t>
            </w:r>
            <w:r>
              <w:t xml:space="preserve">identify parents;</w:t>
            </w:r>
            <w:r>
              <w:t xml:space="preserve"> </w:t>
            </w:r>
            <w:r>
              <w:t xml:space="preserve">full siblings share both,</w:t>
            </w:r>
            <w:r>
              <w:t xml:space="preserve"> </w:t>
            </w:r>
            <w:r>
              <w:t xml:space="preserve">half-siblings one. Parent</w:t>
            </w:r>
            <w:r>
              <w:t xml:space="preserve"> </w:t>
            </w:r>
            <w:r>
              <w:t xml:space="preserve">links are largely missing for</w:t>
            </w:r>
            <w:r>
              <w:t xml:space="preserve"> </w:t>
            </w:r>
            <w:r>
              <w:t xml:space="preserve">women who immigrated as</w:t>
            </w:r>
            <w:r>
              <w:t xml:space="preserve"> </w:t>
            </w:r>
            <w:r>
              <w:t xml:space="preserve">adults.</w:t>
            </w:r>
          </w:p>
          <w:p>
            <w:pPr>
              <w:pStyle w:val="Compact"/>
              <w:numPr>
                <w:ilvl w:val="0"/>
                <w:numId w:val="1009"/>
              </w:numPr>
            </w:pPr>
            <w:r>
              <w:t xml:space="preserve">T2D: OSDC R package (Steno</w:t>
            </w:r>
            <w:r>
              <w:t xml:space="preserve"> </w:t>
            </w:r>
            <w:r>
              <w:t xml:space="preserve">Aarhus; Isaksen et al., Clin</w:t>
            </w:r>
            <w:r>
              <w:t xml:space="preserve"> </w:t>
            </w:r>
            <w:r>
              <w:t xml:space="preserve">Epidemiol 2023,</w:t>
            </w:r>
            <w:r>
              <w:t xml:space="preserve"> </w:t>
            </w:r>
            <w:r>
              <w:t xml:space="preserve">10.2147/CLEP.S407019) run on</w:t>
            </w:r>
            <w:r>
              <w:t xml:space="preserve"> </w:t>
            </w:r>
            <w:r>
              <w:t xml:space="preserve">parents and siblings.</w:t>
            </w:r>
            <w:r>
              <w:t xml:space="preserve"> </w:t>
            </w:r>
            <w:r>
              <w:t xml:space="preserve">Inputs: LPR (ICD-10 DE10 to</w:t>
            </w:r>
            <w:r>
              <w:t xml:space="preserve"> </w:t>
            </w:r>
            <w:r>
              <w:t xml:space="preserve">DE14; ICD-8 249, 250), LMDB</w:t>
            </w:r>
            <w:r>
              <w:t xml:space="preserve"> </w:t>
            </w:r>
            <w:r>
              <w:t xml:space="preserve">(ATC A10), SSSY/SYSI</w:t>
            </w:r>
            <w:r>
              <w:t xml:space="preserve"> </w:t>
            </w:r>
            <w:r>
              <w:t xml:space="preserve">(podiatry services),</w:t>
            </w:r>
            <w:r>
              <w:t xml:space="preserve"> </w:t>
            </w:r>
            <w:r>
              <w:rPr>
                <w:rStyle w:val="VerbatimChar"/>
              </w:rPr>
              <w:t xml:space="preserve">lab_forsker</w:t>
            </w:r>
            <w:r>
              <w:t xml:space="preserve"> </w:t>
            </w:r>
            <w:r>
              <w:t xml:space="preserve">(HbA1c</w:t>
            </w:r>
            <w:r>
              <w:t xml:space="preserve"> </w:t>
            </w:r>
            <w:r>
              <w:t xml:space="preserve">NPU27300, NPU03835).</w:t>
            </w:r>
          </w:p>
          <w:p>
            <w:pPr>
              <w:pStyle w:val="Compact"/>
              <w:numPr>
                <w:ilvl w:val="0"/>
                <w:numId w:val="1009"/>
              </w:numPr>
            </w:pPr>
            <w:r>
              <w:t xml:space="preserve">GDM in mother or sisters:</w:t>
            </w:r>
            <w:r>
              <w:t xml:space="preserve"> </w:t>
            </w:r>
            <w:r>
              <w:t xml:space="preserve">LPR DO244 (DO249 as</w:t>
            </w:r>
            <w:r>
              <w:t xml:space="preserve"> </w:t>
            </w:r>
            <w:r>
              <w:t xml:space="preserve">sensitivity) in their</w:t>
            </w:r>
            <w:r>
              <w:t xml:space="preserve"> </w:t>
            </w:r>
            <w:r>
              <w:t xml:space="preserve">deliveries (MFR). The</w:t>
            </w:r>
            <w:r>
              <w:t xml:space="preserve"> </w:t>
            </w:r>
            <w:r>
              <w:t xml:space="preserve">mother’s pregnancy with the</w:t>
            </w:r>
            <w:r>
              <w:t xml:space="preserve"> </w:t>
            </w:r>
            <w:r>
              <w:t xml:space="preserve">index woman mostly predates</w:t>
            </w:r>
            <w:r>
              <w:t xml:space="preserve"> </w:t>
            </w:r>
            <w:r>
              <w:t xml:space="preserve">ICD-10 (1994), so this is</w:t>
            </w:r>
            <w:r>
              <w:t xml:space="preserve"> </w:t>
            </w:r>
            <w:r>
              <w:t xml:space="preserve">mainly captured through</w:t>
            </w:r>
            <w:r>
              <w:t xml:space="preserve"> </w:t>
            </w:r>
            <w:r>
              <w:t xml:space="preserve">sisters and the mother’s</w:t>
            </w:r>
            <w:r>
              <w:t xml:space="preserve"> </w:t>
            </w:r>
            <w:r>
              <w:t xml:space="preserve">later pregnancies.</w:t>
            </w:r>
          </w:p>
        </w:tc>
      </w:tr>
      <w:tr>
        <w:tc>
          <w:tcPr/>
          <w:p>
            <w:pPr>
              <w:pStyle w:val="Compact"/>
            </w:pPr>
            <w:r>
              <w:rPr>
                <w:b/>
                <w:bCs/>
              </w:rPr>
              <w:t xml:space="preserve">During</w:t>
            </w:r>
            <w:r>
              <w:rPr>
                <w:b/>
                <w:bCs/>
              </w:rPr>
              <w:t xml:space="preserve"> </w:t>
            </w:r>
            <w:r>
              <w:rPr>
                <w:b/>
                <w:bCs/>
              </w:rPr>
              <w:t xml:space="preserve">pregnancy</w:t>
            </w:r>
          </w:p>
        </w:tc>
        <w:tc>
          <w:tcPr/>
          <w:p>
            <w:pPr>
              <w:pStyle w:val="Compact"/>
            </w:pPr>
          </w:p>
        </w:tc>
        <w:tc>
          <w:tcPr/>
          <w:p>
            <w:pPr>
              <w:pStyle w:val="Compact"/>
            </w:pPr>
          </w:p>
        </w:tc>
      </w:tr>
      <w:tr>
        <w:tc>
          <w:tcPr/>
          <w:p>
            <w:pPr>
              <w:pStyle w:val="Compact"/>
            </w:pPr>
          </w:p>
        </w:tc>
        <w:tc>
          <w:tcPr/>
          <w:p>
            <w:pPr>
              <w:pStyle w:val="Compact"/>
            </w:pPr>
            <w:r>
              <w:t xml:space="preserve">Body mass index</w:t>
            </w:r>
          </w:p>
        </w:tc>
        <w:tc>
          <w:tcPr/>
          <w:p>
            <w:pPr>
              <w:pStyle w:val="Compact"/>
            </w:pPr>
            <w:r>
              <w:t xml:space="preserve">MFR: maternal height and</w:t>
            </w:r>
            <w:r>
              <w:t xml:space="preserve"> </w:t>
            </w:r>
            <w:r>
              <w:t xml:space="preserve">pre-pregnancy weight reported</w:t>
            </w:r>
            <w:r>
              <w:t xml:space="preserve"> </w:t>
            </w:r>
            <w:r>
              <w:t xml:space="preserve">at the first antenatal visit</w:t>
            </w:r>
            <w:r>
              <w:t xml:space="preserve"> </w:t>
            </w:r>
            <w:r>
              <w:t xml:space="preserve">(recorded from late 2003) →</w:t>
            </w:r>
            <w:r>
              <w:t xml:space="preserve"> </w:t>
            </w:r>
            <w:r>
              <w:t xml:space="preserve">BMI. Clean implausible values.</w:t>
            </w:r>
          </w:p>
        </w:tc>
      </w:tr>
      <w:tr>
        <w:tc>
          <w:tcPr/>
          <w:p>
            <w:pPr>
              <w:pStyle w:val="Compact"/>
            </w:pPr>
          </w:p>
        </w:tc>
        <w:tc>
          <w:tcPr/>
          <w:p>
            <w:pPr>
              <w:pStyle w:val="Compact"/>
            </w:pPr>
            <w:r>
              <w:t xml:space="preserve">Smoking status</w:t>
            </w:r>
          </w:p>
        </w:tc>
        <w:tc>
          <w:tcPr/>
          <w:p>
            <w:pPr>
              <w:pStyle w:val="Compact"/>
            </w:pPr>
            <w:r>
              <w:t xml:space="preserve">MFR: smoking at the first</w:t>
            </w:r>
            <w:r>
              <w:t xml:space="preserve"> </w:t>
            </w:r>
            <w:r>
              <w:t xml:space="preserve">antenatal visit (recorded from</w:t>
            </w:r>
            <w:r>
              <w:t xml:space="preserve"> </w:t>
            </w:r>
            <w:r>
              <w:t xml:space="preserve">late 1997; categories have</w:t>
            </w:r>
            <w:r>
              <w:t xml:space="preserve"> </w:t>
            </w:r>
            <w:r>
              <w:t xml:space="preserve">changed over time and need</w:t>
            </w:r>
            <w:r>
              <w:t xml:space="preserve"> </w:t>
            </w:r>
            <w:r>
              <w:t xml:space="preserve">harmonising).</w:t>
            </w:r>
          </w:p>
        </w:tc>
      </w:tr>
      <w:tr>
        <w:tc>
          <w:tcPr/>
          <w:p>
            <w:pPr>
              <w:pStyle w:val="Compact"/>
            </w:pPr>
          </w:p>
        </w:tc>
        <w:tc>
          <w:tcPr/>
          <w:p>
            <w:pPr>
              <w:pStyle w:val="Compact"/>
            </w:pPr>
            <w:r>
              <w:t xml:space="preserve">Oral glucose tolerance</w:t>
            </w:r>
            <w:r>
              <w:t xml:space="preserve"> </w:t>
            </w:r>
            <w:r>
              <w:t xml:space="preserve">test (OGTT) as</w:t>
            </w:r>
            <w:r>
              <w:t xml:space="preserve"> </w:t>
            </w:r>
            <w:r>
              <w:t xml:space="preserve">indication of test for</w:t>
            </w:r>
            <w:r>
              <w:t xml:space="preserve"> </w:t>
            </w:r>
            <w:r>
              <w:t xml:space="preserve">early GDM</w:t>
            </w:r>
          </w:p>
        </w:tc>
        <w:tc>
          <w:tcPr/>
          <w:p>
            <w:pPr>
              <w:pStyle w:val="Compact"/>
            </w:pPr>
            <w:r>
              <w:t xml:space="preserve">RLRR (</w:t>
            </w:r>
            <w:r>
              <w:rPr>
                <w:rStyle w:val="VerbatimChar"/>
              </w:rPr>
              <w:t xml:space="preserve">lab_forsker</w:t>
            </w:r>
            <w:r>
              <w:t xml:space="preserve">): OGTT</w:t>
            </w:r>
            <w:r>
              <w:t xml:space="preserve"> </w:t>
            </w:r>
            <w:r>
              <w:t xml:space="preserve">panel NPU14915</w:t>
            </w:r>
            <w:r>
              <w:t xml:space="preserve"> </w:t>
            </w:r>
            <w:r>
              <w:t xml:space="preserve">(Pt—Glucose-tolerance, 120</w:t>
            </w:r>
            <w:r>
              <w:t xml:space="preserve"> </w:t>
            </w:r>
            <w:r>
              <w:t xml:space="preserve">min) plus the 0- and 120-min</w:t>
            </w:r>
            <w:r>
              <w:t xml:space="preserve"> </w:t>
            </w:r>
            <w:r>
              <w:t xml:space="preserve">glucose codes used by the</w:t>
            </w:r>
            <w:r>
              <w:t xml:space="preserve"> </w:t>
            </w:r>
            <w:r>
              <w:t xml:space="preserve">individual labs (venous plasma</w:t>
            </w:r>
            <w:r>
              <w:t xml:space="preserve"> </w:t>
            </w:r>
            <w:r>
              <w:t xml:space="preserve">and capillary whole blood;</w:t>
            </w:r>
            <w:r>
              <w:t xml:space="preserve"> </w:t>
            </w:r>
            <w:r>
              <w:t xml:space="preserve">many codes, so extract all</w:t>
            </w:r>
            <w:r>
              <w:t xml:space="preserve"> </w:t>
            </w:r>
            <w:r>
              <w:t xml:space="preserve">glucose-tolerance codes from</w:t>
            </w:r>
            <w:r>
              <w:t xml:space="preserve"> </w:t>
            </w:r>
            <w:r>
              <w:t xml:space="preserve">the code list). Fasting</w:t>
            </w:r>
            <w:r>
              <w:t xml:space="preserve"> </w:t>
            </w:r>
            <w:r>
              <w:t xml:space="preserve">diagnostic glucose DNK35842;</w:t>
            </w:r>
            <w:r>
              <w:t xml:space="preserve"> </w:t>
            </w:r>
            <w:r>
              <w:t xml:space="preserve">plasma glucose NPU02192.</w:t>
            </w:r>
            <w:r>
              <w:t xml:space="preserve"> </w:t>
            </w:r>
            <w:r>
              <w:t xml:space="preserve">Timing by</w:t>
            </w:r>
            <w:r>
              <w:t xml:space="preserve"> </w:t>
            </w:r>
            <w:r>
              <w:rPr>
                <w:rStyle w:val="VerbatimChar"/>
              </w:rPr>
              <w:t xml:space="preserve">samplingdate</w:t>
            </w:r>
            <w:r>
              <w:t xml:space="preserve"> </w:t>
            </w:r>
            <w:r>
              <w:t xml:space="preserve">relative to pregnancy start</w:t>
            </w:r>
            <w:r>
              <w:t xml:space="preserve"> </w:t>
            </w:r>
            <w:r>
              <w:t xml:space="preserve">(delivery date − gestational</w:t>
            </w:r>
            <w:r>
              <w:t xml:space="preserve"> </w:t>
            </w:r>
            <w:r>
              <w:t xml:space="preserve">age in MFR); early = before</w:t>
            </w:r>
            <w:r>
              <w:t xml:space="preserve"> </w:t>
            </w:r>
            <w:r>
              <w:t xml:space="preserve">week 20.</w:t>
            </w:r>
          </w:p>
        </w:tc>
      </w:tr>
      <w:tr>
        <w:tc>
          <w:tcPr/>
          <w:p>
            <w:pPr>
              <w:pStyle w:val="Compact"/>
            </w:pPr>
          </w:p>
        </w:tc>
        <w:tc>
          <w:tcPr/>
          <w:p>
            <w:pPr>
              <w:pStyle w:val="Compact"/>
            </w:pPr>
            <w:r>
              <w:t xml:space="preserve">HbA1c as part of</w:t>
            </w:r>
            <w:r>
              <w:t xml:space="preserve"> </w:t>
            </w:r>
            <w:r>
              <w:t xml:space="preserve">laboratory ordered</w:t>
            </w:r>
            <w:r>
              <w:t xml:space="preserve"> </w:t>
            </w:r>
            <w:r>
              <w:t xml:space="preserve">package</w:t>
            </w:r>
          </w:p>
        </w:tc>
        <w:tc>
          <w:tcPr/>
          <w:p>
            <w:pPr>
              <w:pStyle w:val="Compact"/>
            </w:pPr>
            <w:r>
              <w:t xml:space="preserve">RLRR (</w:t>
            </w:r>
            <w:r>
              <w:rPr>
                <w:rStyle w:val="VerbatimChar"/>
              </w:rPr>
              <w:t xml:space="preserve">lab_forsker</w:t>
            </w:r>
            <w:r>
              <w:t xml:space="preserve">): HbA1c</w:t>
            </w:r>
            <w:r>
              <w:t xml:space="preserve"> </w:t>
            </w:r>
            <w:r>
              <w:t xml:space="preserve">NPU27300 (NPU03835) with</w:t>
            </w:r>
            <w:r>
              <w:t xml:space="preserve"> </w:t>
            </w:r>
            <w:r>
              <w:rPr>
                <w:rStyle w:val="VerbatimChar"/>
              </w:rPr>
              <w:t xml:space="preserve">samplingdate</w:t>
            </w:r>
            <w:r>
              <w:t xml:space="preserve"> </w:t>
            </w:r>
            <w:r>
              <w:t xml:space="preserve">in early</w:t>
            </w:r>
            <w:r>
              <w:t xml:space="preserve"> </w:t>
            </w:r>
            <w:r>
              <w:t xml:space="preserve">pregnancy (window to be</w:t>
            </w:r>
            <w:r>
              <w:t xml:space="preserve"> </w:t>
            </w:r>
            <w:r>
              <w:t xml:space="preserve">defined relative to pregnancy</w:t>
            </w:r>
            <w:r>
              <w:t xml:space="preserve"> </w:t>
            </w:r>
            <w:r>
              <w:t xml:space="preserve">start from MFR).</w:t>
            </w:r>
          </w:p>
        </w:tc>
      </w:tr>
      <w:tr>
        <w:tc>
          <w:tcPr/>
          <w:p>
            <w:pPr>
              <w:pStyle w:val="Compact"/>
            </w:pPr>
          </w:p>
        </w:tc>
        <w:tc>
          <w:tcPr/>
          <w:p>
            <w:pPr>
              <w:pStyle w:val="Compact"/>
            </w:pPr>
            <w:r>
              <w:t xml:space="preserve">Gestational diabetes</w:t>
            </w:r>
            <w:r>
              <w:t xml:space="preserve"> </w:t>
            </w:r>
            <w:r>
              <w:t xml:space="preserve">(GDM) early (before week</w:t>
            </w:r>
            <w:r>
              <w:t xml:space="preserve"> </w:t>
            </w:r>
            <w:r>
              <w:t xml:space="preserve">20) or late (after week</w:t>
            </w:r>
            <w:r>
              <w:t xml:space="preserve"> </w:t>
            </w:r>
            <w:r>
              <w:t xml:space="preserve">28) diagnosis</w:t>
            </w:r>
          </w:p>
        </w:tc>
        <w:tc>
          <w:tcPr/>
          <w:p>
            <w:pPr>
              <w:pStyle w:val="Compact"/>
            </w:pPr>
            <w:r>
              <w:t xml:space="preserve">LPR: date of first DO244</w:t>
            </w:r>
            <w:r>
              <w:t xml:space="preserve"> </w:t>
            </w:r>
            <w:r>
              <w:t xml:space="preserve">relative to pregnancy start</w:t>
            </w:r>
            <w:r>
              <w:t xml:space="preserve"> </w:t>
            </w:r>
            <w:r>
              <w:t xml:space="preserve">(MFR). DO244 is often first</w:t>
            </w:r>
            <w:r>
              <w:t xml:space="preserve"> </w:t>
            </w:r>
            <w:r>
              <w:t xml:space="preserve">registered at the birth</w:t>
            </w:r>
            <w:r>
              <w:t xml:space="preserve"> </w:t>
            </w:r>
            <w:r>
              <w:t xml:space="preserve">admission, so LPR dates will</w:t>
            </w:r>
            <w:r>
              <w:t xml:space="preserve"> </w:t>
            </w:r>
            <w:r>
              <w:t xml:space="preserve">misclassify early GDM as late;</w:t>
            </w:r>
            <w:r>
              <w:t xml:space="preserve"> </w:t>
            </w:r>
            <w:r>
              <w:t xml:space="preserve">better to time by the first</w:t>
            </w:r>
            <w:r>
              <w:t xml:space="preserve"> </w:t>
            </w:r>
            <w:r>
              <w:t xml:space="preserve">diagnostic OGTT (2-h glucose ≥</w:t>
            </w:r>
            <w:r>
              <w:t xml:space="preserve"> </w:t>
            </w:r>
            <w:r>
              <w:t xml:space="preserve">9.0 mmol/L) in RLRR and use</w:t>
            </w:r>
            <w:r>
              <w:t xml:space="preserve"> </w:t>
            </w:r>
            <w:r>
              <w:t xml:space="preserve">DO244 as confirmation.</w:t>
            </w:r>
          </w:p>
        </w:tc>
      </w:tr>
      <w:tr>
        <w:tc>
          <w:tcPr/>
          <w:p>
            <w:pPr>
              <w:pStyle w:val="Compact"/>
            </w:pPr>
          </w:p>
        </w:tc>
        <w:tc>
          <w:tcPr/>
          <w:p>
            <w:pPr>
              <w:pStyle w:val="Compact"/>
            </w:pPr>
            <w:r>
              <w:t xml:space="preserve">Pre-eclampsia or</w:t>
            </w:r>
            <w:r>
              <w:t xml:space="preserve"> </w:t>
            </w:r>
            <w:r>
              <w:t xml:space="preserve">gestational hypertension</w:t>
            </w:r>
            <w:r>
              <w:t xml:space="preserve"> </w:t>
            </w:r>
            <w:r>
              <w:t xml:space="preserve">early (before week 34)</w:t>
            </w:r>
            <w:r>
              <w:t xml:space="preserve"> </w:t>
            </w:r>
            <w:r>
              <w:t xml:space="preserve">or late (at or after</w:t>
            </w:r>
            <w:r>
              <w:t xml:space="preserve"> </w:t>
            </w:r>
            <w:r>
              <w:t xml:space="preserve">week 34)</w:t>
            </w:r>
          </w:p>
        </w:tc>
        <w:tc>
          <w:tcPr/>
          <w:p>
            <w:pPr>
              <w:pStyle w:val="Compact"/>
            </w:pPr>
            <w:r>
              <w:t xml:space="preserve">LPR: DO14 (incl. DO142 HELLP),</w:t>
            </w:r>
            <w:r>
              <w:t xml:space="preserve"> </w:t>
            </w:r>
            <w:r>
              <w:t xml:space="preserve">DO15, DO11; gestational</w:t>
            </w:r>
            <w:r>
              <w:t xml:space="preserve"> </w:t>
            </w:r>
            <w:r>
              <w:t xml:space="preserve">hypertension DO13. Early vs</w:t>
            </w:r>
            <w:r>
              <w:t xml:space="preserve"> </w:t>
            </w:r>
            <w:r>
              <w:t xml:space="preserve">late by first diagnosis date</w:t>
            </w:r>
            <w:r>
              <w:t xml:space="preserve"> </w:t>
            </w:r>
            <w:r>
              <w:t xml:space="preserve">relative to pregnancy start</w:t>
            </w:r>
            <w:r>
              <w:t xml:space="preserve"> </w:t>
            </w:r>
            <w:r>
              <w:t xml:space="preserve">(MFR), or by gestational age</w:t>
            </w:r>
            <w:r>
              <w:t xml:space="preserve"> </w:t>
            </w:r>
            <w:r>
              <w:t xml:space="preserve">at delivery &lt; 34+0 weeks,</w:t>
            </w:r>
            <w:r>
              <w:t xml:space="preserve"> </w:t>
            </w:r>
            <w:r>
              <w:t xml:space="preserve">which is the usual registry</w:t>
            </w:r>
            <w:r>
              <w:t xml:space="preserve"> </w:t>
            </w:r>
            <w:r>
              <w:t xml:space="preserve">proxy for early-onset</w:t>
            </w:r>
            <w:r>
              <w:t xml:space="preserve"> </w:t>
            </w:r>
            <w:r>
              <w:t xml:space="preserve">pre-eclampsia.</w:t>
            </w:r>
          </w:p>
        </w:tc>
      </w:tr>
      <w:tr>
        <w:tc>
          <w:tcPr/>
          <w:p>
            <w:pPr>
              <w:pStyle w:val="Compact"/>
            </w:pPr>
            <w:r>
              <w:rPr>
                <w:b/>
                <w:bCs/>
              </w:rPr>
              <w:t xml:space="preserve">At delivery</w:t>
            </w:r>
          </w:p>
        </w:tc>
        <w:tc>
          <w:tcPr/>
          <w:p>
            <w:pPr>
              <w:pStyle w:val="Compact"/>
            </w:pPr>
          </w:p>
        </w:tc>
        <w:tc>
          <w:tcPr/>
          <w:p>
            <w:pPr>
              <w:pStyle w:val="Compact"/>
            </w:pPr>
          </w:p>
        </w:tc>
      </w:tr>
      <w:tr>
        <w:tc>
          <w:tcPr/>
          <w:p>
            <w:pPr>
              <w:pStyle w:val="Compact"/>
            </w:pPr>
          </w:p>
        </w:tc>
        <w:tc>
          <w:tcPr/>
          <w:p>
            <w:pPr>
              <w:pStyle w:val="Compact"/>
            </w:pPr>
            <w:r>
              <w:t xml:space="preserve">Gestational age at birth</w:t>
            </w:r>
            <w:r>
              <w:t xml:space="preserve"> </w:t>
            </w:r>
            <w:r>
              <w:t xml:space="preserve">date (in weeks and also</w:t>
            </w:r>
            <w:r>
              <w:t xml:space="preserve"> </w:t>
            </w:r>
            <w:r>
              <w:t xml:space="preserve">specified as preterm) -</w:t>
            </w:r>
            <w:r>
              <w:t xml:space="preserve"> </w:t>
            </w:r>
            <w:r>
              <w:t xml:space="preserve">Birthweight will be</w:t>
            </w:r>
            <w:r>
              <w:t xml:space="preserve"> </w:t>
            </w:r>
            <w:r>
              <w:t xml:space="preserve">evaluated as both a</w:t>
            </w:r>
            <w:r>
              <w:t xml:space="preserve"> </w:t>
            </w:r>
            <w:r>
              <w:t xml:space="preserve">continuous and</w:t>
            </w:r>
            <w:r>
              <w:t xml:space="preserve"> </w:t>
            </w:r>
            <w:r>
              <w:t xml:space="preserve">categorical variable</w:t>
            </w:r>
            <w:r>
              <w:t xml:space="preserve"> </w:t>
            </w:r>
            <w:r>
              <w:t xml:space="preserve">using thresholds at both</w:t>
            </w:r>
            <w:r>
              <w:t xml:space="preserve"> </w:t>
            </w:r>
            <w:r>
              <w:t xml:space="preserve">4,000 and 4,500 grams.</w:t>
            </w:r>
            <w:r>
              <w:t xml:space="preserve"> </w:t>
            </w:r>
            <w:r>
              <w:t xml:space="preserve">(? Clinician this is for</w:t>
            </w:r>
            <w:r>
              <w:t xml:space="preserve"> </w:t>
            </w:r>
            <w:r>
              <w:t xml:space="preserve">macrosomia – decision</w:t>
            </w:r>
            <w:r>
              <w:t xml:space="preserve"> </w:t>
            </w:r>
            <w:r>
              <w:t xml:space="preserve">was data driven)</w:t>
            </w:r>
          </w:p>
        </w:tc>
        <w:tc>
          <w:tcPr/>
          <w:p>
            <w:pPr>
              <w:pStyle w:val="Compact"/>
            </w:pPr>
            <w:r>
              <w:t xml:space="preserve">MFR: gestational age at birth</w:t>
            </w:r>
            <w:r>
              <w:t xml:space="preserve"> </w:t>
            </w:r>
            <w:r>
              <w:t xml:space="preserve">(days; completed weeks);</w:t>
            </w:r>
            <w:r>
              <w:t xml:space="preserve"> </w:t>
            </w:r>
            <w:r>
              <w:t xml:space="preserve">preterm &lt; 37+0 weeks.</w:t>
            </w:r>
            <w:r>
              <w:t xml:space="preserve"> </w:t>
            </w:r>
            <w:r>
              <w:t xml:space="preserve">Birthweight thresholds: see</w:t>
            </w:r>
            <w:r>
              <w:t xml:space="preserve"> </w:t>
            </w:r>
            <w:r>
              <w:t xml:space="preserve">next row.</w:t>
            </w:r>
          </w:p>
        </w:tc>
      </w:tr>
      <w:tr>
        <w:tc>
          <w:tcPr/>
          <w:p>
            <w:pPr>
              <w:pStyle w:val="Compact"/>
            </w:pPr>
          </w:p>
        </w:tc>
        <w:tc>
          <w:tcPr/>
          <w:p>
            <w:pPr>
              <w:pStyle w:val="Compact"/>
            </w:pPr>
            <w:r>
              <w:t xml:space="preserve">Baby birth weight</w:t>
            </w:r>
            <w:r>
              <w:t xml:space="preserve"> </w:t>
            </w:r>
            <w:r>
              <w:t xml:space="preserve">(grams) and length (cm)</w:t>
            </w:r>
          </w:p>
        </w:tc>
        <w:tc>
          <w:tcPr/>
          <w:p>
            <w:pPr>
              <w:pStyle w:val="Compact"/>
            </w:pPr>
            <w:r>
              <w:t xml:space="preserve">MFR (child’s record, linked to</w:t>
            </w:r>
            <w:r>
              <w:t xml:space="preserve"> </w:t>
            </w:r>
            <w:r>
              <w:t xml:space="preserve">the mother through the MFR</w:t>
            </w:r>
            <w:r>
              <w:t xml:space="preserve"> </w:t>
            </w:r>
            <w:r>
              <w:t xml:space="preserve">mother–child CPR link): birth</w:t>
            </w:r>
            <w:r>
              <w:t xml:space="preserve"> </w:t>
            </w:r>
            <w:r>
              <w:t xml:space="preserve">weight (g) and length (cm).</w:t>
            </w:r>
            <w:r>
              <w:t xml:space="preserve"> </w:t>
            </w:r>
            <w:r>
              <w:t xml:space="preserve">Macrosomia ≥ 4,000 g and ≥</w:t>
            </w:r>
            <w:r>
              <w:t xml:space="preserve"> </w:t>
            </w:r>
            <w:r>
              <w:t xml:space="preserve">4,500 g.</w:t>
            </w:r>
          </w:p>
        </w:tc>
      </w:tr>
      <w:tr>
        <w:tc>
          <w:tcPr/>
          <w:p>
            <w:pPr>
              <w:pStyle w:val="Compact"/>
            </w:pPr>
          </w:p>
        </w:tc>
        <w:tc>
          <w:tcPr/>
          <w:p>
            <w:pPr>
              <w:pStyle w:val="Compact"/>
            </w:pPr>
            <w:r>
              <w:t xml:space="preserve">Calculate size for</w:t>
            </w:r>
            <w:r>
              <w:t xml:space="preserve"> </w:t>
            </w:r>
            <w:r>
              <w:t xml:space="preserve">gestational age and sex</w:t>
            </w:r>
            <w:r>
              <w:t xml:space="preserve"> </w:t>
            </w:r>
            <w:r>
              <w:t xml:space="preserve">with formula (ask Rasmus</w:t>
            </w:r>
            <w:r>
              <w:t xml:space="preserve"> </w:t>
            </w:r>
            <w:r>
              <w:t xml:space="preserve">Wibæk)</w:t>
            </w:r>
          </w:p>
        </w:tc>
        <w:tc>
          <w:tcPr/>
          <w:p>
            <w:pPr>
              <w:pStyle w:val="Compact"/>
            </w:pPr>
            <w:r>
              <w:t xml:space="preserve">Derived from MFR birth weight,</w:t>
            </w:r>
            <w:r>
              <w:t xml:space="preserve"> </w:t>
            </w:r>
            <w:r>
              <w:t xml:space="preserve">gestational age and child sex</w:t>
            </w:r>
            <w:r>
              <w:t xml:space="preserve"> </w:t>
            </w:r>
            <w:r>
              <w:t xml:space="preserve">(</w:t>
            </w:r>
            <w:r>
              <w:rPr>
                <w:rStyle w:val="VerbatimChar"/>
              </w:rPr>
              <w:t xml:space="preserve">KOEN</w:t>
            </w:r>
            <w:r>
              <w:t xml:space="preserve"> </w:t>
            </w:r>
            <w:r>
              <w:t xml:space="preserve">in BEF). The Danish</w:t>
            </w:r>
            <w:r>
              <w:t xml:space="preserve"> </w:t>
            </w:r>
            <w:r>
              <w:t xml:space="preserve">register standard is the</w:t>
            </w:r>
            <w:r>
              <w:t xml:space="preserve"> </w:t>
            </w:r>
            <w:r>
              <w:t xml:space="preserve">Marsál et al. 1996</w:t>
            </w:r>
            <w:r>
              <w:t xml:space="preserve"> </w:t>
            </w:r>
            <w:r>
              <w:t xml:space="preserve">sex-specific fetal weight</w:t>
            </w:r>
            <w:r>
              <w:t xml:space="preserve"> </w:t>
            </w:r>
            <w:r>
              <w:t xml:space="preserve">reference, with SGA/LGA as</w:t>
            </w:r>
            <w:r>
              <w:t xml:space="preserve"> </w:t>
            </w:r>
            <w:r>
              <w:t xml:space="preserve">below −2 SD / above +2 SD (≈</w:t>
            </w:r>
            <w:r>
              <w:t xml:space="preserve"> </w:t>
            </w:r>
            <w:r>
              <w:t xml:space="preserve">±22 % from expected weight);</w:t>
            </w:r>
            <w:r>
              <w:t xml:space="preserve"> </w:t>
            </w:r>
            <w:r>
              <w:t xml:space="preserve">confirm with Rasmus Wibæk.</w:t>
            </w:r>
          </w:p>
        </w:tc>
      </w:tr>
      <w:tr>
        <w:tc>
          <w:tcPr/>
          <w:p>
            <w:pPr>
              <w:pStyle w:val="Compact"/>
            </w:pPr>
          </w:p>
        </w:tc>
        <w:tc>
          <w:tcPr/>
          <w:p>
            <w:pPr>
              <w:pStyle w:val="Compact"/>
            </w:pPr>
            <w:r>
              <w:t xml:space="preserve">Mode of delivery</w:t>
            </w:r>
            <w:r>
              <w:t xml:space="preserve"> </w:t>
            </w:r>
            <w:r>
              <w:t xml:space="preserve">(vaginal or caesarean)</w:t>
            </w:r>
          </w:p>
        </w:tc>
        <w:tc>
          <w:tcPr/>
          <w:p>
            <w:pPr>
              <w:pStyle w:val="Compact"/>
            </w:pPr>
            <w:r>
              <w:t xml:space="preserve">MFR (mode of delivery) or LPR:</w:t>
            </w:r>
            <w:r>
              <w:t xml:space="preserve"> </w:t>
            </w:r>
            <w:r>
              <w:t xml:space="preserve">vaginal DO80 (spontaneous),</w:t>
            </w:r>
            <w:r>
              <w:t xml:space="preserve"> </w:t>
            </w:r>
            <w:r>
              <w:t xml:space="preserve">DO81 (instrumental); planned</w:t>
            </w:r>
            <w:r>
              <w:t xml:space="preserve"> </w:t>
            </w:r>
            <w:r>
              <w:t xml:space="preserve">caesarean DO820, KMCA10B,</w:t>
            </w:r>
            <w:r>
              <w:t xml:space="preserve"> </w:t>
            </w:r>
            <w:r>
              <w:t xml:space="preserve">KMCA11; emergency caesarean</w:t>
            </w:r>
            <w:r>
              <w:t xml:space="preserve"> </w:t>
            </w:r>
            <w:r>
              <w:t xml:space="preserve">DO821, KMCA10A, KMCA10D,</w:t>
            </w:r>
            <w:r>
              <w:t xml:space="preserve"> </w:t>
            </w:r>
            <w:r>
              <w:t xml:space="preserve">KMCA10E, KMCA12A, KMCA12B</w:t>
            </w:r>
            <w:r>
              <w:t xml:space="preserve"> </w:t>
            </w:r>
            <w:r>
              <w:t xml:space="preserve">(definition from BMC Pregnancy</w:t>
            </w:r>
            <w:r>
              <w:t xml:space="preserve"> </w:t>
            </w:r>
            <w:r>
              <w:t xml:space="preserve">Childbirth 2019,</w:t>
            </w:r>
            <w:r>
              <w:t xml:space="preserve"> </w:t>
            </w:r>
            <w:r>
              <w:t xml:space="preserve">10.1186/s12884-019-2331-6).</w:t>
            </w:r>
          </w:p>
        </w:tc>
      </w:tr>
      <w:tr>
        <w:tc>
          <w:tcPr/>
          <w:p>
            <w:pPr>
              <w:pStyle w:val="Compact"/>
            </w:pPr>
          </w:p>
        </w:tc>
        <w:tc>
          <w:tcPr/>
          <w:p>
            <w:pPr>
              <w:pStyle w:val="Compact"/>
            </w:pPr>
            <w:r>
              <w:t xml:space="preserve">Delivery complications</w:t>
            </w:r>
            <w:r>
              <w:t xml:space="preserve"> </w:t>
            </w:r>
            <w:r>
              <w:t xml:space="preserve">(e.g emergency caesarean</w:t>
            </w:r>
            <w:r>
              <w:t xml:space="preserve"> </w:t>
            </w:r>
            <w:r>
              <w:t xml:space="preserve">section, placental</w:t>
            </w:r>
            <w:r>
              <w:t xml:space="preserve"> </w:t>
            </w:r>
            <w:r>
              <w:t xml:space="preserve">abruption neonatal</w:t>
            </w:r>
            <w:r>
              <w:t xml:space="preserve"> </w:t>
            </w:r>
            <w:r>
              <w:t xml:space="preserve">hypoglycaemia,</w:t>
            </w:r>
            <w:r>
              <w:t xml:space="preserve"> </w:t>
            </w:r>
            <w:r>
              <w:t xml:space="preserve">spontaneous or induced</w:t>
            </w:r>
            <w:r>
              <w:t xml:space="preserve"> </w:t>
            </w:r>
            <w:r>
              <w:t xml:space="preserve">preterm delivery (?) )</w:t>
            </w:r>
          </w:p>
        </w:tc>
        <w:tc>
          <w:tcPr/>
          <w:p>
            <w:pPr>
              <w:pStyle w:val="Compact"/>
              <w:numPr>
                <w:ilvl w:val="0"/>
                <w:numId w:val="1010"/>
              </w:numPr>
            </w:pPr>
            <w:r>
              <w:t xml:space="preserve">Emergency caesarean: see</w:t>
            </w:r>
            <w:r>
              <w:t xml:space="preserve"> </w:t>
            </w:r>
            <w:r>
              <w:t xml:space="preserve">mode of delivery.</w:t>
            </w:r>
          </w:p>
          <w:p>
            <w:pPr>
              <w:pStyle w:val="Compact"/>
              <w:numPr>
                <w:ilvl w:val="0"/>
                <w:numId w:val="1010"/>
              </w:numPr>
            </w:pPr>
            <w:r>
              <w:t xml:space="preserve">Placental abruption: LPR</w:t>
            </w:r>
            <w:r>
              <w:t xml:space="preserve"> </w:t>
            </w:r>
            <w:r>
              <w:t xml:space="preserve">DO45.</w:t>
            </w:r>
          </w:p>
          <w:p>
            <w:pPr>
              <w:pStyle w:val="Compact"/>
              <w:numPr>
                <w:ilvl w:val="0"/>
                <w:numId w:val="1010"/>
              </w:numPr>
            </w:pPr>
            <w:r>
              <w:t xml:space="preserve">Neonatal hypoglycaemia:</w:t>
            </w:r>
            <w:r>
              <w:t xml:space="preserve"> </w:t>
            </w:r>
            <w:r>
              <w:t xml:space="preserve">child’s LPR record, DP703,</w:t>
            </w:r>
            <w:r>
              <w:t xml:space="preserve"> </w:t>
            </w:r>
            <w:r>
              <w:t xml:space="preserve">DP704 (DP700 and DP701 =</w:t>
            </w:r>
            <w:r>
              <w:t xml:space="preserve"> </w:t>
            </w:r>
            <w:r>
              <w:t xml:space="preserve">infant of mother with</w:t>
            </w:r>
            <w:r>
              <w:t xml:space="preserve"> </w:t>
            </w:r>
            <w:r>
              <w:t xml:space="preserve">gestational or pre-existing</w:t>
            </w:r>
            <w:r>
              <w:t xml:space="preserve"> </w:t>
            </w:r>
            <w:r>
              <w:t xml:space="preserve">diabetes).</w:t>
            </w:r>
          </w:p>
          <w:p>
            <w:pPr>
              <w:pStyle w:val="Compact"/>
              <w:numPr>
                <w:ilvl w:val="0"/>
                <w:numId w:val="1010"/>
              </w:numPr>
            </w:pPr>
            <w:r>
              <w:t xml:space="preserve">Preterm delivery:</w:t>
            </w:r>
            <w:r>
              <w:t xml:space="preserve"> </w:t>
            </w:r>
            <w:r>
              <w:t xml:space="preserve">spontaneous = preterm labour</w:t>
            </w:r>
            <w:r>
              <w:t xml:space="preserve"> </w:t>
            </w:r>
            <w:r>
              <w:t xml:space="preserve">DO60 or preterm rupture of</w:t>
            </w:r>
            <w:r>
              <w:t xml:space="preserve"> </w:t>
            </w:r>
            <w:r>
              <w:t xml:space="preserve">membranes DO42 without</w:t>
            </w:r>
            <w:r>
              <w:t xml:space="preserve"> </w:t>
            </w:r>
            <w:r>
              <w:t xml:space="preserve">induction or pre-labour</w:t>
            </w:r>
            <w:r>
              <w:t xml:space="preserve"> </w:t>
            </w:r>
            <w:r>
              <w:t xml:space="preserve">caesarean; induced =</w:t>
            </w:r>
            <w:r>
              <w:t xml:space="preserve"> </w:t>
            </w:r>
            <w:r>
              <w:t xml:space="preserve">induction (BKHD2*, e.g.</w:t>
            </w:r>
            <w:r>
              <w:t xml:space="preserve"> </w:t>
            </w:r>
            <w:r>
              <w:t xml:space="preserve">BKHD20; KMAC00; KMAC96A) or</w:t>
            </w:r>
            <w:r>
              <w:t xml:space="preserve"> </w:t>
            </w:r>
            <w:r>
              <w:t xml:space="preserve">planned caesarean before</w:t>
            </w:r>
            <w:r>
              <w:t xml:space="preserve"> </w:t>
            </w:r>
            <w:r>
              <w:t xml:space="preserve">37+0 weeks.</w:t>
            </w:r>
          </w:p>
        </w:tc>
      </w:tr>
      <w:tr>
        <w:tc>
          <w:tcPr/>
          <w:p>
            <w:pPr>
              <w:pStyle w:val="Compact"/>
            </w:pPr>
          </w:p>
        </w:tc>
        <w:tc>
          <w:tcPr/>
          <w:p>
            <w:pPr>
              <w:pStyle w:val="FirstParagraph"/>
            </w:pPr>
            <w:r>
              <w:t xml:space="preserve">Twins/multiple children</w:t>
            </w:r>
            <w:r>
              <w:t xml:space="preserve"> </w:t>
            </w:r>
            <w:r>
              <w:t xml:space="preserve">in one pregnancy</w:t>
            </w:r>
          </w:p>
          <w:p>
            <w:pPr>
              <w:pStyle w:val="Compact"/>
              <w:numPr>
                <w:ilvl w:val="0"/>
                <w:numId w:val="1011"/>
              </w:numPr>
            </w:pPr>
            <w:r>
              <w:t xml:space="preserve">If a woman delivers</w:t>
            </w:r>
            <w:r>
              <w:t xml:space="preserve"> </w:t>
            </w:r>
            <w:r>
              <w:t xml:space="preserve">twins or more babies,</w:t>
            </w:r>
            <w:r>
              <w:t xml:space="preserve"> </w:t>
            </w:r>
            <w:r>
              <w:t xml:space="preserve">this usually affects</w:t>
            </w:r>
            <w:r>
              <w:t xml:space="preserve"> </w:t>
            </w:r>
            <w:r>
              <w:t xml:space="preserve">the risk of</w:t>
            </w:r>
            <w:r>
              <w:t xml:space="preserve"> </w:t>
            </w:r>
            <w:r>
              <w:t xml:space="preserve">complications, type of</w:t>
            </w:r>
            <w:r>
              <w:t xml:space="preserve"> </w:t>
            </w:r>
            <w:r>
              <w:t xml:space="preserve">delivery and</w:t>
            </w:r>
            <w:r>
              <w:t xml:space="preserve"> </w:t>
            </w:r>
            <w:r>
              <w:t xml:space="preserve">gestational age</w:t>
            </w:r>
          </w:p>
        </w:tc>
        <w:tc>
          <w:tcPr/>
          <w:p>
            <w:pPr>
              <w:pStyle w:val="Compact"/>
            </w:pPr>
            <w:r>
              <w:t xml:space="preserve">MFR: number of children in the</w:t>
            </w:r>
            <w:r>
              <w:t xml:space="preserve"> </w:t>
            </w:r>
            <w:r>
              <w:t xml:space="preserve">delivery (plurality). LPR:</w:t>
            </w:r>
            <w:r>
              <w:t xml:space="preserve"> </w:t>
            </w:r>
            <w:r>
              <w:t xml:space="preserve">DO30 (multiple gestation),</w:t>
            </w:r>
            <w:r>
              <w:t xml:space="preserve"> </w:t>
            </w:r>
            <w:r>
              <w:t xml:space="preserve">DZ372 to DZ377 (outcome of</w:t>
            </w:r>
            <w:r>
              <w:t xml:space="preserve"> </w:t>
            </w:r>
            <w:r>
              <w:t xml:space="preserve">delivery, twins or more).</w:t>
            </w:r>
          </w:p>
        </w:tc>
      </w:tr>
    </w:tbl>
    <w:p>
      <w:pPr>
        <w:pStyle w:val="BodyText"/>
      </w:pPr>
      <w:r>
        <w:t xml:space="preserve">Codes are prefixes (DO14 covers DO14*). ICD-10 codes are given in</w:t>
      </w:r>
      <w:r>
        <w:t xml:space="preserve"> </w:t>
      </w:r>
      <w:r>
        <w:t xml:space="preserve">Danish SKS format (D + ICD-10 code). The NPU lists are not exhaustive,</w:t>
      </w:r>
      <w:r>
        <w:t xml:space="preserve"> </w:t>
      </w:r>
      <w:r>
        <w:t xml:space="preserve">since laboratories also use local DNK codes; final lists should be built</w:t>
      </w:r>
      <w:r>
        <w:t xml:space="preserve"> </w:t>
      </w:r>
      <w:r>
        <w:t xml:space="preserve">from the</w:t>
      </w:r>
      <w:r>
        <w:t xml:space="preserve"> </w:t>
      </w:r>
      <w:r>
        <w:rPr>
          <w:rStyle w:val="VerbatimChar"/>
        </w:rPr>
        <w:t xml:space="preserve">lab_forsker</w:t>
      </w:r>
      <w:r>
        <w:t xml:space="preserve"> </w:t>
      </w:r>
      <w:r>
        <w:t xml:space="preserve">code list inside the DST project. BEF, population</w:t>
      </w:r>
      <w:r>
        <w:t xml:space="preserve"> </w:t>
      </w:r>
      <w:r>
        <w:t xml:space="preserve">register; DST, Statistics Denmark; IND, income register; LMDB, National</w:t>
      </w:r>
      <w:r>
        <w:t xml:space="preserve"> </w:t>
      </w:r>
      <w:r>
        <w:t xml:space="preserve">Prescription Registry; LPR, National Patient Registry; MFR, Medical</w:t>
      </w:r>
      <w:r>
        <w:t xml:space="preserve"> </w:t>
      </w:r>
      <w:r>
        <w:t xml:space="preserve">Birth Register; OSDC, Open-Source Diabetes Classifier; RLRR, Register of</w:t>
      </w:r>
      <w:r>
        <w:t xml:space="preserve"> </w:t>
      </w:r>
      <w:r>
        <w:t xml:space="preserve">Laboratory Results for Research; SSSY/SYSI, Health Service Registry;</w:t>
      </w:r>
      <w:r>
        <w:t xml:space="preserve"> </w:t>
      </w:r>
      <w:r>
        <w:t xml:space="preserve">UDDA, education register.</w:t>
      </w:r>
    </w:p>
    <w:p>
      <w:pPr>
        <w:pStyle w:val="BodyText"/>
      </w:pPr>
      <w:r>
        <w:t xml:space="preserve">Because the data sources in Table 1 differ in temporal and regional</w:t>
      </w:r>
      <w:r>
        <w:t xml:space="preserve"> </w:t>
      </w:r>
      <w:r>
        <w:t xml:space="preserve">coverage, we will develop the model in a main cohort using predictors</w:t>
      </w:r>
      <w:r>
        <w:t xml:space="preserve"> </w:t>
      </w:r>
      <w:r>
        <w:t xml:space="preserve">available nationwide for all index births. We will evaluate additional</w:t>
      </w:r>
      <w:r>
        <w:t xml:space="preserve"> </w:t>
      </w:r>
      <w:r>
        <w:t xml:space="preserve">predictors in sub-cohorts defined by the coverage of each partially</w:t>
      </w:r>
      <w:r>
        <w:t xml:space="preserve"> </w:t>
      </w:r>
      <w:r>
        <w:t xml:space="preserve">available source.</w:t>
      </w:r>
    </w:p>
    <w:bookmarkEnd w:id="16"/>
    <w:bookmarkStart w:id="18" w:name="definition-of-cohort"/>
    <w:p>
      <w:pPr>
        <w:pStyle w:val="Heading3"/>
      </w:pPr>
      <w:r>
        <w:t xml:space="preserve">3.4 Definition of cohort</w:t>
      </w:r>
    </w:p>
    <w:p>
      <w:pPr>
        <w:pStyle w:val="FirstParagraph"/>
      </w:pPr>
      <w:r>
        <w:t xml:space="preserve">In the full cohort, we will use all pre-pregnancy variables except</w:t>
      </w:r>
      <w:r>
        <w:t xml:space="preserve"> </w:t>
      </w:r>
      <w:r>
        <w:t xml:space="preserve">laboratory measurements.</w:t>
      </w:r>
    </w:p>
    <w:p>
      <w:pPr>
        <w:numPr>
          <w:ilvl w:val="0"/>
          <w:numId w:val="1012"/>
        </w:numPr>
      </w:pPr>
      <w:r>
        <w:t xml:space="preserve">Explain demographic risk factors</w:t>
      </w:r>
    </w:p>
    <w:p>
      <w:pPr>
        <w:numPr>
          <w:ilvl w:val="0"/>
          <w:numId w:val="1012"/>
        </w:numPr>
      </w:pPr>
      <w:r>
        <w:t xml:space="preserve">Explain diagnosis and prescription risk factors</w:t>
      </w:r>
    </w:p>
    <w:p>
      <w:pPr>
        <w:numPr>
          <w:ilvl w:val="0"/>
          <w:numId w:val="1012"/>
        </w:numPr>
      </w:pPr>
      <w:r>
        <w:t xml:space="preserve">Explain family disease history risk factors</w:t>
      </w:r>
    </w:p>
    <w:p>
      <w:pPr>
        <w:pStyle w:val="FirstParagraph"/>
      </w:pPr>
      <w:r>
        <w:t xml:space="preserve">Nearly all pregnant women attend the scheduled antenatal visits, where</w:t>
      </w:r>
      <w:r>
        <w:t xml:space="preserve"> </w:t>
      </w:r>
      <w:r>
        <w:t xml:space="preserve">BMI and smoking status are recorded as standard in the first and third</w:t>
      </w:r>
      <w:r>
        <w:t xml:space="preserve"> </w:t>
      </w:r>
      <w:r>
        <w:t xml:space="preserve">trimesters. First-trimester BMI is minimally affected by gestational</w:t>
      </w:r>
      <w:r>
        <w:t xml:space="preserve"> </w:t>
      </w:r>
      <w:r>
        <w:t xml:space="preserve">weight gain and therefore approximates pre-pregnancy weight status, a</w:t>
      </w:r>
      <w:r>
        <w:t xml:space="preserve"> </w:t>
      </w:r>
      <w:r>
        <w:t xml:space="preserve">major determinant of type 2 diabetes. Smoking is associated with a</w:t>
      </w:r>
      <w:r>
        <w:t xml:space="preserve"> </w:t>
      </w:r>
      <w:r>
        <w:t xml:space="preserve">higher risk of type 2 diabetes, possibly through systemic inflammation</w:t>
      </w:r>
      <w:r>
        <w:t xml:space="preserve"> </w:t>
      </w:r>
      <w:r>
        <w:t xml:space="preserve">and central fat accumulation. In Denmark, an OGTT during pregnancy is</w:t>
      </w:r>
      <w:r>
        <w:t xml:space="preserve"> </w:t>
      </w:r>
      <w:r>
        <w:t xml:space="preserve">performed when risk factors for gestational diabetes are present. A</w:t>
      </w:r>
      <w:r>
        <w:t xml:space="preserve"> </w:t>
      </w:r>
      <w:r>
        <w:t xml:space="preserve">recorded OGTT therefore identifies women in whom gestational diabetes</w:t>
      </w:r>
      <w:r>
        <w:t xml:space="preserve"> </w:t>
      </w:r>
      <w:r>
        <w:t xml:space="preserve">was suspected, and both the test itself and a sub-threshold glucose</w:t>
      </w:r>
      <w:r>
        <w:t xml:space="preserve"> </w:t>
      </w:r>
      <w:r>
        <w:t xml:space="preserve">value may signal elevated risk of later type 2 diabetes.</w:t>
      </w:r>
    </w:p>
    <w:p>
      <w:pPr>
        <w:pStyle w:val="BodyText"/>
      </w:pPr>
      <w:r>
        <w:t xml:space="preserve">We will further include variables recorded at and after delivery.</w:t>
      </w:r>
      <w:r>
        <w:t xml:space="preserve"> </w:t>
      </w:r>
      <w:r>
        <w:t xml:space="preserve">Gestational age at birth, mode of delivery and pregnancy complications</w:t>
      </w:r>
      <w:r>
        <w:t xml:space="preserve"> </w:t>
      </w:r>
      <w:r>
        <w:t xml:space="preserve">such as preeclampsia can be linked to maternal metabolic and vascular</w:t>
      </w:r>
      <w:r>
        <w:t xml:space="preserve"> </w:t>
      </w:r>
      <w:r>
        <w:t xml:space="preserve">health, and all are available at the postpartum check-up when the model</w:t>
      </w:r>
      <w:r>
        <w:t xml:space="preserve"> </w:t>
      </w:r>
      <w:r>
        <w:t xml:space="preserve">is applied. Neonatal anthropometry carries additional information.</w:t>
      </w:r>
      <w:r>
        <w:t xml:space="preserve"> </w:t>
      </w:r>
      <w:r>
        <w:t xml:space="preserve">Macrosomia, defined as a birth weight above 4000 g, is associated with</w:t>
      </w:r>
      <w:r>
        <w:t xml:space="preserve"> </w:t>
      </w:r>
      <w:r>
        <w:t xml:space="preserve">elevated maternal risk of type 2 diabetes and may reflect hyperglycaemia</w:t>
      </w:r>
      <w:r>
        <w:t xml:space="preserve"> </w:t>
      </w:r>
      <w:r>
        <w:t xml:space="preserve">during pregnancy that screening did not capture.</w:t>
      </w:r>
    </w:p>
    <w:bookmarkStart w:id="17" w:name="definition-of-subcohorts"/>
    <w:p>
      <w:pPr>
        <w:pStyle w:val="Heading4"/>
      </w:pPr>
      <w:r>
        <w:t xml:space="preserve">3.4.1 Definition of subcohorts</w:t>
      </w:r>
    </w:p>
    <w:p>
      <w:pPr>
        <w:pStyle w:val="FirstParagraph"/>
      </w:pPr>
      <w:r>
        <w:t xml:space="preserve">In women with more than one pregnancy, the model is updated after each</w:t>
      </w:r>
      <w:r>
        <w:t xml:space="preserve"> </w:t>
      </w:r>
      <w:r>
        <w:t xml:space="preserve">birth, so that every birth contributes an index date. The model</w:t>
      </w:r>
      <w:r>
        <w:t xml:space="preserve"> </w:t>
      </w:r>
      <w:r>
        <w:t xml:space="preserve">integrates data from before, during and after each pregnancy and</w:t>
      </w:r>
      <w:r>
        <w:t xml:space="preserve"> </w:t>
      </w:r>
      <w:r>
        <w:t xml:space="preserve">predicts risk at the postpartum check-up. We will define subcohorts by</w:t>
      </w:r>
      <w:r>
        <w:t xml:space="preserve"> </w:t>
      </w:r>
      <w:r>
        <w:t xml:space="preserve">parity, so that women with a second or later birth contribute variables</w:t>
      </w:r>
      <w:r>
        <w:t xml:space="preserve"> </w:t>
      </w:r>
      <w:r>
        <w:t xml:space="preserve">from previous pregnancies as well as from the index pregnancy.</w:t>
      </w:r>
    </w:p>
    <w:p>
      <w:pPr>
        <w:pStyle w:val="BodyText"/>
      </w:pPr>
      <w:r>
        <w:t xml:space="preserve">Availability of an HbA1c measurement before the index birth increases over calendar time, from 10% of women in 2010 to 25% in 2015 and 40% in 2020. We will define a variable of women with a prior HbA1c measurement. Because availability of laboratory measurements in the registries varies by region over the period 2010 to 2015, we will restrict this subcohort to the Central Denmark Region, the North Denmark Region, and the Capital Region, where laboratory measurements are available.</w:t>
      </w:r>
    </w:p>
    <w:p>
      <w:pPr>
        <w:pStyle w:val="BodyText"/>
      </w:pPr>
      <w:r>
        <w:t xml:space="preserve">Family history requires register linkage to relatives, and the number of</w:t>
      </w:r>
      <w:r>
        <w:t xml:space="preserve"> </w:t>
      </w:r>
      <w:r>
        <w:t xml:space="preserve">linkable relatives varies. Some women have relatives with relevant</w:t>
      </w:r>
      <w:r>
        <w:t xml:space="preserve"> </w:t>
      </w:r>
      <w:r>
        <w:t xml:space="preserve">records, such as an older sister with a previous pregnancy, whereas</w:t>
      </w:r>
      <w:r>
        <w:t xml:space="preserve"> </w:t>
      </w:r>
      <w:r>
        <w:t xml:space="preserve">recently immigrated women may have none. We will define subcohorts by</w:t>
      </w:r>
      <w:r>
        <w:t xml:space="preserve"> </w:t>
      </w:r>
      <w:r>
        <w:t xml:space="preserve">the availability of family linkage.</w:t>
      </w:r>
    </w:p>
    <w:bookmarkEnd w:id="17"/>
    <w:bookmarkEnd w:id="18"/>
    <w:bookmarkEnd w:id="19"/>
    <w:bookmarkStart w:id="26" w:name="statistical-methods"/>
    <w:p>
      <w:pPr>
        <w:pStyle w:val="Heading2"/>
      </w:pPr>
      <w:r>
        <w:t xml:space="preserve">4 Statistical methods</w:t>
      </w:r>
    </w:p>
    <w:bookmarkStart w:id="20" w:name="descriptive-statistics"/>
    <w:p>
      <w:pPr>
        <w:pStyle w:val="Heading3"/>
      </w:pPr>
      <w:r>
        <w:t xml:space="preserve">4.1 Descriptive statistics</w:t>
      </w:r>
    </w:p>
    <w:p>
      <w:pPr>
        <w:pStyle w:val="FirstParagraph"/>
      </w:pPr>
      <w:r>
        <w:t xml:space="preserve">First, we will characterise the study population by demographic factors</w:t>
      </w:r>
      <w:r>
        <w:t xml:space="preserve"> </w:t>
      </w:r>
      <w:r>
        <w:t xml:space="preserve">(age, ethnicity, socioeconomic position) and by pregnancy related</w:t>
      </w:r>
      <w:r>
        <w:t xml:space="preserve"> </w:t>
      </w:r>
      <w:r>
        <w:t xml:space="preserve">factors from during the pregnancy and at delivery. Using the</w:t>
      </w:r>
      <w:r>
        <w:t xml:space="preserve"> </w:t>
      </w:r>
      <w:r>
        <w:t xml:space="preserve">OSDC algorithm, we will examine trends in the incidence of type 2</w:t>
      </w:r>
      <w:r>
        <w:t xml:space="preserve"> </w:t>
      </w:r>
      <w:r>
        <w:t xml:space="preserve">diabetes in the population and across regions.</w:t>
      </w:r>
    </w:p>
    <w:bookmarkEnd w:id="20"/>
    <w:bookmarkStart w:id="21" w:name="variable-preprocessing"/>
    <w:p>
      <w:pPr>
        <w:pStyle w:val="Heading3"/>
      </w:pPr>
      <w:r>
        <w:t xml:space="preserve">4.2 Variable preprocessing</w:t>
      </w:r>
    </w:p>
    <w:p>
      <w:pPr>
        <w:pStyle w:val="FirstParagraph"/>
      </w:pPr>
      <w:r>
        <w:t xml:space="preserve">We will include predefined variables based on their established</w:t>
      </w:r>
      <w:r>
        <w:t xml:space="preserve"> </w:t>
      </w:r>
      <w:r>
        <w:t xml:space="preserve">association with the risk of type 2 diabetes, as listed in</w:t>
      </w:r>
      <w:r>
        <w:t xml:space="preserve"> </w:t>
      </w:r>
      <w:r>
        <w:rPr>
          <w:i/>
          <w:iCs/>
        </w:rPr>
        <w:t xml:space="preserve">Definition</w:t>
      </w:r>
      <w:r>
        <w:rPr>
          <w:i/>
          <w:iCs/>
        </w:rPr>
        <w:t xml:space="preserve"> </w:t>
      </w:r>
      <w:r>
        <w:rPr>
          <w:i/>
          <w:iCs/>
        </w:rPr>
        <w:t xml:space="preserve">of the potential predictors for prediction</w:t>
      </w:r>
      <w:r>
        <w:t xml:space="preserve">. Diagnoses and medications</w:t>
      </w:r>
      <w:r>
        <w:t xml:space="preserve"> </w:t>
      </w:r>
      <w:r>
        <w:t xml:space="preserve">may carry hidden indications for type 2 diabetes risk; however, the</w:t>
      </w:r>
      <w:r>
        <w:t xml:space="preserve"> </w:t>
      </w:r>
      <w:r>
        <w:t xml:space="preserve">number of potential indicators is large. To select candidates for our</w:t>
      </w:r>
      <w:r>
        <w:t xml:space="preserve"> </w:t>
      </w:r>
      <w:r>
        <w:t xml:space="preserve">prediction model, we will create a play dataset based on a pregnancy</w:t>
      </w:r>
      <w:r>
        <w:t xml:space="preserve"> </w:t>
      </w:r>
      <w:r>
        <w:t xml:space="preserve">population from 2004 to 2010 to define the set of predictors. Women with</w:t>
      </w:r>
      <w:r>
        <w:t xml:space="preserve"> </w:t>
      </w:r>
      <w:r>
        <w:t xml:space="preserve">pregnancies after 2010 are excluded from the play data,</w:t>
      </w:r>
      <w:r>
        <w:t xml:space="preserve"> </w:t>
      </w:r>
      <w:r>
        <w:t xml:space="preserve">to avoid potential overfitting, i.e. we want the findings from the play data to apply for the general population and not just the sub group we have data on. We will</w:t>
      </w:r>
      <w:r>
        <w:t xml:space="preserve"> </w:t>
      </w:r>
      <w:r>
        <w:t xml:space="preserve">include a 10 year history of each diagnosis and medication and uniformly</w:t>
      </w:r>
      <w:r>
        <w:t xml:space="preserve"> </w:t>
      </w:r>
      <w:r>
        <w:t xml:space="preserve">test the association between each diagnosis and each medication and 10</w:t>
      </w:r>
      <w:r>
        <w:t xml:space="preserve"> </w:t>
      </w:r>
      <w:r>
        <w:t xml:space="preserve">year type 2 diabetes risk. We will produce a Manhattan plot with</w:t>
      </w:r>
      <w:r>
        <w:t xml:space="preserve"> </w:t>
      </w:r>
      <w:r>
        <w:t xml:space="preserve">groupings of ICD-10 and ATC codes on the x axis. We will bring the</w:t>
      </w:r>
      <w:r>
        <w:t xml:space="preserve"> </w:t>
      </w:r>
      <w:r>
        <w:t xml:space="preserve">candidates to domain experts in pregnancy related metabolic factors from</w:t>
      </w:r>
      <w:r>
        <w:t xml:space="preserve"> </w:t>
      </w:r>
      <w:r>
        <w:t xml:space="preserve">SDCA and SDCC and discuss: (1) whether the indications are biased; and</w:t>
      </w:r>
      <w:r>
        <w:t xml:space="preserve"> </w:t>
      </w:r>
      <w:r>
        <w:t xml:space="preserve">(2) the opportunity to collapse overlapping predictors (for example, a</w:t>
      </w:r>
      <w:r>
        <w:t xml:space="preserve"> </w:t>
      </w:r>
      <w:r>
        <w:t xml:space="preserve">diagnosis of hypertension together with a prescription for</w:t>
      </w:r>
      <w:r>
        <w:t xml:space="preserve"> </w:t>
      </w:r>
      <w:r>
        <w:t xml:space="preserve">antihypertensive medication). In a second step, we will estimate 10 year risk diabetes for each person in the play data only given one of the remaining variables from step 1. This will be repeated for each remaining variable. We will</w:t>
      </w:r>
      <w:r>
        <w:t xml:space="preserve"> </w:t>
      </w:r>
      <w:r>
        <w:t xml:space="preserve">then produce a plot with prevalence in the population on the x axis and</w:t>
      </w:r>
      <w:r>
        <w:t xml:space="preserve"> </w:t>
      </w:r>
      <w:r>
        <w:t xml:space="preserve">the magnitude of the association on the y axis. In a second iteration</w:t>
      </w:r>
      <w:r>
        <w:t xml:space="preserve"> </w:t>
      </w:r>
      <w:r>
        <w:t xml:space="preserve">with the domain experts, we will discuss the relevance of each predictor</w:t>
      </w:r>
      <w:r>
        <w:t xml:space="preserve"> </w:t>
      </w:r>
      <w:r>
        <w:t xml:space="preserve">based on prevalence of the diagnosis and magnitude of risk. The</w:t>
      </w:r>
      <w:r>
        <w:t xml:space="preserve"> </w:t>
      </w:r>
      <w:r>
        <w:t xml:space="preserve">candidates remaining after this discussion will be included as candidate</w:t>
      </w:r>
      <w:r>
        <w:t xml:space="preserve"> </w:t>
      </w:r>
      <w:r>
        <w:t xml:space="preserve">predictors for the main model.</w:t>
      </w:r>
    </w:p>
    <w:bookmarkEnd w:id="21"/>
    <w:bookmarkStart w:id="22" w:name="statistical-model-selection"/>
    <w:p>
      <w:pPr>
        <w:pStyle w:val="Heading3"/>
      </w:pPr>
      <w:r>
        <w:t xml:space="preserve">4.3 Statistical model selection</w:t>
      </w:r>
    </w:p>
    <w:p>
      <w:pPr>
        <w:pStyle w:val="FirstParagraph"/>
      </w:pPr>
      <w:r>
        <w:t xml:space="preserve">With the predictors defined in the play data together with the variables defined in</w:t>
      </w:r>
      <w:r>
        <w:t xml:space="preserve"> </w:t>
      </w:r>
      <w:r>
        <w:t xml:space="preserve">“Definition of available data for prediction”</w:t>
      </w:r>
      <w:r>
        <w:t xml:space="preserve">, we will continue to use</w:t>
      </w:r>
      <w:r>
        <w:t xml:space="preserve"> </w:t>
      </w:r>
      <w:r>
        <w:t xml:space="preserve">the play data to select our candidate statistical models. The dataset will</w:t>
      </w:r>
      <w:r>
        <w:t xml:space="preserve"> </w:t>
      </w:r>
      <w:r>
        <w:t xml:space="preserve">be provided to the team of prediction modellers, who will compete to</w:t>
      </w:r>
      <w:r>
        <w:t xml:space="preserve"> </w:t>
      </w:r>
      <w:r>
        <w:t xml:space="preserve">create the best performing model while remaining methodologically</w:t>
      </w:r>
      <w:r>
        <w:t xml:space="preserve"> </w:t>
      </w:r>
      <w:r>
        <w:t xml:space="preserve">available to each other. As the primary outcome, the model will aim to</w:t>
      </w:r>
      <w:r>
        <w:t xml:space="preserve"> </w:t>
      </w:r>
      <w:r>
        <w:t xml:space="preserve">predict events of type 2 diabetes and, if the data allow, to predict 5</w:t>
      </w:r>
      <w:r>
        <w:t xml:space="preserve"> </w:t>
      </w:r>
      <w:r>
        <w:t xml:space="preserve">year HbA1c levels after pregnancy. The methods available for the</w:t>
      </w:r>
      <w:r>
        <w:t xml:space="preserve"> </w:t>
      </w:r>
      <w:r>
        <w:t xml:space="preserve">modellers to choose from could include Cox proportional hazards, Poisson</w:t>
      </w:r>
      <w:r>
        <w:t xml:space="preserve"> </w:t>
      </w:r>
      <w:r>
        <w:t xml:space="preserve">regression, LASSO, and random forest, each of which could be applied</w:t>
      </w:r>
      <w:r>
        <w:t xml:space="preserve"> </w:t>
      </w:r>
      <w:r>
        <w:t xml:space="preserve">separately or combined in a super learner. The candidate models selected</w:t>
      </w:r>
      <w:r>
        <w:t xml:space="preserve"> </w:t>
      </w:r>
      <w:r>
        <w:t xml:space="preserve">on the basis of this step will then be brought to the development</w:t>
      </w:r>
      <w:r>
        <w:t xml:space="preserve"> </w:t>
      </w:r>
      <w:r>
        <w:t xml:space="preserve">dataset.</w:t>
      </w:r>
    </w:p>
    <w:bookmarkEnd w:id="22"/>
    <w:bookmarkStart w:id="23" w:name="developing-prediction-model"/>
    <w:p>
      <w:pPr>
        <w:pStyle w:val="Heading3"/>
      </w:pPr>
      <w:r>
        <w:t xml:space="preserve">4.4 Developing prediction model</w:t>
      </w:r>
    </w:p>
    <w:p>
      <w:pPr>
        <w:pStyle w:val="FirstParagraph"/>
      </w:pPr>
      <w:r>
        <w:t xml:space="preserve">Once all predictors and statistical models have been defined, we will train the models on data from pregnant women enrolled between 2010 and 2014 in the full cohort. To handle partial marker availability in the cohort, we will use three approaches.</w:t>
      </w:r>
    </w:p>
    <w:p>
      <w:pPr>
        <w:pStyle w:val="BodyText"/>
      </w:pPr>
      <w:r>
        <w:t xml:space="preserve">Developed in the full cohort</w:t>
      </w:r>
    </w:p>
    <w:p>
      <w:pPr>
        <w:numPr>
          <w:ilvl w:val="0"/>
          <w:numId w:val="1013"/>
        </w:numPr>
      </w:pPr>
      <w:r>
        <w:t xml:space="preserve">Include the variable as a present/absent indicator together with calendar time</w:t>
      </w:r>
    </w:p>
    <w:p>
      <w:pPr>
        <w:numPr>
          <w:ilvl w:val="0"/>
          <w:numId w:val="1013"/>
        </w:numPr>
      </w:pPr>
      <w:r>
        <w:t xml:space="preserve">Multiple imputation of markers available at baseline, integrated into the full cohort.</w:t>
      </w:r>
    </w:p>
    <w:p>
      <w:pPr>
        <w:pStyle w:val="FirstParagraph"/>
      </w:pPr>
      <w:r>
        <w:t xml:space="preserve">Developed in the defined subcohort</w:t>
      </w:r>
    </w:p>
    <w:p>
      <w:pPr>
        <w:pStyle w:val="Compact"/>
        <w:numPr>
          <w:ilvl w:val="0"/>
          <w:numId w:val="1014"/>
        </w:numPr>
      </w:pPr>
      <w:r>
        <w:t xml:space="preserve">A submodel restricted to complete cases in the subcohort.</w:t>
      </w:r>
    </w:p>
    <w:p>
      <w:pPr>
        <w:pStyle w:val="FirstParagraph"/>
      </w:pPr>
      <w:r>
        <w:t xml:space="preserve">All models will be included in a super learner, which will select the best-performing model by cross-validation based on the Brier score.</w:t>
      </w:r>
    </w:p>
    <w:bookmarkEnd w:id="23"/>
    <w:bookmarkStart w:id="24" w:name="validation"/>
    <w:p>
      <w:pPr>
        <w:pStyle w:val="Heading3"/>
      </w:pPr>
      <w:r>
        <w:t xml:space="preserve">4.5 Validation</w:t>
      </w:r>
    </w:p>
    <w:p>
      <w:pPr>
        <w:pStyle w:val="FirstParagraph"/>
      </w:pPr>
      <w:r>
        <w:t xml:space="preserve">For validation, we will use two approaches: first, we will subset one</w:t>
      </w:r>
      <w:r>
        <w:t xml:space="preserve"> </w:t>
      </w:r>
      <w:r>
        <w:t xml:space="preserve">region from the development dataset to test performance across regions;</w:t>
      </w:r>
      <w:r>
        <w:t xml:space="preserve"> </w:t>
      </w:r>
      <w:r>
        <w:t xml:space="preserve">second, we will subset the latest year (2015) to test performance on</w:t>
      </w:r>
      <w:r>
        <w:t xml:space="preserve"> </w:t>
      </w:r>
      <w:r>
        <w:t xml:space="preserve">newer data, which will reflect the situation when the model is deployed</w:t>
      </w:r>
      <w:r>
        <w:t xml:space="preserve"> </w:t>
      </w:r>
      <w:r>
        <w:t xml:space="preserve">on the 2027 population. Predictive performance will be assessed by the</w:t>
      </w:r>
      <w:r>
        <w:t xml:space="preserve"> </w:t>
      </w:r>
      <w:r>
        <w:t xml:space="preserve">Brier score to emphasize on individual calbraition of risk. We will</w:t>
      </w:r>
      <w:r>
        <w:t xml:space="preserve"> </w:t>
      </w:r>
      <w:r>
        <w:t xml:space="preserve">subdivide and test performance across age-groups, parity, and HbA1c</w:t>
      </w:r>
      <w:r>
        <w:t xml:space="preserve"> </w:t>
      </w:r>
      <w:r>
        <w:t xml:space="preserve">present or absent at baseline.</w:t>
      </w:r>
    </w:p>
    <w:bookmarkEnd w:id="24"/>
    <w:bookmarkStart w:id="25" w:name="X8588889570275c45de466b65dc43b5664b1c769"/>
    <w:p>
      <w:pPr>
        <w:pStyle w:val="Heading3"/>
      </w:pPr>
      <w:r>
        <w:t xml:space="preserve">4.6 Choosing and creating the final prediction model</w:t>
      </w:r>
    </w:p>
    <w:p>
      <w:pPr>
        <w:pStyle w:val="FirstParagraph"/>
      </w:pPr>
      <w:r>
        <w:t xml:space="preserve">The best performing model from the super learner will be trained on data</w:t>
      </w:r>
      <w:r>
        <w:t xml:space="preserve"> </w:t>
      </w:r>
      <w:r>
        <w:t xml:space="preserve">from the entire period from 2010 to 2015 and exported from the protected</w:t>
      </w:r>
      <w:r>
        <w:t xml:space="preserve"> </w:t>
      </w:r>
      <w:r>
        <w:t xml:space="preserve">environment it was developed in. It will then be built into an R Shiny</w:t>
      </w:r>
      <w:r>
        <w:t xml:space="preserve"> </w:t>
      </w:r>
      <w:r>
        <w:t xml:space="preserve">app, which will be provided to the group in WP4. Our model will provide</w:t>
      </w:r>
      <w:r>
        <w:t xml:space="preserve"> </w:t>
      </w:r>
      <w:r>
        <w:t xml:space="preserve">an estimate of the 10 year risk of type 2 diabetes and the expected 5</w:t>
      </w:r>
      <w:r>
        <w:t xml:space="preserve"> </w:t>
      </w:r>
      <w:r>
        <w:t xml:space="preserve">year HbA1c after pregnancy. Our approach follows established principles</w:t>
      </w:r>
      <w:r>
        <w:t xml:space="preserve"> </w:t>
      </w:r>
      <w:r>
        <w:t xml:space="preserve">in machine learning and statistical modeling, adhering to standardized</w:t>
      </w:r>
      <w:r>
        <w:t xml:space="preserve"> </w:t>
      </w:r>
      <w:r>
        <w:t xml:space="preserve">practices for prediction, reporting, and validation</w:t>
      </w:r>
      <w:r>
        <w:t xml:space="preserve"> </w:t>
      </w:r>
      <w:r>
        <w:t xml:space="preserve">[@collins2024;</w:t>
      </w:r>
      <w:r>
        <w:t xml:space="preserve"> </w:t>
      </w:r>
      <w:r>
        <w:t xml:space="preserve">@lopez-ayala2025; @collins2024a; @riley2024]</w:t>
      </w:r>
      <w:r>
        <w:t xml:space="preserve">.</w:t>
      </w:r>
    </w:p>
    <w:bookmarkEnd w:id="25"/>
    <w:bookmarkEnd w:id="26"/>
    <w:bookmarkStart w:id="27" w:name="Xf727cce0dbb2557f3f09603187292f2741ced58"/>
    <w:p>
      <w:pPr>
        <w:pStyle w:val="Heading2"/>
      </w:pPr>
      <w:r>
        <w:t xml:space="preserve">5 Definition of focus group for intervention-arm (WP4)</w:t>
      </w:r>
    </w:p>
    <w:p>
      <w:pPr>
        <w:pStyle w:val="FirstParagraph"/>
      </w:pPr>
      <w:r>
        <w:t xml:space="preserve">After the pregnancy risk model has been developed, it can be run for</w:t>
      </w:r>
      <w:r>
        <w:t xml:space="preserve"> </w:t>
      </w:r>
      <w:r>
        <w:t xml:space="preserve">more recent age cohorts, and an up-to-date descriptive analysis can be</w:t>
      </w:r>
      <w:r>
        <w:t xml:space="preserve"> </w:t>
      </w:r>
      <w:r>
        <w:t xml:space="preserve">made of the distribution of long-term T2D risk among recently pregnant</w:t>
      </w:r>
      <w:r>
        <w:t xml:space="preserve"> </w:t>
      </w:r>
      <w:r>
        <w:t xml:space="preserve">women. This descriptive analysis will show which data are most</w:t>
      </w:r>
      <w:r>
        <w:t xml:space="preserve"> </w:t>
      </w:r>
      <w:r>
        <w:t xml:space="preserve">informative for the estimation of future diabetes risk. It can also be</w:t>
      </w:r>
      <w:r>
        <w:t xml:space="preserve"> </w:t>
      </w:r>
      <w:r>
        <w:t xml:space="preserve">used to explore geographical variation and clustering of risk factors.</w:t>
      </w:r>
      <w:r>
        <w:t xml:space="preserve"> </w:t>
      </w:r>
      <w:r>
        <w:t xml:space="preserve">WP4 can then choose a more focused group of high-risk women in the</w:t>
      </w:r>
      <w:r>
        <w:t xml:space="preserve"> </w:t>
      </w:r>
      <w:r>
        <w:t xml:space="preserve">postpartum period, and geographical settings. It may be worth</w:t>
      </w:r>
      <w:r>
        <w:t xml:space="preserve"> </w:t>
      </w:r>
      <w:r>
        <w:t xml:space="preserve">considering focusing on GPs that measure HbA1c routinely in pregnant</w:t>
      </w:r>
      <w:r>
        <w:t xml:space="preserve"> </w:t>
      </w:r>
      <w:r>
        <w:t xml:space="preserve">women (improved risk prediction), and on women above a given BMI</w:t>
      </w:r>
      <w:r>
        <w:t xml:space="preserve"> </w:t>
      </w:r>
      <w:r>
        <w:t xml:space="preserve">threshold.</w:t>
      </w:r>
    </w:p>
    <w:bookmarkEnd w:id="27"/>
    <w:bookmarkStart w:id="28" w:name="references"/>
    <w:p>
      <w:pPr>
        <w:pStyle w:val="Heading2"/>
      </w:pPr>
      <w:r>
        <w:t xml:space="preserve">6 References</w:t>
      </w:r>
    </w:p>
    <w:bookmarkEnd w:id="28"/>
    <w:sectPr w:rsidR="00A2187D" w:rsidSect="00F4785E">
      <w:pgSz w:h="16838" w:w="11906"/>
      <w:pgMar w:bottom="720" w:footer="708" w:gutter="0" w:header="708" w:left="720" w:right="720" w:top="72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6"/>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84"/>
    <w:rsid w:val="00010549"/>
    <w:rsid w:val="00017624"/>
    <w:rsid w:val="0006029F"/>
    <w:rsid w:val="0006251D"/>
    <w:rsid w:val="00063F65"/>
    <w:rsid w:val="0012159C"/>
    <w:rsid w:val="001603DA"/>
    <w:rsid w:val="00175C15"/>
    <w:rsid w:val="00177484"/>
    <w:rsid w:val="00184C2C"/>
    <w:rsid w:val="001935D3"/>
    <w:rsid w:val="0026759B"/>
    <w:rsid w:val="002F1B27"/>
    <w:rsid w:val="00362008"/>
    <w:rsid w:val="00376AA7"/>
    <w:rsid w:val="004323C4"/>
    <w:rsid w:val="00470B86"/>
    <w:rsid w:val="0047224A"/>
    <w:rsid w:val="004766DE"/>
    <w:rsid w:val="00477068"/>
    <w:rsid w:val="004A1AA9"/>
    <w:rsid w:val="004A3F1A"/>
    <w:rsid w:val="004D1A48"/>
    <w:rsid w:val="00566501"/>
    <w:rsid w:val="00574B68"/>
    <w:rsid w:val="005B3CDC"/>
    <w:rsid w:val="0061700E"/>
    <w:rsid w:val="00624E71"/>
    <w:rsid w:val="00632A7D"/>
    <w:rsid w:val="006620F0"/>
    <w:rsid w:val="007A5D12"/>
    <w:rsid w:val="00825A1F"/>
    <w:rsid w:val="00840C04"/>
    <w:rsid w:val="00875465"/>
    <w:rsid w:val="008A3FCD"/>
    <w:rsid w:val="008A7F8F"/>
    <w:rsid w:val="00972A1B"/>
    <w:rsid w:val="009C694A"/>
    <w:rsid w:val="00A2187D"/>
    <w:rsid w:val="00A4284B"/>
    <w:rsid w:val="00A5030B"/>
    <w:rsid w:val="00A6062B"/>
    <w:rsid w:val="00A7175E"/>
    <w:rsid w:val="00AE467B"/>
    <w:rsid w:val="00AF0EA4"/>
    <w:rsid w:val="00B532CF"/>
    <w:rsid w:val="00B65700"/>
    <w:rsid w:val="00C47BEC"/>
    <w:rsid w:val="00CD7BEC"/>
    <w:rsid w:val="00D231E1"/>
    <w:rsid w:val="00D33833"/>
    <w:rsid w:val="00D9272E"/>
    <w:rsid w:val="00DB72F5"/>
    <w:rsid w:val="00DD6360"/>
    <w:rsid w:val="00DF74EC"/>
    <w:rsid w:val="00E00EE0"/>
    <w:rsid w:val="00E30527"/>
    <w:rsid w:val="00E31762"/>
    <w:rsid w:val="00E72CE8"/>
    <w:rsid w:val="00E77F88"/>
    <w:rsid w:val="00EF61CA"/>
    <w:rsid w:val="00F4785E"/>
    <w:rsid w:val="00F545FC"/>
    <w:rsid w:val="00FB2AC3"/>
    <w:rsid w:val="00FE4DE8"/>
  </w:rsids>
  <w:themeFontLang w:val="en-DK"/>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DK"/>
        <w14:ligatures w14:val="standardContextual"/>
      </w:rPr>
    </w:rPrDefault>
    <w:pPrDefault>
      <w:pPr>
        <w:spacing w:line="36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4785E"/>
    <w:rPr>
      <w:sz w:val="22"/>
    </w:rPr>
  </w:style>
  <w:style w:styleId="Heading1" w:type="paragraph">
    <w:name w:val="heading 1"/>
    <w:basedOn w:val="Normal"/>
    <w:next w:val="Normal"/>
    <w:link w:val="Heading1Char"/>
    <w:uiPriority w:val="9"/>
    <w:qFormat/>
    <w:rsid w:val="00177484"/>
    <w:pPr>
      <w:keepNext/>
      <w:keepLines/>
      <w:spacing w:after="80" w:before="360"/>
      <w:outlineLvl w:val="0"/>
    </w:pPr>
    <w:rPr>
      <w:rFonts w:cstheme="majorBidi" w:eastAsiaTheme="majorEastAsia"/>
      <w:color w:themeColor="text1" w:val="000000"/>
      <w:sz w:val="40"/>
      <w:szCs w:val="40"/>
    </w:rPr>
  </w:style>
  <w:style w:styleId="Heading2" w:type="paragraph">
    <w:name w:val="heading 2"/>
    <w:basedOn w:val="Normal"/>
    <w:next w:val="Normal"/>
    <w:link w:val="Heading2Char"/>
    <w:uiPriority w:val="9"/>
    <w:semiHidden/>
    <w:unhideWhenUsed/>
    <w:qFormat/>
    <w:rsid w:val="00177484"/>
    <w:pPr>
      <w:keepNext/>
      <w:keepLines/>
      <w:spacing w:after="80" w:before="160"/>
      <w:outlineLvl w:val="1"/>
    </w:pPr>
    <w:rPr>
      <w:rFonts w:cstheme="majorBidi" w:eastAsiaTheme="majorEastAsia"/>
      <w:color w:themeColor="text1" w:val="000000"/>
      <w:sz w:val="32"/>
      <w:szCs w:val="32"/>
    </w:rPr>
  </w:style>
  <w:style w:styleId="Heading3" w:type="paragraph">
    <w:name w:val="heading 3"/>
    <w:basedOn w:val="Normal"/>
    <w:next w:val="Normal"/>
    <w:link w:val="Heading3Char"/>
    <w:uiPriority w:val="9"/>
    <w:semiHidden/>
    <w:unhideWhenUsed/>
    <w:qFormat/>
    <w:rsid w:val="00177484"/>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Heading4" w:type="paragraph">
    <w:name w:val="heading 4"/>
    <w:basedOn w:val="Normal"/>
    <w:next w:val="Normal"/>
    <w:link w:val="Heading4Char"/>
    <w:uiPriority w:val="9"/>
    <w:semiHidden/>
    <w:unhideWhenUsed/>
    <w:qFormat/>
    <w:rsid w:val="00177484"/>
    <w:pPr>
      <w:keepNext/>
      <w:keepLines/>
      <w:spacing w:after="40"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177484"/>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177484"/>
    <w:pPr>
      <w:keepNext/>
      <w:keepLines/>
      <w:spacing w:before="4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177484"/>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177484"/>
    <w:pPr>
      <w:keepNext/>
      <w:keepLines/>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177484"/>
    <w:pPr>
      <w:keepNext/>
      <w:keepLines/>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77484"/>
    <w:rPr>
      <w:rFonts w:cstheme="majorBidi" w:eastAsiaTheme="majorEastAsia"/>
      <w:color w:themeColor="text1" w:val="000000"/>
      <w:sz w:val="40"/>
      <w:szCs w:val="40"/>
    </w:rPr>
  </w:style>
  <w:style w:customStyle="1" w:styleId="Heading2Char" w:type="character">
    <w:name w:val="Heading 2 Char"/>
    <w:basedOn w:val="DefaultParagraphFont"/>
    <w:link w:val="Heading2"/>
    <w:uiPriority w:val="9"/>
    <w:semiHidden/>
    <w:rsid w:val="00177484"/>
    <w:rPr>
      <w:rFonts w:cstheme="majorBidi" w:eastAsiaTheme="majorEastAsia"/>
      <w:color w:themeColor="text1" w:val="000000"/>
      <w:sz w:val="32"/>
      <w:szCs w:val="32"/>
    </w:rPr>
  </w:style>
  <w:style w:customStyle="1" w:styleId="Heading3Char" w:type="character">
    <w:name w:val="Heading 3 Char"/>
    <w:basedOn w:val="DefaultParagraphFont"/>
    <w:link w:val="Heading3"/>
    <w:uiPriority w:val="9"/>
    <w:semiHidden/>
    <w:rsid w:val="00177484"/>
    <w:rPr>
      <w:rFonts w:asciiTheme="minorHAnsi" w:cstheme="majorBidi" w:eastAsiaTheme="majorEastAsia" w:hAnsiTheme="minorHAnsi"/>
      <w:color w:themeColor="accent1" w:themeShade="BF" w:val="0F4761"/>
      <w:sz w:val="28"/>
      <w:szCs w:val="28"/>
    </w:rPr>
  </w:style>
  <w:style w:customStyle="1" w:styleId="Heading4Char" w:type="character">
    <w:name w:val="Heading 4 Char"/>
    <w:basedOn w:val="DefaultParagraphFont"/>
    <w:link w:val="Heading4"/>
    <w:uiPriority w:val="9"/>
    <w:semiHidden/>
    <w:rsid w:val="00177484"/>
    <w:rPr>
      <w:rFonts w:asciiTheme="minorHAnsi" w:cstheme="majorBidi" w:eastAsiaTheme="majorEastAsia" w:hAnsiTheme="minorHAnsi"/>
      <w:i/>
      <w:iCs/>
      <w:color w:themeColor="accent1" w:themeShade="BF" w:val="0F4761"/>
    </w:rPr>
  </w:style>
  <w:style w:customStyle="1" w:styleId="Heading5Char" w:type="character">
    <w:name w:val="Heading 5 Char"/>
    <w:basedOn w:val="DefaultParagraphFont"/>
    <w:link w:val="Heading5"/>
    <w:uiPriority w:val="9"/>
    <w:semiHidden/>
    <w:rsid w:val="00177484"/>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177484"/>
    <w:rPr>
      <w:rFonts w:asciiTheme="minorHAnsi" w:cstheme="majorBidi" w:eastAsiaTheme="majorEastAsia" w:hAnsiTheme="minorHAnsi"/>
      <w:i/>
      <w:iCs/>
      <w:color w:themeColor="text1" w:themeTint="A6" w:val="595959"/>
    </w:rPr>
  </w:style>
  <w:style w:customStyle="1" w:styleId="Heading7Char" w:type="character">
    <w:name w:val="Heading 7 Char"/>
    <w:basedOn w:val="DefaultParagraphFont"/>
    <w:link w:val="Heading7"/>
    <w:uiPriority w:val="9"/>
    <w:semiHidden/>
    <w:rsid w:val="00177484"/>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177484"/>
    <w:rPr>
      <w:rFonts w:asciiTheme="minorHAnsi" w:cstheme="majorBidi" w:eastAsiaTheme="majorEastAsia" w:hAnsiTheme="minorHAnsi"/>
      <w:i/>
      <w:iCs/>
      <w:color w:themeColor="text1" w:themeTint="D8" w:val="272727"/>
    </w:rPr>
  </w:style>
  <w:style w:customStyle="1" w:styleId="Heading9Char" w:type="character">
    <w:name w:val="Heading 9 Char"/>
    <w:basedOn w:val="DefaultParagraphFont"/>
    <w:link w:val="Heading9"/>
    <w:uiPriority w:val="9"/>
    <w:semiHidden/>
    <w:rsid w:val="00177484"/>
    <w:rPr>
      <w:rFonts w:asciiTheme="minorHAnsi" w:cstheme="majorBidi" w:eastAsiaTheme="majorEastAsia" w:hAnsiTheme="minorHAnsi"/>
      <w:color w:themeColor="text1" w:themeTint="D8" w:val="272727"/>
    </w:rPr>
  </w:style>
  <w:style w:styleId="Title" w:type="paragraph">
    <w:name w:val="Title"/>
    <w:basedOn w:val="Normal"/>
    <w:next w:val="Normal"/>
    <w:link w:val="TitleChar"/>
    <w:uiPriority w:val="10"/>
    <w:qFormat/>
    <w:rsid w:val="00177484"/>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177484"/>
    <w:rPr>
      <w:rFonts w:cstheme="majorBidi" w:eastAsiaTheme="majorEastAsia"/>
      <w:spacing w:val="-10"/>
      <w:kern w:val="28"/>
      <w:sz w:val="56"/>
      <w:szCs w:val="56"/>
    </w:rPr>
  </w:style>
  <w:style w:styleId="Subtitle" w:type="paragraph">
    <w:name w:val="Subtitle"/>
    <w:basedOn w:val="Normal"/>
    <w:next w:val="Normal"/>
    <w:link w:val="SubtitleChar"/>
    <w:uiPriority w:val="11"/>
    <w:qFormat/>
    <w:rsid w:val="00177484"/>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177484"/>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177484"/>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177484"/>
    <w:rPr>
      <w:i/>
      <w:iCs/>
      <w:color w:themeColor="text1" w:themeTint="BF" w:val="404040"/>
    </w:rPr>
  </w:style>
  <w:style w:styleId="ListParagraph" w:type="paragraph">
    <w:name w:val="List Paragraph"/>
    <w:basedOn w:val="Normal"/>
    <w:uiPriority w:val="34"/>
    <w:qFormat/>
    <w:rsid w:val="00177484"/>
    <w:pPr>
      <w:ind w:left="720"/>
      <w:contextualSpacing/>
    </w:pPr>
  </w:style>
  <w:style w:styleId="IntenseEmphasis" w:type="character">
    <w:name w:val="Intense Emphasis"/>
    <w:basedOn w:val="DefaultParagraphFont"/>
    <w:uiPriority w:val="21"/>
    <w:qFormat/>
    <w:rsid w:val="00177484"/>
    <w:rPr>
      <w:i/>
      <w:iCs/>
      <w:color w:themeColor="accent1" w:themeShade="BF" w:val="0F4761"/>
    </w:rPr>
  </w:style>
  <w:style w:styleId="IntenseQuote" w:type="paragraph">
    <w:name w:val="Intense Quote"/>
    <w:basedOn w:val="Normal"/>
    <w:next w:val="Normal"/>
    <w:link w:val="IntenseQuoteChar"/>
    <w:uiPriority w:val="30"/>
    <w:qFormat/>
    <w:rsid w:val="0017748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77484"/>
    <w:rPr>
      <w:i/>
      <w:iCs/>
      <w:color w:themeColor="accent1" w:themeShade="BF" w:val="0F4761"/>
    </w:rPr>
  </w:style>
  <w:style w:styleId="IntenseReference" w:type="character">
    <w:name w:val="Intense Reference"/>
    <w:basedOn w:val="DefaultParagraphFont"/>
    <w:uiPriority w:val="32"/>
    <w:qFormat/>
    <w:rsid w:val="00177484"/>
    <w:rPr>
      <w:b/>
      <w:bCs/>
      <w:smallCaps/>
      <w:color w:themeColor="accent1" w:themeShade="BF" w:val="0F4761"/>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(WP2) and intervention-arm (WP4) connection protocol: definition of risk group at stage of child delivery</dc:title>
  <dc:creator>Hjalte Mikkelsen; Jonas Rosborg Schaarup; Elpida Vounzoulaki; Ulla Kampmann; Daniel R. Witte; Thomas Gerds; Karoline Kragelund Nielsen; Stine Byberg</dc:creator>
  <cp:keywords/>
  <dcterms:created xsi:type="dcterms:W3CDTF">2026-09-29T17:52:18Z</dcterms:created>
  <dcterms:modified xsi:type="dcterms:W3CDTF">2026-09-29T17:52:18Z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2026-09-29</vt:lpwstr>
  </property>
  <property fmtid="{D5CDD505-2E9C-101B-9397-08002B2CF9AE}" pid="8" name="edit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