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Context and Environment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context-environment"/>
    <w:p>
      <w:pPr>
        <w:pStyle w:val="Heading1"/>
      </w:pPr>
      <w:r>
        <w:t xml:space="preserve">Context / Environment</w:t>
      </w:r>
    </w:p>
    <w:p>
      <w:pPr>
        <w:pStyle w:val="FirstParagraph"/>
      </w:pPr>
      <w:r>
        <w:rPr>
          <w:b/>
          <w:bCs/>
        </w:rPr>
        <w:t xml:space="preserve">Domain:</w:t>
      </w:r>
      <w:r>
        <w:t xml:space="preserve"> </w:t>
      </w:r>
      <w:r>
        <w:t xml:space="preserve">Distributed AI agent infrastructure and secure inter-organizational communication protocols. OGP operates in the emerging field of AI gateway federation, where autonomous agents require authenticated, scope-limited collaboration across organizational boundaries.</w:t>
      </w:r>
    </w:p>
    <w:p>
      <w:pPr>
        <w:pStyle w:val="BodyText"/>
      </w:pPr>
      <w:r>
        <w:rPr>
          <w:b/>
          <w:bCs/>
        </w:rPr>
        <w:t xml:space="preserve">System Environment:</w:t>
      </w:r>
    </w:p>
    <w:p>
      <w:pPr>
        <w:pStyle w:val="BodyText"/>
      </w:pPr>
      <w:r>
        <w:t xml:space="preserve">OGP is a companion daemon (</w:t>
      </w:r>
      <w:r>
        <w:rPr>
          <w:rStyle w:val="VerbatimChar"/>
        </w:rPr>
        <w:t xml:space="preserve">src/daemon/server.ts</w:t>
      </w:r>
      <w:r>
        <w:t xml:space="preserve">) that runs alongside OpenClaw AI gateway instances, exposing an Express HTTP server on port 18790 (configurable via</w:t>
      </w:r>
      <w:r>
        <w:t xml:space="preserve"> </w:t>
      </w:r>
      <w:r>
        <w:rPr>
          <w:rStyle w:val="VerbatimChar"/>
        </w:rPr>
        <w:t xml:space="preserve">daemonPort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~/.ogp/config.json</w:t>
      </w:r>
      <w:r>
        <w:t xml:space="preserve">). The system comprises: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Gateway Layer:</w:t>
      </w:r>
      <w:r>
        <w:t xml:space="preserve"> </w:t>
      </w:r>
      <w:r>
        <w:t xml:space="preserve">Ed25519 cryptographic identity (</w:t>
      </w:r>
      <w:r>
        <w:rPr>
          <w:rStyle w:val="VerbatimChar"/>
        </w:rPr>
        <w:t xml:space="preserve">src/shared/signing.ts::generateKeyPair()</w:t>
      </w:r>
      <w:r>
        <w:t xml:space="preserve">) with public key discovery via</w:t>
      </w:r>
      <w:r>
        <w:t xml:space="preserve"> </w:t>
      </w:r>
      <w:r>
        <w:rPr>
          <w:rStyle w:val="VerbatimChar"/>
        </w:rPr>
        <w:t xml:space="preserve">/.well-known/ogp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Doorman Enforcement Layer:</w:t>
      </w:r>
      <w:r>
        <w:t xml:space="preserve"> </w:t>
      </w:r>
      <w:r>
        <w:t xml:space="preserve">Three-tier scope validation (</w:t>
      </w:r>
      <w:r>
        <w:rPr>
          <w:rStyle w:val="VerbatimChar"/>
        </w:rPr>
        <w:t xml:space="preserve">src/daemon/doorman.ts::checkAccess()</w:t>
      </w:r>
      <w:r>
        <w:t xml:space="preserve">) implementing Layer 1 (gateway capabilities advertised in federation card), Layer 2 (per-peer</w:t>
      </w:r>
      <w:r>
        <w:t xml:space="preserve"> </w:t>
      </w:r>
      <w:r>
        <w:rPr>
          <w:rStyle w:val="VerbatimChar"/>
        </w:rPr>
        <w:t xml:space="preserve">ScopeBundle</w:t>
      </w:r>
      <w:r>
        <w:t xml:space="preserve"> </w:t>
      </w:r>
      <w:r>
        <w:t xml:space="preserve">negotiated during</w:t>
      </w:r>
      <w:r>
        <w:t xml:space="preserve"> </w:t>
      </w:r>
      <w:r>
        <w:rPr>
          <w:rStyle w:val="VerbatimChar"/>
        </w:rPr>
        <w:t xml:space="preserve">approvePeer()</w:t>
      </w:r>
      <w:r>
        <w:t xml:space="preserve">), and Layer 3 (runtime validation against</w:t>
      </w:r>
      <w:r>
        <w:t xml:space="preserve"> </w:t>
      </w:r>
      <w:r>
        <w:rPr>
          <w:rStyle w:val="VerbatimChar"/>
        </w:rPr>
        <w:t xml:space="preserve">grantedScopes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record stored in</w:t>
      </w:r>
      <w:r>
        <w:t xml:space="preserve"> </w:t>
      </w:r>
      <w:r>
        <w:rPr>
          <w:rStyle w:val="VerbatimChar"/>
        </w:rPr>
        <w:t xml:space="preserve">~/.ogp/peers.json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Peer Storage:</w:t>
      </w:r>
      <w:r>
        <w:t xml:space="preserve"> </w:t>
      </w:r>
      <w:r>
        <w:t xml:space="preserve">File-based peer registry (</w:t>
      </w:r>
      <w:r>
        <w:rPr>
          <w:rStyle w:val="VerbatimChar"/>
        </w:rPr>
        <w:t xml:space="preserve">src/daemon/peers.ts</w:t>
      </w:r>
      <w:r>
        <w:t xml:space="preserve">) with atomic write-and-rename (</w:t>
      </w:r>
      <w:r>
        <w:rPr>
          <w:rStyle w:val="VerbatimChar"/>
        </w:rPr>
        <w:t xml:space="preserve">savePeers()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fs.renameSync()</w:t>
      </w:r>
      <w:r>
        <w:t xml:space="preserve">) to prevent race conditions during concurrent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In-memory sliding window implementation (</w:t>
      </w:r>
      <w:r>
        <w:rPr>
          <w:rStyle w:val="VerbatimChar"/>
        </w:rPr>
        <w:t xml:space="preserve">src/daemon/doorman.ts::checkRateLimit()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Map&lt;peerId:intent, RateLimitEntry&gt;</w:t>
      </w:r>
      <w:r>
        <w:t xml:space="preserve"> </w:t>
      </w:r>
      <w:r>
        <w:t xml:space="preserve">with per-intent quotas (e.g.,</w:t>
      </w:r>
      <w:r>
        <w:t xml:space="preserve"> </w:t>
      </w:r>
      <w:r>
        <w:rPr>
          <w:rStyle w:val="VerbatimChar"/>
        </w:rPr>
        <w:t xml:space="preserve">{requests: 100, windowSeconds: 3600}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 Verification:</w:t>
      </w:r>
      <w:r>
        <w:t xml:space="preserve"> </w:t>
      </w:r>
      <w:r>
        <w:t xml:space="preserve">Ed25519 signature validation (</w:t>
      </w:r>
      <w:r>
        <w:rPr>
          <w:rStyle w:val="VerbatimChar"/>
        </w:rPr>
        <w:t xml:space="preserve">src/shared/signing.ts::verify()</w:t>
      </w:r>
      <w:r>
        <w:t xml:space="preserve">) over JSON-serialized</w:t>
      </w:r>
      <w:r>
        <w:t xml:space="preserve"> </w:t>
      </w:r>
      <w:r>
        <w:rPr>
          <w:rStyle w:val="VerbatimChar"/>
        </w:rPr>
        <w:t xml:space="preserve">FederationMessage</w:t>
      </w:r>
      <w:r>
        <w:t xml:space="preserve"> </w:t>
      </w:r>
      <w:r>
        <w:t xml:space="preserve">payloads with cryptographic binding to sender’s public key</w:t>
      </w:r>
    </w:p>
    <w:p>
      <w:pPr>
        <w:pStyle w:val="FirstParagraph"/>
      </w:pPr>
      <w:r>
        <w:t xml:space="preserve">Runtime characteristics: stateless message processing, cryptographic operations dominate CPU (Ed25519 sign/verify), file I/O limited to peer state persistence, HTTP/1.1 over TLS via cloudflared/ngrok tunnels.</w:t>
      </w:r>
    </w:p>
    <w:p>
      <w:pPr>
        <w:pStyle w:val="BodyText"/>
      </w:pPr>
      <w:r>
        <w:rPr>
          <w:b/>
          <w:bCs/>
        </w:rPr>
        <w:t xml:space="preserve">Use Cases: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Cross-Organization Agent Collaboration</w:t>
      </w:r>
      <w:r>
        <w:t xml:space="preserve"> </w:t>
      </w:r>
      <w:r>
        <w:t xml:space="preserve">— Trigger: Agent A needs data/task assistance from Agent B in different organization. Consumer: AI agents running in OpenClaw instances. Outcome: Agent A sends</w:t>
      </w:r>
      <w:r>
        <w:t xml:space="preserve"> </w:t>
      </w:r>
      <w:r>
        <w:rPr>
          <w:rStyle w:val="VerbatimChar"/>
        </w:rPr>
        <w:t xml:space="preserve">agent-comms</w:t>
      </w:r>
      <w:r>
        <w:t xml:space="preserve"> </w:t>
      </w:r>
      <w:r>
        <w:t xml:space="preserve">intent with topic</w:t>
      </w:r>
      <w:r>
        <w:t xml:space="preserve"> </w:t>
      </w:r>
      <w:r>
        <w:rPr>
          <w:rStyle w:val="VerbatimChar"/>
        </w:rPr>
        <w:t xml:space="preserve">memory-management</w:t>
      </w:r>
      <w:r>
        <w:t xml:space="preserve">, Bob’s doorman validates Alice has granted scope for that topic (</w:t>
      </w:r>
      <w:r>
        <w:rPr>
          <w:rStyle w:val="VerbatimChar"/>
        </w:rPr>
        <w:t xml:space="preserve">ScopeGrant.topics</w:t>
      </w:r>
      <w:r>
        <w:t xml:space="preserve"> </w:t>
      </w:r>
      <w:r>
        <w:t xml:space="preserve">array), message delivered to Bob’s agent via</w:t>
      </w:r>
      <w:r>
        <w:t xml:space="preserve"> </w:t>
      </w:r>
      <w:r>
        <w:rPr>
          <w:rStyle w:val="VerbatimChar"/>
        </w:rPr>
        <w:t xml:space="preserve">POST /api/sessions/send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Project Federation</w:t>
      </w:r>
      <w:r>
        <w:t xml:space="preserve"> </w:t>
      </w:r>
      <w:r>
        <w:t xml:space="preserve">— Trigger: Multi-party software project needs unified activity log. Consumer: Development teams with separate OpenClaw deployments. Outcome:</w:t>
      </w:r>
      <w:r>
        <w:t xml:space="preserve"> </w:t>
      </w:r>
      <w:r>
        <w:rPr>
          <w:rStyle w:val="VerbatimChar"/>
        </w:rPr>
        <w:t xml:space="preserve">project.contribute</w:t>
      </w:r>
      <w:r>
        <w:t xml:space="preserve"> </w:t>
      </w:r>
      <w:r>
        <w:t xml:space="preserve">intent delivers progress/decision/blocker entries to peer’s</w:t>
      </w:r>
      <w:r>
        <w:t xml:space="preserve"> </w:t>
      </w:r>
      <w:r>
        <w:rPr>
          <w:rStyle w:val="VerbatimChar"/>
        </w:rPr>
        <w:t xml:space="preserve">~/.ogp/projects.json</w:t>
      </w:r>
      <w:r>
        <w:t xml:space="preserve">, queries aggregate contributions across federation using</w:t>
      </w:r>
      <w:r>
        <w:t xml:space="preserve"> </w:t>
      </w:r>
      <w:r>
        <w:rPr>
          <w:rStyle w:val="VerbatimChar"/>
        </w:rPr>
        <w:t xml:space="preserve">project.query</w:t>
      </w:r>
      <w:r>
        <w:t xml:space="preserve"> </w:t>
      </w:r>
      <w:r>
        <w:t xml:space="preserve">action with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 </w:t>
      </w:r>
      <w:r>
        <w:t xml:space="preserve">callback.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Scope-Limited External Service Integration</w:t>
      </w:r>
      <w:r>
        <w:t xml:space="preserve"> </w:t>
      </w:r>
      <w:r>
        <w:t xml:space="preserve">— Trigger: Third-party monitoring service needs limited gateway access. Consumer: External automation without full trust. Outcome: Approve with minimal scope (</w:t>
      </w:r>
      <w:r>
        <w:rPr>
          <w:rStyle w:val="VerbatimChar"/>
        </w:rPr>
        <w:t xml:space="preserve">--intents monitoring --rate 50/3600</w:t>
      </w:r>
      <w:r>
        <w:t xml:space="preserve">), doorman rejects any intent outside granted bundle with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Constraints: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Ed25519 signature verification latency &lt;1ms per message; rate limiter must handle 1000 req/min per peer without memory growth (cleanup via</w:t>
      </w:r>
      <w:r>
        <w:t xml:space="preserve"> </w:t>
      </w:r>
      <w:r>
        <w:rPr>
          <w:rStyle w:val="VerbatimChar"/>
        </w:rPr>
        <w:t xml:space="preserve">cleanupExpiredEntries()</w:t>
      </w:r>
      <w:r>
        <w:t xml:space="preserve"> </w:t>
      </w:r>
      <w:r>
        <w:t xml:space="preserve">every 5 minutes)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Scale:</w:t>
      </w:r>
      <w:r>
        <w:t xml:space="preserve"> </w:t>
      </w:r>
      <w:r>
        <w:t xml:space="preserve">Single gateway supports 100+ federated peers; sliding window rate limit tracking scales O(peers × intents × window_size)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BGP-inspired</w:t>
      </w:r>
      <w:r>
        <w:t xml:space="preserve"> </w:t>
      </w:r>
      <w:r>
        <w:t xml:space="preserve">“trust at the boundary”</w:t>
      </w:r>
      <w:r>
        <w:t xml:space="preserve"> </w:t>
      </w:r>
      <w:r>
        <w:t xml:space="preserve">— gateways enforce scope contracts (</w:t>
      </w:r>
      <w:r>
        <w:rPr>
          <w:rStyle w:val="VerbatimChar"/>
        </w:rPr>
        <w:t xml:space="preserve">doorman.ts::scopeCoversIntent()</w:t>
      </w:r>
      <w:r>
        <w:t xml:space="preserve">) preventing scope creep without internal agent involvement; cryptographic signatures prevent peer impersonation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Backward Compatibility:</w:t>
      </w:r>
      <w:r>
        <w:t xml:space="preserve"> </w:t>
      </w:r>
      <w:r>
        <w:t xml:space="preserve">v0.1 peers (no scope negotiation) automatically receive</w:t>
      </w:r>
      <w:r>
        <w:t xml:space="preserve"> </w:t>
      </w:r>
      <w:r>
        <w:rPr>
          <w:rStyle w:val="VerbatimChar"/>
        </w:rPr>
        <w:t xml:space="preserve">DEFAULT_V1_SCOPES</w:t>
      </w:r>
      <w:r>
        <w:t xml:space="preserve"> </w:t>
      </w:r>
      <w:r>
        <w:t xml:space="preserve">with 100 req/hour limits; protocol version detected via</w:t>
      </w:r>
      <w:r>
        <w:t xml:space="preserve"> </w:t>
      </w:r>
      <w:r>
        <w:rPr>
          <w:rStyle w:val="VerbatimChar"/>
        </w:rPr>
        <w:t xml:space="preserve">protocolVersion</w:t>
      </w:r>
      <w:r>
        <w:t xml:space="preserve"> </w:t>
      </w:r>
      <w:r>
        <w:t xml:space="preserve">field or presence of</w:t>
      </w:r>
      <w:r>
        <w:t xml:space="preserve"> </w:t>
      </w:r>
      <w:r>
        <w:rPr>
          <w:rStyle w:val="VerbatimChar"/>
        </w:rPr>
        <w:t xml:space="preserve">scopeGrants</w:t>
      </w:r>
      <w:r>
        <w:t xml:space="preserve"> </w:t>
      </w:r>
      <w:r>
        <w:t xml:space="preserve">in approval payload</w:t>
      </w:r>
    </w:p>
    <w:p>
      <w:pPr>
        <w:pStyle w:val="FirstParagraph"/>
      </w:pPr>
      <w:r>
        <w:rPr>
          <w:b/>
          <w:bCs/>
        </w:rPr>
        <w:t xml:space="preserve">Broader Applicability:</w:t>
      </w:r>
    </w:p>
    <w:p>
      <w:pPr>
        <w:pStyle w:val="BodyText"/>
      </w:pPr>
      <w:r>
        <w:rPr>
          <w:b/>
          <w:bCs/>
        </w:rPr>
        <w:t xml:space="preserve">Federated Healthcare Data Exchange:</w:t>
      </w:r>
      <w:r>
        <w:t xml:space="preserve"> </w:t>
      </w:r>
      <w:r>
        <w:t xml:space="preserve">Hospital A shares radiology reports with Hospital B’s diagnostic AI. Input: FHIR resources wrapped in</w:t>
      </w:r>
      <w:r>
        <w:t xml:space="preserve"> </w:t>
      </w:r>
      <w:r>
        <w:rPr>
          <w:rStyle w:val="VerbatimChar"/>
        </w:rPr>
        <w:t xml:space="preserve">FederationMessage</w:t>
      </w:r>
      <w:r>
        <w:t xml:space="preserve"> </w:t>
      </w:r>
      <w:r>
        <w:t xml:space="preserve">with intent</w:t>
      </w:r>
      <w:r>
        <w:t xml:space="preserve"> </w:t>
      </w:r>
      <w:r>
        <w:rPr>
          <w:rStyle w:val="VerbatimChar"/>
        </w:rPr>
        <w:t xml:space="preserve">medical-query</w:t>
      </w:r>
      <w:r>
        <w:t xml:space="preserve">, scope grants limit topics to</w:t>
      </w:r>
      <w:r>
        <w:t xml:space="preserve"> </w:t>
      </w:r>
      <w:r>
        <w:rPr>
          <w:rStyle w:val="VerbatimChar"/>
        </w:rPr>
        <w:t xml:space="preserve">radiology/*</w:t>
      </w:r>
      <w:r>
        <w:t xml:space="preserve"> </w:t>
      </w:r>
      <w:r>
        <w:t xml:space="preserve">excluding patient identifiers. Adaptation: Replace</w:t>
      </w:r>
      <w:r>
        <w:t xml:space="preserve"> </w:t>
      </w:r>
      <w:r>
        <w:rPr>
          <w:rStyle w:val="VerbatimChar"/>
        </w:rPr>
        <w:t xml:space="preserve">agent-comms</w:t>
      </w:r>
      <w:r>
        <w:t xml:space="preserve"> </w:t>
      </w:r>
      <w:r>
        <w:t xml:space="preserve">topics with HIPAA audit categories; doorman validates PHI access policies instead of intent topics.</w:t>
      </w:r>
    </w:p>
    <w:p>
      <w:pPr>
        <w:pStyle w:val="BodyText"/>
      </w:pPr>
      <w:r>
        <w:rPr>
          <w:b/>
          <w:bCs/>
        </w:rPr>
        <w:t xml:space="preserve">Supply Chain IoT Gateways:</w:t>
      </w:r>
      <w:r>
        <w:t xml:space="preserve"> </w:t>
      </w:r>
      <w:r>
        <w:t xml:space="preserve">Factory A’s production line gateway federates with Supplier B’s inventory gateway. Input:</w:t>
      </w:r>
      <w:r>
        <w:t xml:space="preserve"> </w:t>
      </w:r>
      <w:r>
        <w:rPr>
          <w:rStyle w:val="VerbatimChar"/>
        </w:rPr>
        <w:t xml:space="preserve">{"intent": "inventory-check", "payload": {"partNumber": "ABC123"}}</w:t>
      </w:r>
      <w:r>
        <w:t xml:space="preserve">. Adaptation: Rate limits tied to API cost budgets; scope grants map to procurement authorization levels; message payloads carry supply chain transaction IDs instead of agent conversation context.</w:t>
      </w:r>
    </w:p>
    <w:p>
      <w:pPr>
        <w:pStyle w:val="BodyText"/>
      </w:pPr>
      <w:r>
        <w:rPr>
          <w:b/>
          <w:bCs/>
        </w:rPr>
        <w:t xml:space="preserve">Academic Research Collaboration:</w:t>
      </w:r>
      <w:r>
        <w:t xml:space="preserve"> </w:t>
      </w:r>
      <w:r>
        <w:t xml:space="preserve">University A’s compute cluster federates with Lab B’s data repository. Input: Job submission requests with</w:t>
      </w:r>
      <w:r>
        <w:t xml:space="preserve"> </w:t>
      </w:r>
      <w:r>
        <w:rPr>
          <w:rStyle w:val="VerbatimChar"/>
        </w:rPr>
        <w:t xml:space="preserve">{"intent": "compute-request", "topics": ["genomics", "climate-modeling"]}</w:t>
      </w:r>
      <w:r>
        <w:t xml:space="preserve">. Adaptation: Topics become research domains; scope grants encode resource quotas (CPU hours, storage GB); doorman enforces both computational and data access policies simultaneously using the same three-layer model.</w:t>
      </w:r>
    </w:p>
    <w:p>
      <w:pPr>
        <w:pStyle w:val="BodyText"/>
      </w:pPr>
      <w:r>
        <w:t xml:space="preserve">The core innovation — cryptographically-bound scoped intents enforced at the gateway without exposing agent internals — transfers directly to any domain requiring bilateral trust negotiation between autonomous systems.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 and Environment</dc:title>
  <dc:creator>David Proctor</dc:creator>
  <cp:keywords/>
  <dcterms:created xsi:type="dcterms:W3CDTF">2026-04-03T16:40:42Z</dcterms:created>
  <dcterms:modified xsi:type="dcterms:W3CDTF">2026-04-03T16:40:42Z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