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b/>
          <w:color w:val="1F3864"/>
          <w:sz w:val="56"/>
        </w:rPr>
        <w:t>DocuMind</w:t>
      </w:r>
    </w:p>
    <w:p>
      <w:pPr>
        <w:spacing w:after="80"/>
        <w:jc w:val="center"/>
      </w:pPr>
      <w:r>
        <w:rPr>
          <w:color w:val="2E74B5"/>
          <w:sz w:val="32"/>
        </w:rPr>
        <w:t>Production-Grade LLM Intelligence Platform</w:t>
      </w:r>
    </w:p>
    <w:p>
      <w:pPr>
        <w:spacing w:after="720"/>
        <w:jc w:val="center"/>
      </w:pPr>
      <w:r>
        <w:rPr>
          <w:i/>
          <w:color w:val="404040"/>
          <w:sz w:val="22"/>
        </w:rPr>
        <w:t>Regulatory Change Analysis  ·  Multi-Agent Knowledge Synthesis  ·  RAG</w:t>
      </w:r>
    </w:p>
    <w:p>
      <w:pPr>
        <w:spacing w:after="80"/>
        <w:jc w:val="center"/>
      </w:pPr>
      <w:r>
        <w:rPr>
          <w:b/>
          <w:sz w:val="20"/>
        </w:rPr>
        <w:t xml:space="preserve">Course:  </w:t>
      </w:r>
      <w:r>
        <w:rPr>
          <w:sz w:val="20"/>
        </w:rPr>
        <w:t>CS 599 — Contemporary Developments: Applications of Large Language Models</w:t>
      </w:r>
    </w:p>
    <w:p>
      <w:pPr>
        <w:spacing w:after="80"/>
        <w:jc w:val="center"/>
      </w:pPr>
      <w:r>
        <w:rPr>
          <w:b/>
          <w:sz w:val="20"/>
        </w:rPr>
        <w:t xml:space="preserve">Institution:  </w:t>
      </w:r>
      <w:r>
        <w:rPr>
          <w:sz w:val="20"/>
        </w:rPr>
        <w:t>Northern Arizona University · Department of Computer Science</w:t>
      </w:r>
    </w:p>
    <w:p>
      <w:pPr>
        <w:spacing w:after="80"/>
        <w:jc w:val="center"/>
      </w:pPr>
      <w:r>
        <w:rPr>
          <w:b/>
          <w:sz w:val="20"/>
        </w:rPr>
        <w:t xml:space="preserve">Modules:  </w:t>
      </w:r>
      <w:r>
        <w:rPr>
          <w:sz w:val="20"/>
        </w:rPr>
        <w:t>RegDelta (Regulatory Change Impact Analyzer)  |  SynapseIQ (Multi-Agent Research Platform)</w:t>
      </w:r>
    </w:p>
    <w:p>
      <w:pPr>
        <w:spacing w:after="80"/>
        <w:jc w:val="center"/>
      </w:pPr>
      <w:r>
        <w:rPr>
          <w:b/>
          <w:sz w:val="20"/>
        </w:rPr>
        <w:t xml:space="preserve">Repository:  </w:t>
      </w:r>
      <w:r>
        <w:rPr>
          <w:sz w:val="20"/>
        </w:rPr>
        <w:t>https://github.com/dp2426-NAU/LLM-Project</w:t>
      </w:r>
    </w:p>
    <w:p>
      <w:r>
        <w:br w:type="page"/>
      </w:r>
    </w:p>
    <w:p>
      <w:pPr>
        <w:pStyle w:val="Heading1"/>
        <w:jc w:val="left"/>
      </w:pPr>
      <w:r>
        <w:rPr>
          <w:color w:val="1F3864"/>
        </w:rPr>
        <w:t>Abstract</w:t>
      </w:r>
    </w:p>
    <w:p>
      <w:pPr>
        <w:spacing w:before="0" w:after="120"/>
      </w:pPr>
      <w:r>
        <w:rPr>
          <w:b w:val="0"/>
          <w:i w:val="0"/>
          <w:sz w:val="22"/>
        </w:rPr>
        <w:t>Organizations in regulated industries generate and consume vast volumes of structured documents daily. Two critical bottlenecks persist: compliance teams cannot efficiently propagate regulatory amendments across internal policy inventories, and knowledge workers lack tools that synthesize multi-document corpora into rigorously evaluated artifacts. This project presents DocuMind, a production-grade AI platform comprising two complementary modules — RegDelta and SynapseIQ — both built on Retrieval-Augmented Generation (RAG) and Large Language Model (LLM) inference. RegDelta detects section-level regulatory changes, retrieves semantically matched internal policies, and generates risk-classified impact reports. SynapseIQ implements a four-agent sequential pipeline (Researcher → Critic → Synthesizer → Validator) producing self-evaluated knowledge syntheses with composite quality scoring. Both modules are deployed as production FastAPI services with ChromaDB vector stores, SQLite analytics databases, and Docker containerization.</w:t>
      </w:r>
    </w:p>
    <w:p>
      <w:pPr>
        <w:pStyle w:val="Heading1"/>
        <w:jc w:val="left"/>
      </w:pPr>
      <w:r>
        <w:rPr>
          <w:color w:val="1F3864"/>
        </w:rPr>
        <w:t>1.  Problem Statement</w:t>
      </w:r>
    </w:p>
    <w:p>
      <w:pPr>
        <w:pStyle w:val="Heading2"/>
        <w:jc w:val="left"/>
      </w:pPr>
      <w:r>
        <w:rPr>
          <w:color w:val="2E74B5"/>
        </w:rPr>
        <w:t>1.1  Regulatory Change Propagation</w:t>
      </w:r>
    </w:p>
    <w:p>
      <w:pPr>
        <w:spacing w:before="0" w:after="120"/>
      </w:pPr>
      <w:r>
        <w:rPr>
          <w:b w:val="0"/>
          <w:i w:val="0"/>
          <w:sz w:val="22"/>
        </w:rPr>
        <w:t>When regulatory bodies such as the SEC, FINRA, or Basel Committee amend rules, compliance teams must manually cross-reference hundreds of internal policy documents to identify what requires updating. This process typically requires 2–4 weeks per major amendment, is highly error-prone, and produces no systematic audit trail linking identified policy gaps to specific regulatory clauses.</w:t>
      </w:r>
    </w:p>
    <w:p>
      <w:pPr>
        <w:pStyle w:val="ListBullet"/>
        <w:spacing w:after="60"/>
        <w:ind w:left="360"/>
      </w:pPr>
      <w:r>
        <w:rPr>
          <w:sz w:val="21"/>
        </w:rPr>
        <w:t>Takes 2–4 weeks per major rule change at mid-size firms</w:t>
      </w:r>
    </w:p>
    <w:p>
      <w:pPr>
        <w:pStyle w:val="ListBullet"/>
        <w:spacing w:after="60"/>
        <w:ind w:left="360"/>
      </w:pPr>
      <w:r>
        <w:rPr>
          <w:sz w:val="21"/>
        </w:rPr>
        <w:t>Error-prone under deadline pressure</w:t>
      </w:r>
    </w:p>
    <w:p>
      <w:pPr>
        <w:pStyle w:val="ListBullet"/>
        <w:spacing w:after="60"/>
        <w:ind w:left="360"/>
      </w:pPr>
      <w:r>
        <w:rPr>
          <w:sz w:val="21"/>
        </w:rPr>
        <w:t>No audit trail linking policy gaps to regulatory clauses</w:t>
      </w:r>
    </w:p>
    <w:p>
      <w:pPr>
        <w:pStyle w:val="ListBullet"/>
        <w:spacing w:after="60"/>
        <w:ind w:left="360"/>
      </w:pPr>
      <w:r>
        <w:rPr>
          <w:sz w:val="21"/>
        </w:rPr>
        <w:t>Scales linearly with both regulation corpus and policy inventory size</w:t>
      </w:r>
    </w:p>
    <w:p>
      <w:pPr>
        <w:pStyle w:val="Heading2"/>
        <w:jc w:val="left"/>
      </w:pPr>
      <w:r>
        <w:rPr>
          <w:color w:val="2E74B5"/>
        </w:rPr>
        <w:t>1.2  Research and Knowledge Synthesis</w:t>
      </w:r>
    </w:p>
    <w:p>
      <w:pPr>
        <w:spacing w:before="0" w:after="120"/>
      </w:pPr>
      <w:r>
        <w:rPr>
          <w:b w:val="0"/>
          <w:i w:val="0"/>
          <w:sz w:val="22"/>
        </w:rPr>
        <w:t>Analysts and knowledge workers spend the majority of their cognitive effort manually integrating information from heterogeneous document corpora. Existing LLM tools retrieve relevant text but do not reason about logical gaps, apply structured critique before synthesis, self-evaluate output quality, or maintain a traceable reasoning chain from raw source to final artifact.</w:t>
      </w:r>
    </w:p>
    <w:p>
      <w:pPr>
        <w:pStyle w:val="Heading2"/>
        <w:jc w:val="left"/>
      </w:pPr>
      <w:r>
        <w:rPr>
          <w:color w:val="2E74B5"/>
        </w:rPr>
        <w:t>1.3  Limitations of Existing Approaches</w:t>
      </w:r>
    </w:p>
    <w:tbl>
      <w:tblPr>
        <w:tblStyle w:val="TableGrid"/>
        <w:tblW w:type="auto" w:w="0"/>
        <w:tblLayout w:type="fixed"/>
        <w:tblLook w:firstColumn="1" w:firstRow="1" w:lastColumn="0" w:lastRow="0" w:noHBand="0" w:noVBand="1" w:val="04A0"/>
      </w:tblPr>
      <w:tblGrid>
        <w:gridCol w:w="4032"/>
        <w:gridCol w:w="5472"/>
      </w:tblGrid>
      <w:tr>
        <w:tc>
          <w:tcPr>
            <w:tcW w:type="dxa" w:w="4464"/>
          </w:tcPr>
          <w:p/>
        </w:tc>
        <w:tc>
          <w:tcPr>
            <w:tcW w:type="dxa" w:w="4464"/>
          </w:tcPr>
          <w:p/>
        </w:tc>
      </w:tr>
      <w:tr>
        <w:tc>
          <w:tcPr>
            <w:tcW w:type="dxa" w:w="4032"/>
            <w:shd w:val="clear" w:color="auto" w:fill="1F3864"/>
          </w:tcPr>
          <w:p>
            <w:r>
              <w:rPr>
                <w:b/>
                <w:color w:val="FFFFFF"/>
                <w:sz w:val="19"/>
              </w:rPr>
              <w:t>Approach</w:t>
            </w:r>
          </w:p>
        </w:tc>
        <w:tc>
          <w:tcPr>
            <w:tcW w:type="dxa" w:w="5472"/>
            <w:shd w:val="clear" w:color="auto" w:fill="1F3864"/>
          </w:tcPr>
          <w:p>
            <w:r>
              <w:rPr>
                <w:b/>
                <w:color w:val="FFFFFF"/>
                <w:sz w:val="19"/>
              </w:rPr>
              <w:t>Limitation</w:t>
            </w:r>
          </w:p>
        </w:tc>
      </w:tr>
      <w:tr>
        <w:tc>
          <w:tcPr>
            <w:tcW w:type="dxa" w:w="4032"/>
          </w:tcPr>
          <w:p>
            <w:r>
              <w:rPr>
                <w:sz w:val="19"/>
              </w:rPr>
              <w:t>Simple RAG chatbots</w:t>
            </w:r>
          </w:p>
        </w:tc>
        <w:tc>
          <w:tcPr>
            <w:tcW w:type="dxa" w:w="5472"/>
          </w:tcPr>
          <w:p>
            <w:r>
              <w:rPr>
                <w:sz w:val="19"/>
              </w:rPr>
              <w:t>Returns raw chunks; no synthesized analysis; no quality gate</w:t>
            </w:r>
          </w:p>
        </w:tc>
      </w:tr>
      <w:tr>
        <w:tc>
          <w:tcPr>
            <w:tcW w:type="dxa" w:w="4032"/>
          </w:tcPr>
          <w:p>
            <w:r>
              <w:rPr>
                <w:sz w:val="19"/>
              </w:rPr>
              <w:t>Document summarizers</w:t>
            </w:r>
          </w:p>
        </w:tc>
        <w:tc>
          <w:tcPr>
            <w:tcW w:type="dxa" w:w="5472"/>
          </w:tcPr>
          <w:p>
            <w:r>
              <w:rPr>
                <w:sz w:val="19"/>
              </w:rPr>
              <w:t>Single-document scope; no cross-document reasoning</w:t>
            </w:r>
          </w:p>
        </w:tc>
      </w:tr>
      <w:tr>
        <w:tc>
          <w:tcPr>
            <w:tcW w:type="dxa" w:w="4032"/>
          </w:tcPr>
          <w:p>
            <w:r>
              <w:rPr>
                <w:sz w:val="19"/>
              </w:rPr>
              <w:t>Manual compliance review</w:t>
            </w:r>
          </w:p>
        </w:tc>
        <w:tc>
          <w:tcPr>
            <w:tcW w:type="dxa" w:w="5472"/>
          </w:tcPr>
          <w:p>
            <w:r>
              <w:rPr>
                <w:sz w:val="19"/>
              </w:rPr>
              <w:t>Non-scalable; no systematic gap detection; no audit trail</w:t>
            </w:r>
          </w:p>
        </w:tc>
      </w:tr>
      <w:tr>
        <w:tc>
          <w:tcPr>
            <w:tcW w:type="dxa" w:w="4032"/>
          </w:tcPr>
          <w:p>
            <w:r>
              <w:rPr>
                <w:sz w:val="19"/>
              </w:rPr>
              <w:t>Generic LLM API calls</w:t>
            </w:r>
          </w:p>
        </w:tc>
        <w:tc>
          <w:tcPr>
            <w:tcW w:type="dxa" w:w="5472"/>
          </w:tcPr>
          <w:p>
            <w:r>
              <w:rPr>
                <w:sz w:val="19"/>
              </w:rPr>
              <w:t>No domain retrieval; hallucination risk without grounding</w:t>
            </w:r>
          </w:p>
        </w:tc>
      </w:tr>
      <w:tr>
        <w:tc>
          <w:tcPr>
            <w:tcW w:type="dxa" w:w="4032"/>
          </w:tcPr>
          <w:p>
            <w:r>
              <w:rPr>
                <w:sz w:val="19"/>
              </w:rPr>
              <w:t>Rule-based diff tools</w:t>
            </w:r>
          </w:p>
        </w:tc>
        <w:tc>
          <w:tcPr>
            <w:tcW w:type="dxa" w:w="5472"/>
          </w:tcPr>
          <w:p>
            <w:r>
              <w:rPr>
                <w:sz w:val="19"/>
              </w:rPr>
              <w:t>No semantic understanding of regulatory significance</w:t>
            </w:r>
          </w:p>
        </w:tc>
      </w:tr>
    </w:tbl>
    <w:p/>
    <w:p>
      <w:pPr>
        <w:pStyle w:val="Heading1"/>
        <w:jc w:val="left"/>
      </w:pPr>
      <w:r>
        <w:rPr>
          <w:color w:val="1F3864"/>
        </w:rPr>
        <w:t>2.  Objectives</w:t>
      </w:r>
    </w:p>
    <w:p>
      <w:pPr>
        <w:pStyle w:val="Heading2"/>
        <w:jc w:val="left"/>
      </w:pPr>
      <w:r>
        <w:rPr>
          <w:color w:val="2E74B5"/>
        </w:rPr>
        <w:t>Module I — RegDelta</w:t>
      </w:r>
    </w:p>
    <w:tbl>
      <w:tblPr>
        <w:tblStyle w:val="TableGrid"/>
        <w:tblW w:type="auto" w:w="0"/>
        <w:tblLook w:firstColumn="1" w:firstRow="1" w:lastColumn="0" w:lastRow="0" w:noHBand="0" w:noVBand="1" w:val="04A0"/>
      </w:tblPr>
      <w:tblGrid>
        <w:gridCol w:w="2976"/>
        <w:gridCol w:w="2976"/>
        <w:gridCol w:w="2976"/>
      </w:tblGrid>
      <w:tr>
        <w:tc>
          <w:tcPr>
            <w:tcW w:type="dxa" w:w="2976"/>
          </w:tcPr>
          <w:p/>
        </w:tc>
        <w:tc>
          <w:tcPr>
            <w:tcW w:type="dxa" w:w="2976"/>
          </w:tcPr>
          <w:p/>
        </w:tc>
        <w:tc>
          <w:tcPr>
            <w:tcW w:type="dxa" w:w="2976"/>
          </w:tcPr>
          <w:p/>
        </w:tc>
      </w:tr>
      <w:tr>
        <w:tc>
          <w:tcPr>
            <w:tcW w:type="dxa" w:w="2976"/>
            <w:shd w:val="clear" w:color="auto" w:fill="1F3864"/>
          </w:tcPr>
          <w:p>
            <w:r>
              <w:rPr>
                <w:b/>
                <w:color w:val="FFFFFF"/>
                <w:sz w:val="19"/>
              </w:rPr>
              <w:t>ID</w:t>
            </w:r>
          </w:p>
        </w:tc>
        <w:tc>
          <w:tcPr>
            <w:tcW w:type="dxa" w:w="2976"/>
            <w:shd w:val="clear" w:color="auto" w:fill="1F3864"/>
          </w:tcPr>
          <w:p>
            <w:r>
              <w:rPr>
                <w:b/>
                <w:color w:val="FFFFFF"/>
                <w:sz w:val="19"/>
              </w:rPr>
              <w:t>Objective</w:t>
            </w:r>
          </w:p>
        </w:tc>
        <w:tc>
          <w:tcPr>
            <w:tcW w:type="dxa" w:w="2976"/>
            <w:shd w:val="clear" w:color="auto" w:fill="1F3864"/>
          </w:tcPr>
          <w:p>
            <w:r>
              <w:rPr>
                <w:b/>
                <w:color w:val="FFFFFF"/>
                <w:sz w:val="19"/>
              </w:rPr>
              <w:t>Success Criterion</w:t>
            </w:r>
          </w:p>
        </w:tc>
      </w:tr>
      <w:tr>
        <w:tc>
          <w:tcPr>
            <w:tcW w:type="dxa" w:w="2976"/>
          </w:tcPr>
          <w:p>
            <w:r>
              <w:rPr>
                <w:sz w:val="18"/>
              </w:rPr>
              <w:t>M1</w:t>
            </w:r>
          </w:p>
        </w:tc>
        <w:tc>
          <w:tcPr>
            <w:tcW w:type="dxa" w:w="2976"/>
          </w:tcPr>
          <w:p>
            <w:r>
              <w:rPr>
                <w:sz w:val="18"/>
              </w:rPr>
              <w:t>Section-level change detection</w:t>
            </w:r>
          </w:p>
        </w:tc>
        <w:tc>
          <w:tcPr>
            <w:tcW w:type="dxa" w:w="2976"/>
          </w:tcPr>
          <w:p>
            <w:r>
              <w:rPr>
                <w:sz w:val="18"/>
              </w:rPr>
              <w:t>ADDED / MODIFIED / REMOVED classification with similarity score</w:t>
            </w:r>
          </w:p>
        </w:tc>
      </w:tr>
      <w:tr>
        <w:tc>
          <w:tcPr>
            <w:tcW w:type="dxa" w:w="2976"/>
          </w:tcPr>
          <w:p>
            <w:r>
              <w:rPr>
                <w:sz w:val="18"/>
              </w:rPr>
              <w:t>M2</w:t>
            </w:r>
          </w:p>
        </w:tc>
        <w:tc>
          <w:tcPr>
            <w:tcW w:type="dxa" w:w="2976"/>
          </w:tcPr>
          <w:p>
            <w:r>
              <w:rPr>
                <w:sz w:val="18"/>
              </w:rPr>
              <w:t>Semantic policy impact retrieval</w:t>
            </w:r>
          </w:p>
        </w:tc>
        <w:tc>
          <w:tcPr>
            <w:tcW w:type="dxa" w:w="2976"/>
          </w:tcPr>
          <w:p>
            <w:r>
              <w:rPr>
                <w:sz w:val="18"/>
              </w:rPr>
              <w:t>Retrieve affected policies with cosine similarity ≥ 0.35</w:t>
            </w:r>
          </w:p>
        </w:tc>
      </w:tr>
      <w:tr>
        <w:tc>
          <w:tcPr>
            <w:tcW w:type="dxa" w:w="2976"/>
          </w:tcPr>
          <w:p>
            <w:r>
              <w:rPr>
                <w:sz w:val="18"/>
              </w:rPr>
              <w:t>M3</w:t>
            </w:r>
          </w:p>
        </w:tc>
        <w:tc>
          <w:tcPr>
            <w:tcW w:type="dxa" w:w="2976"/>
          </w:tcPr>
          <w:p>
            <w:r>
              <w:rPr>
                <w:sz w:val="18"/>
              </w:rPr>
              <w:t>LLM-generated impact report</w:t>
            </w:r>
          </w:p>
        </w:tc>
        <w:tc>
          <w:tcPr>
            <w:tcW w:type="dxa" w:w="2976"/>
          </w:tcPr>
          <w:p>
            <w:r>
              <w:rPr>
                <w:sz w:val="18"/>
              </w:rPr>
              <w:t>JSON report: risk_level, executive_summary, recommended_actions</w:t>
            </w:r>
          </w:p>
        </w:tc>
      </w:tr>
      <w:tr>
        <w:tc>
          <w:tcPr>
            <w:tcW w:type="dxa" w:w="2976"/>
          </w:tcPr>
          <w:p>
            <w:r>
              <w:rPr>
                <w:sz w:val="18"/>
              </w:rPr>
              <w:t>M4</w:t>
            </w:r>
          </w:p>
        </w:tc>
        <w:tc>
          <w:tcPr>
            <w:tcW w:type="dxa" w:w="2976"/>
          </w:tcPr>
          <w:p>
            <w:r>
              <w:rPr>
                <w:sz w:val="18"/>
              </w:rPr>
              <w:t>Version registry</w:t>
            </w:r>
          </w:p>
        </w:tc>
        <w:tc>
          <w:tcPr>
            <w:tcW w:type="dxa" w:w="2976"/>
          </w:tcPr>
          <w:p>
            <w:r>
              <w:rPr>
                <w:sz w:val="18"/>
              </w:rPr>
              <w:t>SQLite tracks all regulation versions and reports with metadata</w:t>
            </w:r>
          </w:p>
        </w:tc>
      </w:tr>
      <w:tr>
        <w:tc>
          <w:tcPr>
            <w:tcW w:type="dxa" w:w="2976"/>
          </w:tcPr>
          <w:p>
            <w:r>
              <w:rPr>
                <w:sz w:val="18"/>
              </w:rPr>
              <w:t>M5</w:t>
            </w:r>
          </w:p>
        </w:tc>
        <w:tc>
          <w:tcPr>
            <w:tcW w:type="dxa" w:w="2976"/>
          </w:tcPr>
          <w:p>
            <w:r>
              <w:rPr>
                <w:sz w:val="18"/>
              </w:rPr>
              <w:t>Production REST API</w:t>
            </w:r>
          </w:p>
        </w:tc>
        <w:tc>
          <w:tcPr>
            <w:tcW w:type="dxa" w:w="2976"/>
          </w:tcPr>
          <w:p>
            <w:r>
              <w:rPr>
                <w:sz w:val="18"/>
              </w:rPr>
              <w:t>FastAPI endpoints with OpenAPI docs, Pydantic validation, health check</w:t>
            </w:r>
          </w:p>
        </w:tc>
      </w:tr>
    </w:tbl>
    <w:p/>
    <w:p>
      <w:pPr>
        <w:pStyle w:val="Heading2"/>
        <w:jc w:val="left"/>
      </w:pPr>
      <w:r>
        <w:rPr>
          <w:color w:val="2E74B5"/>
        </w:rPr>
        <w:t>Module II — SynapseIQ</w:t>
      </w:r>
    </w:p>
    <w:tbl>
      <w:tblPr>
        <w:tblStyle w:val="TableGrid"/>
        <w:tblW w:type="auto" w:w="0"/>
        <w:tblLook w:firstColumn="1" w:firstRow="1" w:lastColumn="0" w:lastRow="0" w:noHBand="0" w:noVBand="1" w:val="04A0"/>
      </w:tblPr>
      <w:tblGrid>
        <w:gridCol w:w="2976"/>
        <w:gridCol w:w="2976"/>
        <w:gridCol w:w="2976"/>
      </w:tblGrid>
      <w:tr>
        <w:tc>
          <w:tcPr>
            <w:tcW w:type="dxa" w:w="2976"/>
          </w:tcPr>
          <w:p/>
        </w:tc>
        <w:tc>
          <w:tcPr>
            <w:tcW w:type="dxa" w:w="2976"/>
          </w:tcPr>
          <w:p/>
        </w:tc>
        <w:tc>
          <w:tcPr>
            <w:tcW w:type="dxa" w:w="2976"/>
          </w:tcPr>
          <w:p/>
        </w:tc>
      </w:tr>
      <w:tr>
        <w:tc>
          <w:tcPr>
            <w:tcW w:type="dxa" w:w="2976"/>
            <w:shd w:val="clear" w:color="auto" w:fill="1F3864"/>
          </w:tcPr>
          <w:p>
            <w:r>
              <w:rPr>
                <w:b/>
                <w:color w:val="FFFFFF"/>
                <w:sz w:val="19"/>
              </w:rPr>
              <w:t>ID</w:t>
            </w:r>
          </w:p>
        </w:tc>
        <w:tc>
          <w:tcPr>
            <w:tcW w:type="dxa" w:w="2976"/>
            <w:shd w:val="clear" w:color="auto" w:fill="1F3864"/>
          </w:tcPr>
          <w:p>
            <w:r>
              <w:rPr>
                <w:b/>
                <w:color w:val="FFFFFF"/>
                <w:sz w:val="19"/>
              </w:rPr>
              <w:t>Objective</w:t>
            </w:r>
          </w:p>
        </w:tc>
        <w:tc>
          <w:tcPr>
            <w:tcW w:type="dxa" w:w="2976"/>
            <w:shd w:val="clear" w:color="auto" w:fill="1F3864"/>
          </w:tcPr>
          <w:p>
            <w:r>
              <w:rPr>
                <w:b/>
                <w:color w:val="FFFFFF"/>
                <w:sz w:val="19"/>
              </w:rPr>
              <w:t>Success Criterion</w:t>
            </w:r>
          </w:p>
        </w:tc>
      </w:tr>
      <w:tr>
        <w:tc>
          <w:tcPr>
            <w:tcW w:type="dxa" w:w="2976"/>
          </w:tcPr>
          <w:p>
            <w:r>
              <w:rPr>
                <w:sz w:val="18"/>
              </w:rPr>
              <w:t>S1</w:t>
            </w:r>
          </w:p>
        </w:tc>
        <w:tc>
          <w:tcPr>
            <w:tcW w:type="dxa" w:w="2976"/>
          </w:tcPr>
          <w:p>
            <w:r>
              <w:rPr>
                <w:sz w:val="18"/>
              </w:rPr>
              <w:t>4-agent sequential pipeline</w:t>
            </w:r>
          </w:p>
        </w:tc>
        <w:tc>
          <w:tcPr>
            <w:tcW w:type="dxa" w:w="2976"/>
          </w:tcPr>
          <w:p>
            <w:r>
              <w:rPr>
                <w:sz w:val="18"/>
              </w:rPr>
              <w:t>Researcher → Critic → Synthesizer → Validator with shared AgentContext</w:t>
            </w:r>
          </w:p>
        </w:tc>
      </w:tr>
      <w:tr>
        <w:tc>
          <w:tcPr>
            <w:tcW w:type="dxa" w:w="2976"/>
          </w:tcPr>
          <w:p>
            <w:r>
              <w:rPr>
                <w:sz w:val="18"/>
              </w:rPr>
              <w:t>S2</w:t>
            </w:r>
          </w:p>
        </w:tc>
        <w:tc>
          <w:tcPr>
            <w:tcW w:type="dxa" w:w="2976"/>
          </w:tcPr>
          <w:p>
            <w:r>
              <w:rPr>
                <w:sz w:val="18"/>
              </w:rPr>
              <w:t>Self-evaluating output</w:t>
            </w:r>
          </w:p>
        </w:tc>
        <w:tc>
          <w:tcPr>
            <w:tcW w:type="dxa" w:w="2976"/>
          </w:tcPr>
          <w:p>
            <w:r>
              <w:rPr>
                <w:sz w:val="18"/>
              </w:rPr>
              <w:t>Composite quality score computed; PASS/CONDITIONAL_PASS/FAIL verdict issued</w:t>
            </w:r>
          </w:p>
        </w:tc>
      </w:tr>
      <w:tr>
        <w:tc>
          <w:tcPr>
            <w:tcW w:type="dxa" w:w="2976"/>
          </w:tcPr>
          <w:p>
            <w:r>
              <w:rPr>
                <w:sz w:val="18"/>
              </w:rPr>
              <w:t>S3</w:t>
            </w:r>
          </w:p>
        </w:tc>
        <w:tc>
          <w:tcPr>
            <w:tcW w:type="dxa" w:w="2976"/>
          </w:tcPr>
          <w:p>
            <w:r>
              <w:rPr>
                <w:sz w:val="18"/>
              </w:rPr>
              <w:t>Format-adaptive synthesis</w:t>
            </w:r>
          </w:p>
        </w:tc>
        <w:tc>
          <w:tcPr>
            <w:tcW w:type="dxa" w:w="2976"/>
          </w:tcPr>
          <w:p>
            <w:r>
              <w:rPr>
                <w:sz w:val="18"/>
              </w:rPr>
              <w:t>brief (~300w), standard (~800w), detailed (~2000w) modes</w:t>
            </w:r>
          </w:p>
        </w:tc>
      </w:tr>
      <w:tr>
        <w:tc>
          <w:tcPr>
            <w:tcW w:type="dxa" w:w="2976"/>
          </w:tcPr>
          <w:p>
            <w:r>
              <w:rPr>
                <w:sz w:val="18"/>
              </w:rPr>
              <w:t>S4</w:t>
            </w:r>
          </w:p>
        </w:tc>
        <w:tc>
          <w:tcPr>
            <w:tcW w:type="dxa" w:w="2976"/>
          </w:tcPr>
          <w:p>
            <w:r>
              <w:rPr>
                <w:sz w:val="18"/>
              </w:rPr>
              <w:t>Agent observability</w:t>
            </w:r>
          </w:p>
        </w:tc>
        <w:tc>
          <w:tcPr>
            <w:tcW w:type="dxa" w:w="2976"/>
          </w:tcPr>
          <w:p>
            <w:r>
              <w:rPr>
                <w:sz w:val="18"/>
              </w:rPr>
              <w:t>Per-agent token count, latency, success recorded per session</w:t>
            </w:r>
          </w:p>
        </w:tc>
      </w:tr>
      <w:tr>
        <w:tc>
          <w:tcPr>
            <w:tcW w:type="dxa" w:w="2976"/>
          </w:tcPr>
          <w:p>
            <w:r>
              <w:rPr>
                <w:sz w:val="18"/>
              </w:rPr>
              <w:t>S5</w:t>
            </w:r>
          </w:p>
        </w:tc>
        <w:tc>
          <w:tcPr>
            <w:tcW w:type="dxa" w:w="2976"/>
          </w:tcPr>
          <w:p>
            <w:r>
              <w:rPr>
                <w:sz w:val="18"/>
              </w:rPr>
              <w:t>Cost-bounded inference</w:t>
            </w:r>
          </w:p>
        </w:tc>
        <w:tc>
          <w:tcPr>
            <w:tcW w:type="dxa" w:w="2976"/>
          </w:tcPr>
          <w:p>
            <w:r>
              <w:rPr>
                <w:sz w:val="18"/>
              </w:rPr>
              <w:t>Per-agent token budgets enforced; USD cost tracked per query</w:t>
            </w:r>
          </w:p>
        </w:tc>
      </w:tr>
    </w:tbl>
    <w:p/>
    <w:p>
      <w:pPr>
        <w:pStyle w:val="Heading1"/>
        <w:jc w:val="left"/>
      </w:pPr>
      <w:r>
        <w:rPr>
          <w:color w:val="1F3864"/>
        </w:rPr>
        <w:t>3.  Methodology</w:t>
      </w:r>
    </w:p>
    <w:p>
      <w:pPr>
        <w:pStyle w:val="Heading2"/>
        <w:jc w:val="left"/>
      </w:pPr>
      <w:r>
        <w:rPr>
          <w:color w:val="2E74B5"/>
        </w:rPr>
        <w:t>3.1  Retrieval-Augmented Generation (RAG)</w:t>
      </w:r>
    </w:p>
    <w:p>
      <w:pPr>
        <w:spacing w:before="0" w:after="120"/>
      </w:pPr>
      <w:r>
        <w:rPr>
          <w:b w:val="0"/>
          <w:i w:val="0"/>
          <w:sz w:val="22"/>
        </w:rPr>
        <w:t>Both modules ground all LLM inference in retrieved document evidence. The RAG pipeline operates in two phases:</w:t>
      </w:r>
    </w:p>
    <w:p>
      <w:pPr>
        <w:pStyle w:val="ListBullet"/>
        <w:spacing w:after="60"/>
        <w:ind w:left="360"/>
      </w:pPr>
      <w:r>
        <w:rPr>
          <w:sz w:val="21"/>
        </w:rPr>
        <w:t>Offline Indexing: Documents are parsed, cleaned, and split into overlapping fixed-size chunks (512–800 tokens, 50–100 token overlap). Each chunk is embedded using sentence-transformers all-MiniLM-L6-v2 (384-dimensional, L2-normalized) and upserted into ChromaDB.</w:t>
      </w:r>
    </w:p>
    <w:p>
      <w:pPr>
        <w:pStyle w:val="ListBullet"/>
        <w:spacing w:after="60"/>
        <w:ind w:left="360"/>
      </w:pPr>
      <w:r>
        <w:rPr>
          <w:sz w:val="21"/>
        </w:rPr>
        <w:t>Online Retrieval: At query time, the user query is embedded with the same model and passed to ChromaDB's HNSW index for approximate nearest-neighbor search. The top-K chunks above a minimum relevance threshold become the LLM grounding context.</w:t>
      </w:r>
    </w:p>
    <w:p>
      <w:pPr>
        <w:pStyle w:val="Heading2"/>
        <w:jc w:val="left"/>
      </w:pPr>
      <w:r>
        <w:rPr>
          <w:color w:val="2E74B5"/>
        </w:rPr>
        <w:t>3.2  Section-Level Differential Analysis (RegDelta)</w:t>
      </w:r>
    </w:p>
    <w:p>
      <w:pPr>
        <w:spacing w:before="0" w:after="120"/>
      </w:pPr>
      <w:r>
        <w:rPr>
          <w:b w:val="0"/>
          <w:i w:val="0"/>
          <w:sz w:val="22"/>
        </w:rPr>
        <w:t>RegDelta implements a domain-specific diff engine operating at heading-level document granularity. Documents are parsed using a regex matching regulatory heading conventions (Section, Article, Rule, § prefixes). Python's difflib.SequenceMatcher computes a similarity ratio (0.0–1.0) for each matched section pair. Sections are classified as ADDED, REMOVED, or MODIFIED and sorted by ascending similarity to surface the most significant changes first. The top 10 changed sections are individually annotated by the LLM before full impact report generation.</w:t>
      </w:r>
    </w:p>
    <w:p>
      <w:pPr>
        <w:pStyle w:val="Heading2"/>
        <w:jc w:val="left"/>
      </w:pPr>
      <w:r>
        <w:rPr>
          <w:color w:val="2E74B5"/>
        </w:rPr>
        <w:t>3.3  Multi-Agent Sequential Architecture (SynapseIQ)</w:t>
      </w:r>
    </w:p>
    <w:p>
      <w:pPr>
        <w:spacing w:before="0" w:after="120"/>
      </w:pPr>
      <w:r>
        <w:rPr>
          <w:b w:val="0"/>
          <w:i w:val="0"/>
          <w:sz w:val="22"/>
        </w:rPr>
        <w:t>SynapseIQ implements a four-stage sequential agent pipeline sharing an AgentContext dataclass:</w:t>
      </w:r>
    </w:p>
    <w:p>
      <w:pPr>
        <w:pStyle w:val="ListBullet"/>
        <w:spacing w:after="60"/>
        <w:ind w:left="360"/>
      </w:pPr>
      <w:r>
        <w:rPr>
          <w:sz w:val="21"/>
        </w:rPr>
        <w:t>ResearcherAgent — Extracts structured findings, key concepts, evidence gaps from retrieved chunks. Budget: 1,200 tokens.</w:t>
      </w:r>
    </w:p>
    <w:p>
      <w:pPr>
        <w:pStyle w:val="ListBullet"/>
        <w:spacing w:after="60"/>
        <w:ind w:left="360"/>
      </w:pPr>
      <w:r>
        <w:rPr>
          <w:sz w:val="21"/>
        </w:rPr>
        <w:t>CriticAgent — Identifies logical gaps, unsupported claims, and bias signals. Budget: 800 tokens.</w:t>
      </w:r>
    </w:p>
    <w:p>
      <w:pPr>
        <w:pStyle w:val="ListBullet"/>
        <w:spacing w:after="60"/>
        <w:ind w:left="360"/>
      </w:pPr>
      <w:r>
        <w:rPr>
          <w:sz w:val="21"/>
        </w:rPr>
        <w:t>SynthesizerAgent — Produces a format-appropriate knowledge artifact (brief/standard/detailed). Budget: 1,800 tokens.</w:t>
      </w:r>
    </w:p>
    <w:p>
      <w:pPr>
        <w:pStyle w:val="ListBullet"/>
        <w:spacing w:after="60"/>
        <w:ind w:left="360"/>
      </w:pPr>
      <w:r>
        <w:rPr>
          <w:sz w:val="21"/>
        </w:rPr>
        <w:t>ValidatorAgent — Scores synthesis on 4 dimensions; issues PASS/CONDITIONAL_PASS/FAIL verdict. Budget: 600 tokens.</w:t>
      </w:r>
    </w:p>
    <w:p>
      <w:pPr>
        <w:pStyle w:val="Heading2"/>
        <w:jc w:val="left"/>
      </w:pPr>
      <w:r>
        <w:rPr>
          <w:color w:val="2E74B5"/>
        </w:rPr>
        <w:t>3.4  Evaluation Framework</w:t>
      </w:r>
    </w:p>
    <w:p>
      <w:pPr>
        <w:spacing w:before="0" w:after="120"/>
      </w:pPr>
      <w:r>
        <w:rPr>
          <w:b w:val="0"/>
          <w:i w:val="0"/>
          <w:sz w:val="22"/>
        </w:rPr>
        <w:t>SynapseIQ uses a weighted composite evaluation score:</w:t>
      </w:r>
    </w:p>
    <w:p>
      <w:pPr>
        <w:spacing w:before="0" w:after="120"/>
      </w:pPr>
      <w:r>
        <w:rPr>
          <w:b/>
          <w:i w:val="0"/>
          <w:color w:val="1F3864"/>
          <w:sz w:val="22"/>
        </w:rPr>
        <w:t>Composite = 0.30 × coherence + 0.35 × relevance + 0.25 × factuality + 0.10 × completeness</w:t>
      </w:r>
    </w:p>
    <w:p>
      <w:pPr>
        <w:spacing w:before="0" w:after="120"/>
      </w:pPr>
      <w:r>
        <w:rPr>
          <w:b w:val="0"/>
          <w:i w:val="0"/>
          <w:sz w:val="22"/>
        </w:rPr>
        <w:t>Verdict thresholds: PASS ≥ 0.65  |  CONDITIONAL_PASS ≥ 0.45  |  FAIL &lt; 0.45</w:t>
      </w:r>
    </w:p>
    <w:p>
      <w:pPr>
        <w:pStyle w:val="Heading1"/>
        <w:jc w:val="left"/>
      </w:pPr>
      <w:r>
        <w:rPr>
          <w:color w:val="1F3864"/>
        </w:rPr>
        <w:t>4.  System Architecture</w:t>
      </w:r>
    </w:p>
    <w:p>
      <w:pPr>
        <w:pStyle w:val="Heading2"/>
        <w:jc w:val="left"/>
      </w:pPr>
      <w:r>
        <w:rPr>
          <w:color w:val="2E74B5"/>
        </w:rPr>
        <w:t>4.1  High-Level Layered Architecture</w:t>
      </w:r>
    </w:p>
    <w:p>
      <w:pPr>
        <w:spacing w:after="120"/>
      </w:pPr>
      <w:r>
        <w:rPr>
          <w:rFonts w:ascii="Courier New" w:hAnsi="Courier New"/>
          <w:color w:val="1F3864"/>
          <w:sz w:val="18"/>
        </w:rPr>
        <w:t>CLIENT LAYER         HTTP · Swagger UI · Python SDK · CI/CD</w:t>
        <w:br/>
        <w:t xml:space="preserve">       ↓</w:t>
        <w:br/>
        <w:t>API GATEWAY          FastAPI / Uvicorn ASGI · Pydantic · OpenAPI 3.0</w:t>
        <w:br/>
        <w:t xml:space="preserve">       ↓</w:t>
        <w:br/>
        <w:t>DOMAIN MODULES       RegDelta (Diff → Analyze → Report)</w:t>
        <w:br/>
        <w:t xml:space="preserve">                     SynapseIQ (Researcher → Critic → Synthesizer → Validator)</w:t>
        <w:br/>
        <w:t xml:space="preserve">       ↓</w:t>
        <w:br/>
        <w:t>SHARED INFRA         ChromaDB · Embedding Engine · LLM Client · Config</w:t>
        <w:br/>
        <w:t xml:space="preserve">       ↓</w:t>
        <w:br/>
        <w:t>PERSISTENCE          SQLite (versions + reports) · SQLite (sessions + traces)</w:t>
        <w:br/>
        <w:t xml:space="preserve">                     ChromaDB on-disk · OpenAI API / Ollama local</w:t>
      </w:r>
    </w:p>
    <w:p>
      <w:pPr>
        <w:pStyle w:val="Heading2"/>
        <w:jc w:val="left"/>
      </w:pPr>
      <w:r>
        <w:rPr>
          <w:color w:val="2E74B5"/>
        </w:rPr>
        <w:t>4.2  RegDelta Data Flow</w:t>
      </w:r>
    </w:p>
    <w:p>
      <w:pPr>
        <w:pStyle w:val="ListBullet"/>
        <w:spacing w:after="60"/>
        <w:ind w:left="360"/>
      </w:pPr>
      <w:r>
        <w:rPr>
          <w:sz w:val="21"/>
        </w:rPr>
        <w:t>POST /api/v1/analyze/delta — receive regulation_id, old_version_tag, new_version_tag</w:t>
      </w:r>
    </w:p>
    <w:p>
      <w:pPr>
        <w:pStyle w:val="ListBullet"/>
        <w:spacing w:after="60"/>
        <w:ind w:left="360"/>
      </w:pPr>
      <w:r>
        <w:rPr>
          <w:sz w:val="21"/>
        </w:rPr>
        <w:t>VersionTracker.get_latest_two() — fetch old_text and new_text from SQLite</w:t>
      </w:r>
    </w:p>
    <w:p>
      <w:pPr>
        <w:pStyle w:val="ListBullet"/>
        <w:spacing w:after="60"/>
        <w:ind w:left="360"/>
      </w:pPr>
      <w:r>
        <w:rPr>
          <w:sz w:val="21"/>
        </w:rPr>
        <w:t>DiffEngine.compute_section_diffs(old, new) — regex split + SequenceMatcher</w:t>
      </w:r>
    </w:p>
    <w:p>
      <w:pPr>
        <w:pStyle w:val="ListBullet"/>
        <w:spacing w:after="60"/>
        <w:ind w:left="360"/>
      </w:pPr>
      <w:r>
        <w:rPr>
          <w:sz w:val="21"/>
        </w:rPr>
        <w:t>ImpactAnalyzer._annotate_sections(diffs[:10]) — one LLM call per section</w:t>
      </w:r>
    </w:p>
    <w:p>
      <w:pPr>
        <w:pStyle w:val="ListBullet"/>
        <w:spacing w:after="60"/>
        <w:ind w:left="360"/>
      </w:pPr>
      <w:r>
        <w:rPr>
          <w:sz w:val="21"/>
        </w:rPr>
        <w:t>Retriever.retrieve_policies(section_text) — ChromaDB ANN search on policies collection</w:t>
      </w:r>
    </w:p>
    <w:p>
      <w:pPr>
        <w:pStyle w:val="ListBullet"/>
        <w:spacing w:after="60"/>
        <w:ind w:left="360"/>
      </w:pPr>
      <w:r>
        <w:rPr>
          <w:sz w:val="21"/>
        </w:rPr>
        <w:t>LLMGenerator.generate_json(impact_system, prompt) — full ImpactReport JSON</w:t>
      </w:r>
    </w:p>
    <w:p>
      <w:pPr>
        <w:pStyle w:val="ListBullet"/>
        <w:spacing w:after="60"/>
        <w:ind w:left="360"/>
      </w:pPr>
      <w:r>
        <w:rPr>
          <w:sz w:val="21"/>
        </w:rPr>
        <w:t>VersionTracker.save_report(...) — persist to SQLite impact_reports table</w:t>
      </w:r>
    </w:p>
    <w:p>
      <w:pPr>
        <w:pStyle w:val="ListBullet"/>
        <w:spacing w:after="60"/>
        <w:ind w:left="360"/>
      </w:pPr>
      <w:r>
        <w:rPr>
          <w:sz w:val="21"/>
        </w:rPr>
        <w:t>Return ImpactReport.to_dict() as JSON response</w:t>
      </w:r>
    </w:p>
    <w:p>
      <w:pPr>
        <w:pStyle w:val="Heading2"/>
        <w:jc w:val="left"/>
      </w:pPr>
      <w:r>
        <w:rPr>
          <w:color w:val="2E74B5"/>
        </w:rPr>
        <w:t>4.3  SynapseIQ Pipeline Flow</w:t>
      </w:r>
    </w:p>
    <w:p>
      <w:pPr>
        <w:pStyle w:val="ListBullet"/>
        <w:spacing w:after="60"/>
        <w:ind w:left="360"/>
      </w:pPr>
      <w:r>
        <w:rPr>
          <w:sz w:val="21"/>
        </w:rPr>
        <w:t>POST /api/v1/synthesize — receive query, output_format, citation_style</w:t>
      </w:r>
    </w:p>
    <w:p>
      <w:pPr>
        <w:pStyle w:val="ListBullet"/>
        <w:spacing w:after="60"/>
        <w:ind w:left="360"/>
      </w:pPr>
      <w:r>
        <w:rPr>
          <w:sz w:val="21"/>
        </w:rPr>
        <w:t>CorpusStore.search(query, top_k=6, min_score=0.35) — ChromaDB HNSW ANN search</w:t>
      </w:r>
    </w:p>
    <w:p>
      <w:pPr>
        <w:pStyle w:val="ListBullet"/>
        <w:spacing w:after="60"/>
        <w:ind w:left="360"/>
      </w:pPr>
      <w:r>
        <w:rPr>
          <w:sz w:val="21"/>
        </w:rPr>
        <w:t>ResearcherAgent._safe_run(context) — YAML prompt → LLM → structured findings</w:t>
      </w:r>
    </w:p>
    <w:p>
      <w:pPr>
        <w:pStyle w:val="ListBullet"/>
        <w:spacing w:after="60"/>
        <w:ind w:left="360"/>
      </w:pPr>
      <w:r>
        <w:rPr>
          <w:sz w:val="21"/>
        </w:rPr>
        <w:t>CriticAgent._safe_run(context) — YAML prompt → LLM → gaps and bias flags</w:t>
      </w:r>
    </w:p>
    <w:p>
      <w:pPr>
        <w:pStyle w:val="ListBullet"/>
        <w:spacing w:after="60"/>
        <w:ind w:left="360"/>
      </w:pPr>
      <w:r>
        <w:rPr>
          <w:sz w:val="21"/>
        </w:rPr>
        <w:t>SynthesizerAgent._safe_run(context) — YAML prompt → LLM → knowledge artifact</w:t>
      </w:r>
    </w:p>
    <w:p>
      <w:pPr>
        <w:pStyle w:val="ListBullet"/>
        <w:spacing w:after="60"/>
        <w:ind w:left="360"/>
      </w:pPr>
      <w:r>
        <w:rPr>
          <w:sz w:val="21"/>
        </w:rPr>
        <w:t>ValidatorAgent._safe_run(context) — YAML prompt → LLM → scores + verdict</w:t>
      </w:r>
    </w:p>
    <w:p>
      <w:pPr>
        <w:pStyle w:val="ListBullet"/>
        <w:spacing w:after="60"/>
        <w:ind w:left="360"/>
      </w:pPr>
      <w:r>
        <w:rPr>
          <w:sz w:val="21"/>
        </w:rPr>
        <w:t>PipelineEvaluator.evaluate(context) — compute composite score; set EvaluationResult</w:t>
      </w:r>
    </w:p>
    <w:p>
      <w:pPr>
        <w:pStyle w:val="ListBullet"/>
        <w:spacing w:after="60"/>
        <w:ind w:left="360"/>
      </w:pPr>
      <w:r>
        <w:rPr>
          <w:sz w:val="21"/>
        </w:rPr>
        <w:t>PipelineTracer.end_session(...) — write pipeline_sessions + agent_traces to SQLite</w:t>
      </w:r>
    </w:p>
    <w:p>
      <w:pPr>
        <w:pStyle w:val="Heading1"/>
        <w:jc w:val="left"/>
      </w:pPr>
      <w:r>
        <w:rPr>
          <w:color w:val="1F3864"/>
        </w:rPr>
        <w:t>5.  Technologies Used</w:t>
      </w:r>
    </w:p>
    <w:tbl>
      <w:tblPr>
        <w:tblStyle w:val="TableGrid"/>
        <w:tblW w:type="auto" w:w="0"/>
        <w:tblLook w:firstColumn="1" w:firstRow="1" w:lastColumn="0" w:lastRow="0" w:noHBand="0" w:noVBand="1" w:val="04A0"/>
      </w:tblPr>
      <w:tblGrid>
        <w:gridCol w:w="2976"/>
        <w:gridCol w:w="2976"/>
        <w:gridCol w:w="2976"/>
      </w:tblGrid>
      <w:tr>
        <w:tc>
          <w:tcPr>
            <w:tcW w:type="dxa" w:w="2976"/>
          </w:tcPr>
          <w:p/>
        </w:tc>
        <w:tc>
          <w:tcPr>
            <w:tcW w:type="dxa" w:w="2976"/>
          </w:tcPr>
          <w:p/>
        </w:tc>
        <w:tc>
          <w:tcPr>
            <w:tcW w:type="dxa" w:w="2976"/>
          </w:tcPr>
          <w:p/>
        </w:tc>
      </w:tr>
      <w:tr>
        <w:tc>
          <w:tcPr>
            <w:tcW w:type="dxa" w:w="2976"/>
            <w:shd w:val="clear" w:color="auto" w:fill="1F3864"/>
          </w:tcPr>
          <w:p>
            <w:r>
              <w:rPr>
                <w:b/>
                <w:color w:val="FFFFFF"/>
                <w:sz w:val="19"/>
              </w:rPr>
              <w:t>Category</w:t>
            </w:r>
          </w:p>
        </w:tc>
        <w:tc>
          <w:tcPr>
            <w:tcW w:type="dxa" w:w="2976"/>
            <w:shd w:val="clear" w:color="auto" w:fill="1F3864"/>
          </w:tcPr>
          <w:p>
            <w:r>
              <w:rPr>
                <w:b/>
                <w:color w:val="FFFFFF"/>
                <w:sz w:val="19"/>
              </w:rPr>
              <w:t>Technology</w:t>
            </w:r>
          </w:p>
        </w:tc>
        <w:tc>
          <w:tcPr>
            <w:tcW w:type="dxa" w:w="2976"/>
            <w:shd w:val="clear" w:color="auto" w:fill="1F3864"/>
          </w:tcPr>
          <w:p>
            <w:r>
              <w:rPr>
                <w:b/>
                <w:color w:val="FFFFFF"/>
                <w:sz w:val="19"/>
              </w:rPr>
              <w:t>Purpose</w:t>
            </w:r>
          </w:p>
        </w:tc>
      </w:tr>
      <w:tr>
        <w:tc>
          <w:tcPr>
            <w:tcW w:type="dxa" w:w="2976"/>
          </w:tcPr>
          <w:p>
            <w:r>
              <w:rPr>
                <w:sz w:val="19"/>
              </w:rPr>
              <w:t>Language</w:t>
            </w:r>
          </w:p>
        </w:tc>
        <w:tc>
          <w:tcPr>
            <w:tcW w:type="dxa" w:w="2976"/>
          </w:tcPr>
          <w:p>
            <w:r>
              <w:rPr>
                <w:sz w:val="19"/>
              </w:rPr>
              <w:t>Python 3.11+</w:t>
            </w:r>
          </w:p>
        </w:tc>
        <w:tc>
          <w:tcPr>
            <w:tcW w:type="dxa" w:w="2976"/>
          </w:tcPr>
          <w:p>
            <w:r>
              <w:rPr>
                <w:sz w:val="19"/>
              </w:rPr>
              <w:t>Primary implementation language</w:t>
            </w:r>
          </w:p>
        </w:tc>
      </w:tr>
      <w:tr>
        <w:tc>
          <w:tcPr>
            <w:tcW w:type="dxa" w:w="2976"/>
          </w:tcPr>
          <w:p>
            <w:r>
              <w:rPr>
                <w:sz w:val="19"/>
              </w:rPr>
              <w:t>Web Framework</w:t>
            </w:r>
          </w:p>
        </w:tc>
        <w:tc>
          <w:tcPr>
            <w:tcW w:type="dxa" w:w="2976"/>
          </w:tcPr>
          <w:p>
            <w:r>
              <w:rPr>
                <w:sz w:val="19"/>
              </w:rPr>
              <w:t>FastAPI + Uvicorn</w:t>
            </w:r>
          </w:p>
        </w:tc>
        <w:tc>
          <w:tcPr>
            <w:tcW w:type="dxa" w:w="2976"/>
          </w:tcPr>
          <w:p>
            <w:r>
              <w:rPr>
                <w:sz w:val="19"/>
              </w:rPr>
              <w:t>ASGI REST API server</w:t>
            </w:r>
          </w:p>
        </w:tc>
      </w:tr>
      <w:tr>
        <w:tc>
          <w:tcPr>
            <w:tcW w:type="dxa" w:w="2976"/>
          </w:tcPr>
          <w:p>
            <w:r>
              <w:rPr>
                <w:sz w:val="19"/>
              </w:rPr>
              <w:t>LLM Provider (cloud)</w:t>
            </w:r>
          </w:p>
        </w:tc>
        <w:tc>
          <w:tcPr>
            <w:tcW w:type="dxa" w:w="2976"/>
          </w:tcPr>
          <w:p>
            <w:r>
              <w:rPr>
                <w:sz w:val="19"/>
              </w:rPr>
              <w:t>OpenAI gpt-4o-mini</w:t>
            </w:r>
          </w:p>
        </w:tc>
        <w:tc>
          <w:tcPr>
            <w:tcW w:type="dxa" w:w="2976"/>
          </w:tcPr>
          <w:p>
            <w:r>
              <w:rPr>
                <w:sz w:val="19"/>
              </w:rPr>
              <w:t>Default inference backend</w:t>
            </w:r>
          </w:p>
        </w:tc>
      </w:tr>
      <w:tr>
        <w:tc>
          <w:tcPr>
            <w:tcW w:type="dxa" w:w="2976"/>
          </w:tcPr>
          <w:p>
            <w:r>
              <w:rPr>
                <w:sz w:val="19"/>
              </w:rPr>
              <w:t>LLM Provider (local)</w:t>
            </w:r>
          </w:p>
        </w:tc>
        <w:tc>
          <w:tcPr>
            <w:tcW w:type="dxa" w:w="2976"/>
          </w:tcPr>
          <w:p>
            <w:r>
              <w:rPr>
                <w:sz w:val="19"/>
              </w:rPr>
              <w:t>Ollama llama3</w:t>
            </w:r>
          </w:p>
        </w:tc>
        <w:tc>
          <w:tcPr>
            <w:tcW w:type="dxa" w:w="2976"/>
          </w:tcPr>
          <w:p>
            <w:r>
              <w:rPr>
                <w:sz w:val="19"/>
              </w:rPr>
              <w:t>Zero-cost local inference alternative</w:t>
            </w:r>
          </w:p>
        </w:tc>
      </w:tr>
      <w:tr>
        <w:tc>
          <w:tcPr>
            <w:tcW w:type="dxa" w:w="2976"/>
          </w:tcPr>
          <w:p>
            <w:r>
              <w:rPr>
                <w:sz w:val="19"/>
              </w:rPr>
              <w:t>Vector Database</w:t>
            </w:r>
          </w:p>
        </w:tc>
        <w:tc>
          <w:tcPr>
            <w:tcW w:type="dxa" w:w="2976"/>
          </w:tcPr>
          <w:p>
            <w:r>
              <w:rPr>
                <w:sz w:val="19"/>
              </w:rPr>
              <w:t>ChromaDB 0.5</w:t>
            </w:r>
          </w:p>
        </w:tc>
        <w:tc>
          <w:tcPr>
            <w:tcW w:type="dxa" w:w="2976"/>
          </w:tcPr>
          <w:p>
            <w:r>
              <w:rPr>
                <w:sz w:val="19"/>
              </w:rPr>
              <w:t>Dense vector storage and ANN search</w:t>
            </w:r>
          </w:p>
        </w:tc>
      </w:tr>
      <w:tr>
        <w:tc>
          <w:tcPr>
            <w:tcW w:type="dxa" w:w="2976"/>
          </w:tcPr>
          <w:p>
            <w:r>
              <w:rPr>
                <w:sz w:val="19"/>
              </w:rPr>
              <w:t>Embedding Model</w:t>
            </w:r>
          </w:p>
        </w:tc>
        <w:tc>
          <w:tcPr>
            <w:tcW w:type="dxa" w:w="2976"/>
          </w:tcPr>
          <w:p>
            <w:r>
              <w:rPr>
                <w:sz w:val="19"/>
              </w:rPr>
              <w:t>all-MiniLM-L6-v2</w:t>
            </w:r>
          </w:p>
        </w:tc>
        <w:tc>
          <w:tcPr>
            <w:tcW w:type="dxa" w:w="2976"/>
          </w:tcPr>
          <w:p>
            <w:r>
              <w:rPr>
                <w:sz w:val="19"/>
              </w:rPr>
              <w:t>384-dimensional sentence embeddings</w:t>
            </w:r>
          </w:p>
        </w:tc>
      </w:tr>
      <w:tr>
        <w:tc>
          <w:tcPr>
            <w:tcW w:type="dxa" w:w="2976"/>
          </w:tcPr>
          <w:p>
            <w:r>
              <w:rPr>
                <w:sz w:val="19"/>
              </w:rPr>
              <w:t>Persistence</w:t>
            </w:r>
          </w:p>
        </w:tc>
        <w:tc>
          <w:tcPr>
            <w:tcW w:type="dxa" w:w="2976"/>
          </w:tcPr>
          <w:p>
            <w:r>
              <w:rPr>
                <w:sz w:val="19"/>
              </w:rPr>
              <w:t>SQLite3</w:t>
            </w:r>
          </w:p>
        </w:tc>
        <w:tc>
          <w:tcPr>
            <w:tcW w:type="dxa" w:w="2976"/>
          </w:tcPr>
          <w:p>
            <w:r>
              <w:rPr>
                <w:sz w:val="19"/>
              </w:rPr>
              <w:t>Version tracking and session analytics</w:t>
            </w:r>
          </w:p>
        </w:tc>
      </w:tr>
      <w:tr>
        <w:tc>
          <w:tcPr>
            <w:tcW w:type="dxa" w:w="2976"/>
          </w:tcPr>
          <w:p>
            <w:r>
              <w:rPr>
                <w:sz w:val="19"/>
              </w:rPr>
              <w:t>Data Validation</w:t>
            </w:r>
          </w:p>
        </w:tc>
        <w:tc>
          <w:tcPr>
            <w:tcW w:type="dxa" w:w="2976"/>
          </w:tcPr>
          <w:p>
            <w:r>
              <w:rPr>
                <w:sz w:val="19"/>
              </w:rPr>
              <w:t>Pydantic v2</w:t>
            </w:r>
          </w:p>
        </w:tc>
        <w:tc>
          <w:tcPr>
            <w:tcW w:type="dxa" w:w="2976"/>
          </w:tcPr>
          <w:p>
            <w:r>
              <w:rPr>
                <w:sz w:val="19"/>
              </w:rPr>
              <w:t>Request/response models and settings</w:t>
            </w:r>
          </w:p>
        </w:tc>
      </w:tr>
      <w:tr>
        <w:tc>
          <w:tcPr>
            <w:tcW w:type="dxa" w:w="2976"/>
          </w:tcPr>
          <w:p>
            <w:r>
              <w:rPr>
                <w:sz w:val="19"/>
              </w:rPr>
              <w:t>Prompt Templating</w:t>
            </w:r>
          </w:p>
        </w:tc>
        <w:tc>
          <w:tcPr>
            <w:tcW w:type="dxa" w:w="2976"/>
          </w:tcPr>
          <w:p>
            <w:r>
              <w:rPr>
                <w:sz w:val="19"/>
              </w:rPr>
              <w:t>Jinja2 + YAML</w:t>
            </w:r>
          </w:p>
        </w:tc>
        <w:tc>
          <w:tcPr>
            <w:tcW w:type="dxa" w:w="2976"/>
          </w:tcPr>
          <w:p>
            <w:r>
              <w:rPr>
                <w:sz w:val="19"/>
              </w:rPr>
              <w:t>Agent prompt management with hot-reload</w:t>
            </w:r>
          </w:p>
        </w:tc>
      </w:tr>
      <w:tr>
        <w:tc>
          <w:tcPr>
            <w:tcW w:type="dxa" w:w="2976"/>
          </w:tcPr>
          <w:p>
            <w:r>
              <w:rPr>
                <w:sz w:val="19"/>
              </w:rPr>
              <w:t>Diff Engine</w:t>
            </w:r>
          </w:p>
        </w:tc>
        <w:tc>
          <w:tcPr>
            <w:tcW w:type="dxa" w:w="2976"/>
          </w:tcPr>
          <w:p>
            <w:r>
              <w:rPr>
                <w:sz w:val="19"/>
              </w:rPr>
              <w:t>difflib (stdlib)</w:t>
            </w:r>
          </w:p>
        </w:tc>
        <w:tc>
          <w:tcPr>
            <w:tcW w:type="dxa" w:w="2976"/>
          </w:tcPr>
          <w:p>
            <w:r>
              <w:rPr>
                <w:sz w:val="19"/>
              </w:rPr>
              <w:t>Section-level text comparison</w:t>
            </w:r>
          </w:p>
        </w:tc>
      </w:tr>
      <w:tr>
        <w:tc>
          <w:tcPr>
            <w:tcW w:type="dxa" w:w="2976"/>
          </w:tcPr>
          <w:p>
            <w:r>
              <w:rPr>
                <w:sz w:val="19"/>
              </w:rPr>
              <w:t>Containerization</w:t>
            </w:r>
          </w:p>
        </w:tc>
        <w:tc>
          <w:tcPr>
            <w:tcW w:type="dxa" w:w="2976"/>
          </w:tcPr>
          <w:p>
            <w:r>
              <w:rPr>
                <w:sz w:val="19"/>
              </w:rPr>
              <w:t>Docker</w:t>
            </w:r>
          </w:p>
        </w:tc>
        <w:tc>
          <w:tcPr>
            <w:tcW w:type="dxa" w:w="2976"/>
          </w:tcPr>
          <w:p>
            <w:r>
              <w:rPr>
                <w:sz w:val="19"/>
              </w:rPr>
              <w:t>Production deployment packaging</w:t>
            </w:r>
          </w:p>
        </w:tc>
      </w:tr>
      <w:tr>
        <w:tc>
          <w:tcPr>
            <w:tcW w:type="dxa" w:w="2976"/>
          </w:tcPr>
          <w:p>
            <w:r>
              <w:rPr>
                <w:sz w:val="19"/>
              </w:rPr>
              <w:t>Testing</w:t>
            </w:r>
          </w:p>
        </w:tc>
        <w:tc>
          <w:tcPr>
            <w:tcW w:type="dxa" w:w="2976"/>
          </w:tcPr>
          <w:p>
            <w:r>
              <w:rPr>
                <w:sz w:val="19"/>
              </w:rPr>
              <w:t>pytest</w:t>
            </w:r>
          </w:p>
        </w:tc>
        <w:tc>
          <w:tcPr>
            <w:tcW w:type="dxa" w:w="2976"/>
          </w:tcPr>
          <w:p>
            <w:r>
              <w:rPr>
                <w:sz w:val="19"/>
              </w:rPr>
              <w:t>Unit, integration, and evaluation tests</w:t>
            </w:r>
          </w:p>
        </w:tc>
      </w:tr>
    </w:tbl>
    <w:p/>
    <w:p>
      <w:pPr>
        <w:pStyle w:val="Heading1"/>
        <w:jc w:val="left"/>
      </w:pPr>
      <w:r>
        <w:rPr>
          <w:color w:val="1F3864"/>
        </w:rPr>
        <w:t>6.  Role of Large Language Models</w:t>
      </w:r>
    </w:p>
    <w:p>
      <w:pPr>
        <w:spacing w:before="0" w:after="120"/>
      </w:pPr>
      <w:r>
        <w:rPr>
          <w:b w:val="0"/>
          <w:i w:val="0"/>
          <w:sz w:val="22"/>
        </w:rPr>
        <w:t>LLMs serve as the reasoning core of DocuMind. Critically, all LLM calls are supplied with retrieved document context from ChromaDB, ensuring factual grounding and preventing hallucination from parametric memory.</w:t>
      </w:r>
    </w:p>
    <w:p>
      <w:pPr>
        <w:pStyle w:val="Heading2"/>
        <w:jc w:val="left"/>
      </w:pPr>
      <w:r>
        <w:rPr>
          <w:color w:val="2E74B5"/>
        </w:rPr>
        <w:t>RegDelta LLM Usage</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tc>
        <w:tc>
          <w:tcPr>
            <w:tcW w:type="dxa" w:w="2232"/>
          </w:tcPr>
          <w:p/>
        </w:tc>
        <w:tc>
          <w:tcPr>
            <w:tcW w:type="dxa" w:w="2232"/>
          </w:tcPr>
          <w:p/>
        </w:tc>
        <w:tc>
          <w:tcPr>
            <w:tcW w:type="dxa" w:w="2232"/>
          </w:tcPr>
          <w:p/>
        </w:tc>
      </w:tr>
      <w:tr>
        <w:tc>
          <w:tcPr>
            <w:tcW w:type="dxa" w:w="2232"/>
            <w:shd w:val="clear" w:color="auto" w:fill="1F3864"/>
          </w:tcPr>
          <w:p>
            <w:r>
              <w:rPr>
                <w:b/>
                <w:color w:val="FFFFFF"/>
                <w:sz w:val="19"/>
              </w:rPr>
              <w:t>Task</w:t>
            </w:r>
          </w:p>
        </w:tc>
        <w:tc>
          <w:tcPr>
            <w:tcW w:type="dxa" w:w="2232"/>
            <w:shd w:val="clear" w:color="auto" w:fill="1F3864"/>
          </w:tcPr>
          <w:p>
            <w:r>
              <w:rPr>
                <w:b/>
                <w:color w:val="FFFFFF"/>
                <w:sz w:val="19"/>
              </w:rPr>
              <w:t>Calls</w:t>
            </w:r>
          </w:p>
        </w:tc>
        <w:tc>
          <w:tcPr>
            <w:tcW w:type="dxa" w:w="2232"/>
            <w:shd w:val="clear" w:color="auto" w:fill="1F3864"/>
          </w:tcPr>
          <w:p>
            <w:r>
              <w:rPr>
                <w:b/>
                <w:color w:val="FFFFFF"/>
                <w:sz w:val="19"/>
              </w:rPr>
              <w:t>Input</w:t>
            </w:r>
          </w:p>
        </w:tc>
        <w:tc>
          <w:tcPr>
            <w:tcW w:type="dxa" w:w="2232"/>
            <w:shd w:val="clear" w:color="auto" w:fill="1F3864"/>
          </w:tcPr>
          <w:p>
            <w:r>
              <w:rPr>
                <w:b/>
                <w:color w:val="FFFFFF"/>
                <w:sz w:val="19"/>
              </w:rPr>
              <w:t>Output</w:t>
            </w:r>
          </w:p>
        </w:tc>
      </w:tr>
      <w:tr>
        <w:tc>
          <w:tcPr>
            <w:tcW w:type="dxa" w:w="2232"/>
          </w:tcPr>
          <w:p>
            <w:r>
              <w:rPr>
                <w:sz w:val="19"/>
              </w:rPr>
              <w:t>Section annotation</w:t>
            </w:r>
          </w:p>
        </w:tc>
        <w:tc>
          <w:tcPr>
            <w:tcW w:type="dxa" w:w="2232"/>
          </w:tcPr>
          <w:p>
            <w:r>
              <w:rPr>
                <w:sz w:val="19"/>
              </w:rPr>
              <w:t>≤10 (per section)</w:t>
            </w:r>
          </w:p>
        </w:tc>
        <w:tc>
          <w:tcPr>
            <w:tcW w:type="dxa" w:w="2232"/>
          </w:tcPr>
          <w:p>
            <w:r>
              <w:rPr>
                <w:sz w:val="19"/>
              </w:rPr>
              <w:t>Old + new text excerpt</w:t>
            </w:r>
          </w:p>
        </w:tc>
        <w:tc>
          <w:tcPr>
            <w:tcW w:type="dxa" w:w="2232"/>
          </w:tcPr>
          <w:p>
            <w:r>
              <w:rPr>
                <w:sz w:val="19"/>
              </w:rPr>
              <w:t>One-sentence significance note</w:t>
            </w:r>
          </w:p>
        </w:tc>
      </w:tr>
      <w:tr>
        <w:tc>
          <w:tcPr>
            <w:tcW w:type="dxa" w:w="2232"/>
          </w:tcPr>
          <w:p>
            <w:r>
              <w:rPr>
                <w:sz w:val="19"/>
              </w:rPr>
              <w:t>Impact report generation</w:t>
            </w:r>
          </w:p>
        </w:tc>
        <w:tc>
          <w:tcPr>
            <w:tcW w:type="dxa" w:w="2232"/>
          </w:tcPr>
          <w:p>
            <w:r>
              <w:rPr>
                <w:sz w:val="19"/>
              </w:rPr>
              <w:t>1 (per analysis)</w:t>
            </w:r>
          </w:p>
        </w:tc>
        <w:tc>
          <w:tcPr>
            <w:tcW w:type="dxa" w:w="2232"/>
          </w:tcPr>
          <w:p>
            <w:r>
              <w:rPr>
                <w:sz w:val="19"/>
              </w:rPr>
              <w:t>Changed sections + matched policies</w:t>
            </w:r>
          </w:p>
        </w:tc>
        <w:tc>
          <w:tcPr>
            <w:tcW w:type="dxa" w:w="2232"/>
          </w:tcPr>
          <w:p>
            <w:r>
              <w:rPr>
                <w:sz w:val="19"/>
              </w:rPr>
              <w:t>JSON: risk_level, summary, actions</w:t>
            </w:r>
          </w:p>
        </w:tc>
      </w:tr>
    </w:tbl>
    <w:p/>
    <w:p>
      <w:pPr>
        <w:pStyle w:val="Heading2"/>
        <w:jc w:val="left"/>
      </w:pPr>
      <w:r>
        <w:rPr>
          <w:color w:val="2E74B5"/>
        </w:rPr>
        <w:t>SynapseIQ LLM Usage (4 agents per query)</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tc>
        <w:tc>
          <w:tcPr>
            <w:tcW w:type="dxa" w:w="2232"/>
          </w:tcPr>
          <w:p/>
        </w:tc>
        <w:tc>
          <w:tcPr>
            <w:tcW w:type="dxa" w:w="2232"/>
          </w:tcPr>
          <w:p/>
        </w:tc>
        <w:tc>
          <w:tcPr>
            <w:tcW w:type="dxa" w:w="2232"/>
          </w:tcPr>
          <w:p/>
        </w:tc>
      </w:tr>
      <w:tr>
        <w:tc>
          <w:tcPr>
            <w:tcW w:type="dxa" w:w="2232"/>
            <w:shd w:val="clear" w:color="auto" w:fill="1F3864"/>
          </w:tcPr>
          <w:p>
            <w:r>
              <w:rPr>
                <w:b/>
                <w:color w:val="FFFFFF"/>
                <w:sz w:val="19"/>
              </w:rPr>
              <w:t>Agent</w:t>
            </w:r>
          </w:p>
        </w:tc>
        <w:tc>
          <w:tcPr>
            <w:tcW w:type="dxa" w:w="2232"/>
            <w:shd w:val="clear" w:color="auto" w:fill="1F3864"/>
          </w:tcPr>
          <w:p>
            <w:r>
              <w:rPr>
                <w:b/>
                <w:color w:val="FFFFFF"/>
                <w:sz w:val="19"/>
              </w:rPr>
              <w:t>Task</w:t>
            </w:r>
          </w:p>
        </w:tc>
        <w:tc>
          <w:tcPr>
            <w:tcW w:type="dxa" w:w="2232"/>
            <w:shd w:val="clear" w:color="auto" w:fill="1F3864"/>
          </w:tcPr>
          <w:p>
            <w:r>
              <w:rPr>
                <w:b/>
                <w:color w:val="FFFFFF"/>
                <w:sz w:val="19"/>
              </w:rPr>
              <w:t>Token Budget</w:t>
            </w:r>
          </w:p>
        </w:tc>
        <w:tc>
          <w:tcPr>
            <w:tcW w:type="dxa" w:w="2232"/>
            <w:shd w:val="clear" w:color="auto" w:fill="1F3864"/>
          </w:tcPr>
          <w:p>
            <w:r>
              <w:rPr>
                <w:b/>
                <w:color w:val="FFFFFF"/>
                <w:sz w:val="19"/>
              </w:rPr>
              <w:t>Output Format</w:t>
            </w:r>
          </w:p>
        </w:tc>
      </w:tr>
      <w:tr>
        <w:tc>
          <w:tcPr>
            <w:tcW w:type="dxa" w:w="2232"/>
          </w:tcPr>
          <w:p>
            <w:r>
              <w:rPr>
                <w:sz w:val="19"/>
              </w:rPr>
              <w:t>ResearcherAgent</w:t>
            </w:r>
          </w:p>
        </w:tc>
        <w:tc>
          <w:tcPr>
            <w:tcW w:type="dxa" w:w="2232"/>
          </w:tcPr>
          <w:p>
            <w:r>
              <w:rPr>
                <w:sz w:val="19"/>
              </w:rPr>
              <w:t>Extract findings from retrieved chunks</w:t>
            </w:r>
          </w:p>
        </w:tc>
        <w:tc>
          <w:tcPr>
            <w:tcW w:type="dxa" w:w="2232"/>
          </w:tcPr>
          <w:p>
            <w:r>
              <w:rPr>
                <w:sz w:val="19"/>
              </w:rPr>
              <w:t>1,200</w:t>
            </w:r>
          </w:p>
        </w:tc>
        <w:tc>
          <w:tcPr>
            <w:tcW w:type="dxa" w:w="2232"/>
          </w:tcPr>
          <w:p>
            <w:r>
              <w:rPr>
                <w:sz w:val="19"/>
              </w:rPr>
              <w:t>core_findings, key_concepts, evidence_gaps</w:t>
            </w:r>
          </w:p>
        </w:tc>
      </w:tr>
      <w:tr>
        <w:tc>
          <w:tcPr>
            <w:tcW w:type="dxa" w:w="2232"/>
          </w:tcPr>
          <w:p>
            <w:r>
              <w:rPr>
                <w:sz w:val="19"/>
              </w:rPr>
              <w:t>CriticAgent</w:t>
            </w:r>
          </w:p>
        </w:tc>
        <w:tc>
          <w:tcPr>
            <w:tcW w:type="dxa" w:w="2232"/>
          </w:tcPr>
          <w:p>
            <w:r>
              <w:rPr>
                <w:sz w:val="19"/>
              </w:rPr>
              <w:t>Identify gaps, bias, unsupported claims</w:t>
            </w:r>
          </w:p>
        </w:tc>
        <w:tc>
          <w:tcPr>
            <w:tcW w:type="dxa" w:w="2232"/>
          </w:tcPr>
          <w:p>
            <w:r>
              <w:rPr>
                <w:sz w:val="19"/>
              </w:rPr>
              <w:t>800</w:t>
            </w:r>
          </w:p>
        </w:tc>
        <w:tc>
          <w:tcPr>
            <w:tcW w:type="dxa" w:w="2232"/>
          </w:tcPr>
          <w:p>
            <w:r>
              <w:rPr>
                <w:sz w:val="19"/>
              </w:rPr>
              <w:t>Structured JSON critique</w:t>
            </w:r>
          </w:p>
        </w:tc>
      </w:tr>
      <w:tr>
        <w:tc>
          <w:tcPr>
            <w:tcW w:type="dxa" w:w="2232"/>
          </w:tcPr>
          <w:p>
            <w:r>
              <w:rPr>
                <w:sz w:val="19"/>
              </w:rPr>
              <w:t>SynthesizerAgent</w:t>
            </w:r>
          </w:p>
        </w:tc>
        <w:tc>
          <w:tcPr>
            <w:tcW w:type="dxa" w:w="2232"/>
          </w:tcPr>
          <w:p>
            <w:r>
              <w:rPr>
                <w:sz w:val="19"/>
              </w:rPr>
              <w:t>Produce knowledge artifact</w:t>
            </w:r>
          </w:p>
        </w:tc>
        <w:tc>
          <w:tcPr>
            <w:tcW w:type="dxa" w:w="2232"/>
          </w:tcPr>
          <w:p>
            <w:r>
              <w:rPr>
                <w:sz w:val="19"/>
              </w:rPr>
              <w:t>1,800</w:t>
            </w:r>
          </w:p>
        </w:tc>
        <w:tc>
          <w:tcPr>
            <w:tcW w:type="dxa" w:w="2232"/>
          </w:tcPr>
          <w:p>
            <w:r>
              <w:rPr>
                <w:sz w:val="19"/>
              </w:rPr>
              <w:t>Formatted document (brief/standard/detailed)</w:t>
            </w:r>
          </w:p>
        </w:tc>
      </w:tr>
      <w:tr>
        <w:tc>
          <w:tcPr>
            <w:tcW w:type="dxa" w:w="2232"/>
          </w:tcPr>
          <w:p>
            <w:r>
              <w:rPr>
                <w:sz w:val="19"/>
              </w:rPr>
              <w:t>ValidatorAgent</w:t>
            </w:r>
          </w:p>
        </w:tc>
        <w:tc>
          <w:tcPr>
            <w:tcW w:type="dxa" w:w="2232"/>
          </w:tcPr>
          <w:p>
            <w:r>
              <w:rPr>
                <w:sz w:val="19"/>
              </w:rPr>
              <w:t>Score 4 dimensions; issue verdict</w:t>
            </w:r>
          </w:p>
        </w:tc>
        <w:tc>
          <w:tcPr>
            <w:tcW w:type="dxa" w:w="2232"/>
          </w:tcPr>
          <w:p>
            <w:r>
              <w:rPr>
                <w:sz w:val="19"/>
              </w:rPr>
              <w:t>600</w:t>
            </w:r>
          </w:p>
        </w:tc>
        <w:tc>
          <w:tcPr>
            <w:tcW w:type="dxa" w:w="2232"/>
          </w:tcPr>
          <w:p>
            <w:r>
              <w:rPr>
                <w:sz w:val="19"/>
              </w:rPr>
              <w:t>JSON scores + PASS/CONDITIONAL_PASS/FAIL</w:t>
            </w:r>
          </w:p>
        </w:tc>
      </w:tr>
    </w:tbl>
    <w:p/>
    <w:p>
      <w:pPr>
        <w:pStyle w:val="Heading2"/>
        <w:jc w:val="left"/>
      </w:pPr>
      <w:r>
        <w:rPr>
          <w:color w:val="2E74B5"/>
        </w:rPr>
        <w:t>Cost Control Strategy</w:t>
      </w:r>
    </w:p>
    <w:p>
      <w:pPr>
        <w:pStyle w:val="ListBullet"/>
        <w:spacing w:after="60"/>
        <w:ind w:left="360"/>
      </w:pPr>
      <w:r>
        <w:rPr>
          <w:sz w:val="21"/>
        </w:rPr>
        <w:t>Per-agent token budgets enforced in AGENT_TOKEN_BUDGETS constant</w:t>
      </w:r>
    </w:p>
    <w:p>
      <w:pPr>
        <w:pStyle w:val="ListBullet"/>
        <w:spacing w:after="60"/>
        <w:ind w:left="360"/>
      </w:pPr>
      <w:r>
        <w:rPr>
          <w:sz w:val="21"/>
        </w:rPr>
        <w:t>Cost estimated at $0.00015/1K input tokens, $0.00060/1K output tokens (gpt-4o-mini)</w:t>
      </w:r>
    </w:p>
    <w:p>
      <w:pPr>
        <w:pStyle w:val="ListBullet"/>
        <w:spacing w:after="60"/>
        <w:ind w:left="360"/>
      </w:pPr>
      <w:r>
        <w:rPr>
          <w:sz w:val="21"/>
        </w:rPr>
        <w:t>CostReport included in every /analytics response</w:t>
      </w:r>
    </w:p>
    <w:p>
      <w:pPr>
        <w:pStyle w:val="ListBullet"/>
        <w:spacing w:after="60"/>
        <w:ind w:left="360"/>
      </w:pPr>
      <w:r>
        <w:rPr>
          <w:sz w:val="21"/>
        </w:rPr>
        <w:t>Ollama local inference available as zero-cost development alternative</w:t>
      </w:r>
    </w:p>
    <w:p>
      <w:pPr>
        <w:pStyle w:val="ListBullet"/>
        <w:spacing w:after="60"/>
        <w:ind w:left="360"/>
      </w:pPr>
      <w:r>
        <w:rPr>
          <w:sz w:val="21"/>
        </w:rPr>
        <w:t>ENABLE_CRITIC_AGENT and ENABLE_VALIDATOR_AGENT flags allow optional agent disabling</w:t>
      </w:r>
    </w:p>
    <w:p>
      <w:pPr>
        <w:pStyle w:val="Heading1"/>
        <w:jc w:val="left"/>
      </w:pPr>
      <w:r>
        <w:rPr>
          <w:color w:val="1F3864"/>
        </w:rPr>
        <w:t>7.  Expected Outcomes</w:t>
      </w:r>
    </w:p>
    <w:p>
      <w:pPr>
        <w:spacing w:after="80"/>
      </w:pPr>
      <w:r>
        <w:rPr>
          <w:b/>
          <w:sz w:val="22"/>
        </w:rPr>
        <w:t xml:space="preserve">1. </w:t>
      </w:r>
      <w:r>
        <w:rPr>
          <w:b/>
          <w:sz w:val="22"/>
        </w:rPr>
        <w:t xml:space="preserve">Automated regulatory compliance gap detection — </w:t>
      </w:r>
      <w:r>
        <w:rPr>
          <w:sz w:val="22"/>
        </w:rPr>
        <w:t>RegDelta reduces manual policy review time from weeks to minutes by automatically identifying which internal policies are semantically affected by regulation amendments.</w:t>
      </w:r>
    </w:p>
    <w:p>
      <w:pPr>
        <w:spacing w:after="80"/>
      </w:pPr>
      <w:r>
        <w:rPr>
          <w:b/>
          <w:sz w:val="22"/>
        </w:rPr>
        <w:t xml:space="preserve">2. </w:t>
      </w:r>
      <w:r>
        <w:rPr>
          <w:b/>
          <w:sz w:val="22"/>
        </w:rPr>
        <w:t xml:space="preserve">Rigorous multi-source knowledge synthesis — </w:t>
      </w:r>
      <w:r>
        <w:rPr>
          <w:sz w:val="22"/>
        </w:rPr>
        <w:t>SynapseIQ produces quality-evaluated knowledge artifacts from multi-document corpora with a traceable agent reasoning chain and a self-issued quality verdict before delivery.</w:t>
      </w:r>
    </w:p>
    <w:p>
      <w:pPr>
        <w:spacing w:after="80"/>
      </w:pPr>
      <w:r>
        <w:rPr>
          <w:b/>
          <w:sz w:val="22"/>
        </w:rPr>
        <w:t xml:space="preserve">3. </w:t>
      </w:r>
      <w:r>
        <w:rPr>
          <w:b/>
          <w:sz w:val="22"/>
        </w:rPr>
        <w:t xml:space="preserve">Production-grade system design — </w:t>
      </w:r>
      <w:r>
        <w:rPr>
          <w:sz w:val="22"/>
        </w:rPr>
        <w:t>Both modules demonstrate enterprise-quality software engineering: typed Python, dependency injection, structured logging, persistent storage, containerization, and comprehensive test coverage.</w:t>
      </w:r>
    </w:p>
    <w:p>
      <w:pPr>
        <w:spacing w:after="80"/>
      </w:pPr>
      <w:r>
        <w:rPr>
          <w:b/>
          <w:sz w:val="22"/>
        </w:rPr>
        <w:t xml:space="preserve">4. </w:t>
      </w:r>
      <w:r>
        <w:rPr>
          <w:b/>
          <w:sz w:val="22"/>
        </w:rPr>
        <w:t xml:space="preserve">Transferable architectural patterns — </w:t>
      </w:r>
      <w:r>
        <w:rPr>
          <w:sz w:val="22"/>
        </w:rPr>
        <w:t>The dual-corpus RAG, section-level diff, sequential agent state sharing, and YAML prompt management patterns are domain-agnostic and transferable to legal, medical, and scientific literature domains.</w:t>
      </w:r>
    </w:p>
    <w:p>
      <w:pPr>
        <w:pStyle w:val="Heading1"/>
        <w:jc w:val="left"/>
      </w:pPr>
      <w:r>
        <w:rPr>
          <w:color w:val="1F3864"/>
        </w:rPr>
        <w:t>8.  Development Timeline</w:t>
      </w:r>
    </w:p>
    <w:tbl>
      <w:tblPr>
        <w:tblStyle w:val="TableGrid"/>
        <w:tblW w:type="auto" w:w="0"/>
        <w:tblLook w:firstColumn="1" w:firstRow="1" w:lastColumn="0" w:lastRow="0" w:noHBand="0" w:noVBand="1" w:val="04A0"/>
      </w:tblPr>
      <w:tblGrid>
        <w:gridCol w:w="2976"/>
        <w:gridCol w:w="2976"/>
        <w:gridCol w:w="2976"/>
      </w:tblGrid>
      <w:tr>
        <w:tc>
          <w:tcPr>
            <w:tcW w:type="dxa" w:w="2976"/>
          </w:tcPr>
          <w:p/>
        </w:tc>
        <w:tc>
          <w:tcPr>
            <w:tcW w:type="dxa" w:w="2976"/>
          </w:tcPr>
          <w:p/>
        </w:tc>
        <w:tc>
          <w:tcPr>
            <w:tcW w:type="dxa" w:w="2976"/>
          </w:tcPr>
          <w:p/>
        </w:tc>
      </w:tr>
      <w:tr>
        <w:tc>
          <w:tcPr>
            <w:tcW w:type="dxa" w:w="2976"/>
            <w:shd w:val="clear" w:color="auto" w:fill="1F3864"/>
          </w:tcPr>
          <w:p>
            <w:r>
              <w:rPr>
                <w:b/>
                <w:color w:val="FFFFFF"/>
                <w:sz w:val="19"/>
              </w:rPr>
              <w:t>Phase</w:t>
            </w:r>
          </w:p>
        </w:tc>
        <w:tc>
          <w:tcPr>
            <w:tcW w:type="dxa" w:w="2976"/>
            <w:shd w:val="clear" w:color="auto" w:fill="1F3864"/>
          </w:tcPr>
          <w:p>
            <w:r>
              <w:rPr>
                <w:b/>
                <w:color w:val="FFFFFF"/>
                <w:sz w:val="19"/>
              </w:rPr>
              <w:t>Duration</w:t>
            </w:r>
          </w:p>
        </w:tc>
        <w:tc>
          <w:tcPr>
            <w:tcW w:type="dxa" w:w="2976"/>
            <w:shd w:val="clear" w:color="auto" w:fill="1F3864"/>
          </w:tcPr>
          <w:p>
            <w:r>
              <w:rPr>
                <w:b/>
                <w:color w:val="FFFFFF"/>
                <w:sz w:val="19"/>
              </w:rPr>
              <w:t>Deliverables</w:t>
            </w:r>
          </w:p>
        </w:tc>
      </w:tr>
      <w:tr>
        <w:tc>
          <w:tcPr>
            <w:tcW w:type="dxa" w:w="2976"/>
          </w:tcPr>
          <w:p>
            <w:r>
              <w:rPr>
                <w:sz w:val="19"/>
              </w:rPr>
              <w:t>Phase 1 — Infrastructure</w:t>
            </w:r>
          </w:p>
        </w:tc>
        <w:tc>
          <w:tcPr>
            <w:tcW w:type="dxa" w:w="2976"/>
          </w:tcPr>
          <w:p>
            <w:r>
              <w:rPr>
                <w:sz w:val="19"/>
              </w:rPr>
              <w:t>Week 1</w:t>
            </w:r>
          </w:p>
        </w:tc>
        <w:tc>
          <w:tcPr>
            <w:tcW w:type="dxa" w:w="2976"/>
          </w:tcPr>
          <w:p>
            <w:r>
              <w:rPr>
                <w:sz w:val="19"/>
              </w:rPr>
              <w:t>ChromaDB, FastAPI skeleton, embedding pipeline, SQLite schema</w:t>
            </w:r>
          </w:p>
        </w:tc>
      </w:tr>
      <w:tr>
        <w:tc>
          <w:tcPr>
            <w:tcW w:type="dxa" w:w="2976"/>
          </w:tcPr>
          <w:p>
            <w:r>
              <w:rPr>
                <w:sz w:val="19"/>
              </w:rPr>
              <w:t>Phase 2 — RegDelta Core</w:t>
            </w:r>
          </w:p>
        </w:tc>
        <w:tc>
          <w:tcPr>
            <w:tcW w:type="dxa" w:w="2976"/>
          </w:tcPr>
          <w:p>
            <w:r>
              <w:rPr>
                <w:sz w:val="19"/>
              </w:rPr>
              <w:t>Week 2</w:t>
            </w:r>
          </w:p>
        </w:tc>
        <w:tc>
          <w:tcPr>
            <w:tcW w:type="dxa" w:w="2976"/>
          </w:tcPr>
          <w:p>
            <w:r>
              <w:rPr>
                <w:sz w:val="19"/>
              </w:rPr>
              <w:t>DiffEngine, ImpactAnalyzer, VectorStore, VersionTracker, REST API</w:t>
            </w:r>
          </w:p>
        </w:tc>
      </w:tr>
      <w:tr>
        <w:tc>
          <w:tcPr>
            <w:tcW w:type="dxa" w:w="2976"/>
          </w:tcPr>
          <w:p>
            <w:r>
              <w:rPr>
                <w:sz w:val="19"/>
              </w:rPr>
              <w:t>Phase 3 — SynapseIQ Core</w:t>
            </w:r>
          </w:p>
        </w:tc>
        <w:tc>
          <w:tcPr>
            <w:tcW w:type="dxa" w:w="2976"/>
          </w:tcPr>
          <w:p>
            <w:r>
              <w:rPr>
                <w:sz w:val="19"/>
              </w:rPr>
              <w:t>Week 3</w:t>
            </w:r>
          </w:p>
        </w:tc>
        <w:tc>
          <w:tcPr>
            <w:tcW w:type="dxa" w:w="2976"/>
          </w:tcPr>
          <w:p>
            <w:r>
              <w:rPr>
                <w:sz w:val="19"/>
              </w:rPr>
              <w:t>All 4 agents, AgentContext, SynapseOrchestrator, PromptEngine</w:t>
            </w:r>
          </w:p>
        </w:tc>
      </w:tr>
      <w:tr>
        <w:tc>
          <w:tcPr>
            <w:tcW w:type="dxa" w:w="2976"/>
          </w:tcPr>
          <w:p>
            <w:r>
              <w:rPr>
                <w:sz w:val="19"/>
              </w:rPr>
              <w:t>Phase 4 — Evaluation</w:t>
            </w:r>
          </w:p>
        </w:tc>
        <w:tc>
          <w:tcPr>
            <w:tcW w:type="dxa" w:w="2976"/>
          </w:tcPr>
          <w:p>
            <w:r>
              <w:rPr>
                <w:sz w:val="19"/>
              </w:rPr>
              <w:t>Week 4</w:t>
            </w:r>
          </w:p>
        </w:tc>
        <w:tc>
          <w:tcPr>
            <w:tcW w:type="dxa" w:w="2976"/>
          </w:tcPr>
          <w:p>
            <w:r>
              <w:rPr>
                <w:sz w:val="19"/>
              </w:rPr>
              <w:t>PipelineEvaluator, metrics, cost tracker, analytics endpoints</w:t>
            </w:r>
          </w:p>
        </w:tc>
      </w:tr>
      <w:tr>
        <w:tc>
          <w:tcPr>
            <w:tcW w:type="dxa" w:w="2976"/>
          </w:tcPr>
          <w:p>
            <w:r>
              <w:rPr>
                <w:sz w:val="19"/>
              </w:rPr>
              <w:t>Phase 5 — Testing &amp; Docs</w:t>
            </w:r>
          </w:p>
        </w:tc>
        <w:tc>
          <w:tcPr>
            <w:tcW w:type="dxa" w:w="2976"/>
          </w:tcPr>
          <w:p>
            <w:r>
              <w:rPr>
                <w:sz w:val="19"/>
              </w:rPr>
              <w:t>Week 5</w:t>
            </w:r>
          </w:p>
        </w:tc>
        <w:tc>
          <w:tcPr>
            <w:tcW w:type="dxa" w:w="2976"/>
          </w:tcPr>
          <w:p>
            <w:r>
              <w:rPr>
                <w:sz w:val="19"/>
              </w:rPr>
              <w:t>pytest suite (unit, integration, evaluation), README, proposal, diagrams</w:t>
            </w:r>
          </w:p>
        </w:tc>
      </w:tr>
      <w:tr>
        <w:tc>
          <w:tcPr>
            <w:tcW w:type="dxa" w:w="2976"/>
          </w:tcPr>
          <w:p>
            <w:r>
              <w:rPr>
                <w:sz w:val="19"/>
              </w:rPr>
              <w:t>Phase 6 — Finalization</w:t>
            </w:r>
          </w:p>
        </w:tc>
        <w:tc>
          <w:tcPr>
            <w:tcW w:type="dxa" w:w="2976"/>
          </w:tcPr>
          <w:p>
            <w:r>
              <w:rPr>
                <w:sz w:val="19"/>
              </w:rPr>
              <w:t>Week 6</w:t>
            </w:r>
          </w:p>
        </w:tc>
        <w:tc>
          <w:tcPr>
            <w:tcW w:type="dxa" w:w="2976"/>
          </w:tcPr>
          <w:p>
            <w:r>
              <w:rPr>
                <w:sz w:val="19"/>
              </w:rPr>
              <w:t>Docker, GitHub Actions CI, performance tuning, final documentation</w:t>
            </w:r>
          </w:p>
        </w:tc>
      </w:tr>
    </w:tbl>
    <w:p/>
    <w:p>
      <w:pPr>
        <w:pStyle w:val="Heading1"/>
        <w:jc w:val="left"/>
      </w:pPr>
      <w:r>
        <w:rPr>
          <w:color w:val="1F3864"/>
        </w:rPr>
        <w:t>9.  References</w:t>
      </w:r>
    </w:p>
    <w:p>
      <w:pPr>
        <w:spacing w:after="80"/>
        <w:ind w:left="576" w:hanging="576"/>
      </w:pPr>
      <w:r>
        <w:rPr>
          <w:sz w:val="20"/>
        </w:rPr>
        <w:t>[1]  Lewis, P., et al. (2020). Retrieval-Augmented Generation for Knowledge-Intensive NLP Tasks. NeurIPS 2020. arXiv:2005.11401.</w:t>
      </w:r>
    </w:p>
    <w:p>
      <w:pPr>
        <w:spacing w:after="80"/>
        <w:ind w:left="576" w:hanging="576"/>
      </w:pPr>
      <w:r>
        <w:rPr>
          <w:sz w:val="20"/>
        </w:rPr>
        <w:t>[2]  Reimers, N., &amp; Gurevych, I. (2019). Sentence-BERT: Sentence Embeddings using Siamese BERT-Networks. EMNLP 2019. arXiv:1908.10084.</w:t>
      </w:r>
    </w:p>
    <w:p>
      <w:pPr>
        <w:spacing w:after="80"/>
        <w:ind w:left="576" w:hanging="576"/>
      </w:pPr>
      <w:r>
        <w:rPr>
          <w:sz w:val="20"/>
        </w:rPr>
        <w:t>[3]  OpenAI. (2024). GPT-4o Technical Report. openai.com/research/gpt-4o.</w:t>
      </w:r>
    </w:p>
    <w:p>
      <w:pPr>
        <w:spacing w:after="80"/>
        <w:ind w:left="576" w:hanging="576"/>
      </w:pPr>
      <w:r>
        <w:rPr>
          <w:sz w:val="20"/>
        </w:rPr>
        <w:t>[4]  Chromadb. (2024). ChromaDB: The AI-Native Open-Source Embedding Database. github.com/chroma-core/chroma.</w:t>
      </w:r>
    </w:p>
    <w:p>
      <w:pPr>
        <w:spacing w:after="80"/>
        <w:ind w:left="576" w:hanging="576"/>
      </w:pPr>
      <w:r>
        <w:rPr>
          <w:sz w:val="20"/>
        </w:rPr>
        <w:t>[5]  Yao, S., et al. (2023). ReAct: Synergizing Reasoning and Acting in Language Models. ICLR 2023. arXiv:2210.03629.</w:t>
      </w:r>
    </w:p>
    <w:p>
      <w:pPr>
        <w:spacing w:after="80"/>
        <w:ind w:left="576" w:hanging="576"/>
      </w:pPr>
      <w:r>
        <w:rPr>
          <w:sz w:val="20"/>
        </w:rPr>
        <w:t>[6]  Wang, L., et al. (2024). A Survey on Large Language Model based Autonomous Agents. arXiv:2308.11432.</w:t>
      </w:r>
    </w:p>
    <w:p>
      <w:pPr>
        <w:spacing w:after="80"/>
        <w:ind w:left="576" w:hanging="576"/>
      </w:pPr>
      <w:r>
        <w:rPr>
          <w:sz w:val="20"/>
        </w:rPr>
        <w:t>[7]  Peng, B., et al. (2023). Check Your Facts and Try Again. arXiv:2302.12813.</w:t>
      </w:r>
    </w:p>
    <w:p>
      <w:pPr>
        <w:spacing w:after="80"/>
        <w:ind w:left="576" w:hanging="576"/>
      </w:pPr>
      <w:r>
        <w:rPr>
          <w:sz w:val="20"/>
        </w:rPr>
        <w:t>[8]  Gao, Y., et al. (2024). Retrieval-Augmented Generation for Large Language Models: A Survey. arXiv:2312.10997.</w:t>
      </w:r>
    </w:p>
    <w:p>
      <w:pPr>
        <w:spacing w:after="80"/>
        <w:ind w:left="576" w:hanging="576"/>
      </w:pPr>
      <w:r>
        <w:rPr>
          <w:sz w:val="20"/>
        </w:rPr>
        <w:t>[9]  FastAPI. (2024). FastAPI Framework Documentation. fastapi.tiangolo.com.</w:t>
      </w:r>
    </w:p>
    <w:p>
      <w:pPr>
        <w:spacing w:after="80"/>
        <w:ind w:left="576" w:hanging="576"/>
      </w:pPr>
      <w:r>
        <w:rPr>
          <w:sz w:val="20"/>
        </w:rPr>
        <w:t>[10]  Hu, E., et al. (2022). LoRA: Low-Rank Adaptation of Large Language Models. ICLR 2022. arXiv:2106.09685.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