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QUIET LAVENDER / APPLICATION BRIEF</w:t>
      </w:r>
    </w:p>
    <w:p>
      <w:pPr>
        <w:pStyle w:val="Title"/>
      </w:pPr>
      <w:r>
        <w:t>Application identity &amp; palette</w:t>
      </w:r>
    </w:p>
    <w:p>
      <w:r>
        <w:t>Duplicate this brief for each new application. Replace bracketed fields. Keep the family defaults unless an exception is documented. The full source audit and detailed component rules remain in the linked Notion reference.</w:t>
      </w:r>
    </w:p>
    <w:tbl>
      <w:tblPr>
        <w:tblW w:type="auto" w:w="0"/>
        <w:tblLayout w:type="fixed"/>
        <w:tblLook w:firstColumn="1" w:firstRow="1" w:lastColumn="0" w:lastRow="0" w:noHBand="0" w:noVBand="1" w:val="04A0"/>
      </w:tblPr>
      <w:tblGrid>
        <w:gridCol w:w="5112"/>
        <w:gridCol w:w="5112"/>
      </w:tblGrid>
      <w:tr>
        <w:trPr>
          <w:tblHeader/>
          <w:cantSplit/>
        </w:trPr>
        <w:tc>
          <w:tcPr>
            <w:tcW w:type="dxa" w:w="5112"/>
            <w:shd w:fill="E3E2FE"/>
          </w:tcPr>
          <w:p>
            <w:pPr>
              <w:spacing w:after="100" w:before="100"/>
            </w:pPr>
            <w:r>
              <w:rPr>
                <w:b/>
                <w:sz w:val="18"/>
              </w:rPr>
              <w:t>Project field</w:t>
            </w:r>
          </w:p>
        </w:tc>
        <w:tc>
          <w:tcPr>
            <w:tcW w:type="dxa" w:w="5112"/>
            <w:shd w:fill="E3E2FE"/>
          </w:tcPr>
          <w:p>
            <w:pPr>
              <w:spacing w:after="100" w:before="100"/>
            </w:pPr>
            <w:r>
              <w:rPr>
                <w:b/>
                <w:sz w:val="18"/>
              </w:rPr>
              <w:t>Your application</w:t>
            </w:r>
          </w:p>
        </w:tc>
      </w:tr>
      <w:tr>
        <w:trPr>
          <w:cantSplit/>
        </w:trPr>
        <w:tc>
          <w:tcPr>
            <w:tcW w:type="dxa" w:w="5112"/>
            <w:shd w:fill="F7F7FA"/>
          </w:tcPr>
          <w:p>
            <w:pPr>
              <w:spacing w:after="100" w:before="100"/>
            </w:pPr>
            <w:r>
              <w:rPr>
                <w:b w:val="0"/>
                <w:sz w:val="18"/>
              </w:rPr>
              <w:t>Application / platform</w:t>
            </w:r>
          </w:p>
        </w:tc>
        <w:tc>
          <w:tcPr>
            <w:tcW w:type="dxa" w:w="5112"/>
            <w:shd w:fill="F7F7FA"/>
          </w:tcPr>
          <w:p>
            <w:pPr>
              <w:spacing w:after="100" w:before="100"/>
            </w:pPr>
            <w:r>
              <w:rPr>
                <w:b w:val="0"/>
                <w:sz w:val="18"/>
              </w:rPr>
              <w:t>[Name] / [macOS, web, other]</w:t>
            </w:r>
          </w:p>
        </w:tc>
      </w:tr>
      <w:tr>
        <w:trPr>
          <w:cantSplit/>
        </w:trPr>
        <w:tc>
          <w:tcPr>
            <w:tcW w:type="dxa" w:w="5112"/>
            <w:shd w:fill="FFFFFF"/>
          </w:tcPr>
          <w:p>
            <w:pPr>
              <w:spacing w:after="100" w:before="100"/>
            </w:pPr>
            <w:r>
              <w:rPr>
                <w:b w:val="0"/>
                <w:sz w:val="18"/>
              </w:rPr>
              <w:t>Primary workflow</w:t>
            </w:r>
          </w:p>
        </w:tc>
        <w:tc>
          <w:tcPr>
            <w:tcW w:type="dxa" w:w="5112"/>
            <w:shd w:fill="FFFFFF"/>
          </w:tcPr>
          <w:p>
            <w:pPr>
              <w:spacing w:after="100" w:before="100"/>
            </w:pPr>
            <w:r>
              <w:rPr>
                <w:b w:val="0"/>
                <w:sz w:val="18"/>
              </w:rPr>
              <w:t>[What the user comes here to accomplish]</w:t>
            </w:r>
          </w:p>
        </w:tc>
      </w:tr>
      <w:tr>
        <w:trPr>
          <w:cantSplit/>
        </w:trPr>
        <w:tc>
          <w:tcPr>
            <w:tcW w:type="dxa" w:w="5112"/>
            <w:shd w:fill="F7F7FA"/>
          </w:tcPr>
          <w:p>
            <w:pPr>
              <w:spacing w:after="100" w:before="100"/>
            </w:pPr>
            <w:r>
              <w:rPr>
                <w:b w:val="0"/>
                <w:sz w:val="18"/>
              </w:rPr>
              <w:t>Main content / navigation</w:t>
            </w:r>
          </w:p>
        </w:tc>
        <w:tc>
          <w:tcPr>
            <w:tcW w:type="dxa" w:w="5112"/>
            <w:shd w:fill="F7F7FA"/>
          </w:tcPr>
          <w:p>
            <w:pPr>
              <w:spacing w:after="100" w:before="100"/>
            </w:pPr>
            <w:r>
              <w:rPr>
                <w:b w:val="0"/>
                <w:sz w:val="18"/>
              </w:rPr>
              <w:t>[Document, timeline, table, canvas] / [Navigation model]</w:t>
            </w:r>
          </w:p>
        </w:tc>
      </w:tr>
      <w:tr>
        <w:trPr>
          <w:cantSplit/>
        </w:trPr>
        <w:tc>
          <w:tcPr>
            <w:tcW w:type="dxa" w:w="5112"/>
            <w:shd w:fill="FFFFFF"/>
          </w:tcPr>
          <w:p>
            <w:pPr>
              <w:spacing w:after="100" w:before="100"/>
            </w:pPr>
            <w:r>
              <w:rPr>
                <w:b w:val="0"/>
                <w:sz w:val="18"/>
              </w:rPr>
              <w:t>Owner / version / date</w:t>
            </w:r>
          </w:p>
        </w:tc>
        <w:tc>
          <w:tcPr>
            <w:tcW w:type="dxa" w:w="5112"/>
            <w:shd w:fill="FFFFFF"/>
          </w:tcPr>
          <w:p>
            <w:pPr>
              <w:spacing w:after="100" w:before="100"/>
            </w:pPr>
            <w:r>
              <w:rPr>
                <w:b w:val="0"/>
                <w:sz w:val="18"/>
              </w:rPr>
              <w:t>[Owner] / [Version] / [Review date]</w:t>
            </w:r>
          </w:p>
        </w:tc>
      </w:tr>
    </w:tbl>
    <w:p>
      <w:pPr>
        <w:spacing w:after="0"/>
      </w:pPr>
    </w:p>
    <w:p>
      <w:pPr>
        <w:pStyle w:val="Heading2"/>
      </w:pPr>
      <w:r>
        <w:t>Family identity</w:t>
      </w:r>
    </w:p>
    <w:p>
      <w:r>
        <w:t>Quiet, compact, content-first workspaces. Opaque surfaces, restrained lavender emphasis, clear small icons, thin borders, soft rectangular corners, and stable navigation. Product names, icons, content, and specialized data colors may differ. Handwritten document lettering is not the default UI font.</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3E2FE"/>
          </w:tcPr>
          <w:p>
            <w:pPr>
              <w:spacing w:after="100" w:before="100"/>
            </w:pPr>
            <w:r>
              <w:rPr>
                <w:b/>
                <w:sz w:val="18"/>
              </w:rPr>
              <w:t>Semantic role</w:t>
            </w:r>
          </w:p>
        </w:tc>
        <w:tc>
          <w:tcPr>
            <w:tcW w:type="dxa" w:w="3408"/>
            <w:shd w:fill="E3E2FE"/>
          </w:tcPr>
          <w:p>
            <w:pPr>
              <w:spacing w:after="100" w:before="100"/>
            </w:pPr>
            <w:r>
              <w:rPr>
                <w:b/>
                <w:sz w:val="18"/>
              </w:rPr>
              <w:t>Light</w:t>
            </w:r>
          </w:p>
        </w:tc>
        <w:tc>
          <w:tcPr>
            <w:tcW w:type="dxa" w:w="3408"/>
            <w:shd w:fill="E3E2FE"/>
          </w:tcPr>
          <w:p>
            <w:pPr>
              <w:spacing w:after="100" w:before="100"/>
            </w:pPr>
            <w:r>
              <w:rPr>
                <w:b/>
                <w:sz w:val="18"/>
              </w:rPr>
              <w:t>Dark</w:t>
            </w:r>
          </w:p>
        </w:tc>
      </w:tr>
      <w:tr>
        <w:trPr>
          <w:cantSplit/>
        </w:trPr>
        <w:tc>
          <w:tcPr>
            <w:tcW w:type="dxa" w:w="3408"/>
            <w:shd w:fill="F7F7FA"/>
          </w:tcPr>
          <w:p>
            <w:pPr>
              <w:spacing w:after="100" w:before="100"/>
            </w:pPr>
            <w:r>
              <w:rPr>
                <w:b w:val="0"/>
                <w:sz w:val="18"/>
              </w:rPr>
              <w:t>Surface</w:t>
            </w:r>
          </w:p>
        </w:tc>
        <w:tc>
          <w:tcPr>
            <w:tcW w:type="dxa" w:w="3408"/>
            <w:shd w:fill="F7F7FA"/>
          </w:tcPr>
          <w:p>
            <w:pPr>
              <w:spacing w:after="100" w:before="100"/>
            </w:pPr>
            <w:r>
              <w:rPr>
                <w:b w:val="0"/>
                <w:sz w:val="18"/>
              </w:rPr>
              <w:t>#FFFFFF</w:t>
            </w:r>
          </w:p>
        </w:tc>
        <w:tc>
          <w:tcPr>
            <w:tcW w:type="dxa" w:w="3408"/>
            <w:shd w:fill="F7F7FA"/>
          </w:tcPr>
          <w:p>
            <w:pPr>
              <w:spacing w:after="100" w:before="100"/>
            </w:pPr>
            <w:r>
              <w:rPr>
                <w:b w:val="0"/>
                <w:sz w:val="18"/>
              </w:rPr>
              <w:t>#232329</w:t>
            </w:r>
          </w:p>
        </w:tc>
      </w:tr>
      <w:tr>
        <w:trPr>
          <w:cantSplit/>
        </w:trPr>
        <w:tc>
          <w:tcPr>
            <w:tcW w:type="dxa" w:w="3408"/>
            <w:shd w:fill="FFFFFF"/>
          </w:tcPr>
          <w:p>
            <w:pPr>
              <w:spacing w:after="100" w:before="100"/>
            </w:pPr>
            <w:r>
              <w:rPr>
                <w:b w:val="0"/>
                <w:sz w:val="18"/>
              </w:rPr>
              <w:t>Accent</w:t>
            </w:r>
          </w:p>
        </w:tc>
        <w:tc>
          <w:tcPr>
            <w:tcW w:type="dxa" w:w="3408"/>
            <w:shd w:fill="FFFFFF"/>
          </w:tcPr>
          <w:p>
            <w:pPr>
              <w:spacing w:after="100" w:before="100"/>
            </w:pPr>
            <w:r>
              <w:rPr>
                <w:b w:val="0"/>
                <w:sz w:val="18"/>
              </w:rPr>
              <w:t>#6965DB</w:t>
            </w:r>
          </w:p>
        </w:tc>
        <w:tc>
          <w:tcPr>
            <w:tcW w:type="dxa" w:w="3408"/>
            <w:shd w:fill="FFFFFF"/>
          </w:tcPr>
          <w:p>
            <w:pPr>
              <w:spacing w:after="100" w:before="100"/>
            </w:pPr>
            <w:r>
              <w:rPr>
                <w:b w:val="0"/>
                <w:sz w:val="18"/>
              </w:rPr>
              <w:t>#A8A5FF</w:t>
            </w:r>
          </w:p>
        </w:tc>
      </w:tr>
      <w:tr>
        <w:trPr>
          <w:cantSplit/>
        </w:trPr>
        <w:tc>
          <w:tcPr>
            <w:tcW w:type="dxa" w:w="3408"/>
            <w:shd w:fill="F7F7FA"/>
          </w:tcPr>
          <w:p>
            <w:pPr>
              <w:spacing w:after="100" w:before="100"/>
            </w:pPr>
            <w:r>
              <w:rPr>
                <w:b w:val="0"/>
                <w:sz w:val="18"/>
              </w:rPr>
              <w:t>Selection</w:t>
            </w:r>
          </w:p>
        </w:tc>
        <w:tc>
          <w:tcPr>
            <w:tcW w:type="dxa" w:w="3408"/>
            <w:shd w:fill="F7F7FA"/>
          </w:tcPr>
          <w:p>
            <w:pPr>
              <w:spacing w:after="100" w:before="100"/>
            </w:pPr>
            <w:r>
              <w:rPr>
                <w:b w:val="0"/>
                <w:sz w:val="18"/>
              </w:rPr>
              <w:t>#E3E2FE</w:t>
            </w:r>
          </w:p>
        </w:tc>
        <w:tc>
          <w:tcPr>
            <w:tcW w:type="dxa" w:w="3408"/>
            <w:shd w:fill="F7F7FA"/>
          </w:tcPr>
          <w:p>
            <w:pPr>
              <w:spacing w:after="100" w:before="100"/>
            </w:pPr>
            <w:r>
              <w:rPr>
                <w:b w:val="0"/>
                <w:sz w:val="18"/>
              </w:rPr>
              <w:t>#4F4D6F</w:t>
            </w:r>
          </w:p>
        </w:tc>
      </w:tr>
      <w:tr>
        <w:trPr>
          <w:cantSplit/>
        </w:trPr>
        <w:tc>
          <w:tcPr>
            <w:tcW w:type="dxa" w:w="3408"/>
            <w:shd w:fill="FFFFFF"/>
          </w:tcPr>
          <w:p>
            <w:pPr>
              <w:spacing w:after="100" w:before="100"/>
            </w:pPr>
            <w:r>
              <w:rPr>
                <w:b w:val="0"/>
                <w:sz w:val="18"/>
              </w:rPr>
              <w:t>Hover</w:t>
            </w:r>
          </w:p>
        </w:tc>
        <w:tc>
          <w:tcPr>
            <w:tcW w:type="dxa" w:w="3408"/>
            <w:shd w:fill="FFFFFF"/>
          </w:tcPr>
          <w:p>
            <w:pPr>
              <w:spacing w:after="100" w:before="100"/>
            </w:pPr>
            <w:r>
              <w:rPr>
                <w:b w:val="0"/>
                <w:sz w:val="18"/>
              </w:rPr>
              <w:t>#EFEDFF</w:t>
            </w:r>
          </w:p>
        </w:tc>
        <w:tc>
          <w:tcPr>
            <w:tcW w:type="dxa" w:w="3408"/>
            <w:shd w:fill="FFFFFF"/>
          </w:tcPr>
          <w:p>
            <w:pPr>
              <w:spacing w:after="100" w:before="100"/>
            </w:pPr>
            <w:r>
              <w:rPr>
                <w:b w:val="0"/>
                <w:sz w:val="18"/>
              </w:rPr>
              <w:t>#37334F</w:t>
            </w:r>
          </w:p>
        </w:tc>
      </w:tr>
      <w:tr>
        <w:trPr>
          <w:cantSplit/>
        </w:trPr>
        <w:tc>
          <w:tcPr>
            <w:tcW w:type="dxa" w:w="3408"/>
            <w:shd w:fill="F7F7FA"/>
          </w:tcPr>
          <w:p>
            <w:pPr>
              <w:spacing w:after="100" w:before="100"/>
            </w:pPr>
            <w:r>
              <w:rPr>
                <w:b w:val="0"/>
                <w:sz w:val="18"/>
              </w:rPr>
              <w:t>Structural border</w:t>
            </w:r>
          </w:p>
        </w:tc>
        <w:tc>
          <w:tcPr>
            <w:tcW w:type="dxa" w:w="3408"/>
            <w:shd w:fill="F7F7FA"/>
          </w:tcPr>
          <w:p>
            <w:pPr>
              <w:spacing w:after="100" w:before="100"/>
            </w:pPr>
            <w:r>
              <w:rPr>
                <w:b w:val="0"/>
                <w:sz w:val="18"/>
              </w:rPr>
              <w:t>#EBEBEB</w:t>
            </w:r>
          </w:p>
        </w:tc>
        <w:tc>
          <w:tcPr>
            <w:tcW w:type="dxa" w:w="3408"/>
            <w:shd w:fill="F7F7FA"/>
          </w:tcPr>
          <w:p>
            <w:pPr>
              <w:spacing w:after="100" w:before="100"/>
            </w:pPr>
            <w:r>
              <w:rPr>
                <w:b w:val="0"/>
                <w:sz w:val="18"/>
              </w:rPr>
              <w:t>#36363F</w:t>
            </w:r>
          </w:p>
        </w:tc>
      </w:tr>
      <w:tr>
        <w:trPr>
          <w:cantSplit/>
        </w:trPr>
        <w:tc>
          <w:tcPr>
            <w:tcW w:type="dxa" w:w="3408"/>
            <w:shd w:fill="FFFFFF"/>
          </w:tcPr>
          <w:p>
            <w:pPr>
              <w:spacing w:after="100" w:before="100"/>
            </w:pPr>
            <w:r>
              <w:rPr>
                <w:b w:val="0"/>
                <w:sz w:val="18"/>
              </w:rPr>
              <w:t>On-selection text*</w:t>
            </w:r>
          </w:p>
        </w:tc>
        <w:tc>
          <w:tcPr>
            <w:tcW w:type="dxa" w:w="3408"/>
            <w:shd w:fill="FFFFFF"/>
          </w:tcPr>
          <w:p>
            <w:pPr>
              <w:spacing w:after="100" w:before="100"/>
            </w:pPr>
            <w:r>
              <w:rPr>
                <w:b w:val="0"/>
                <w:sz w:val="18"/>
              </w:rPr>
              <w:t>#030064</w:t>
            </w:r>
          </w:p>
        </w:tc>
        <w:tc>
          <w:tcPr>
            <w:tcW w:type="dxa" w:w="3408"/>
            <w:shd w:fill="FFFFFF"/>
          </w:tcPr>
          <w:p>
            <w:pPr>
              <w:spacing w:after="100" w:before="100"/>
            </w:pPr>
            <w:r>
              <w:rPr>
                <w:b w:val="0"/>
                <w:sz w:val="18"/>
              </w:rPr>
              <w:t>#E0DFFF</w:t>
            </w:r>
          </w:p>
        </w:tc>
      </w:tr>
    </w:tbl>
    <w:p>
      <w:pPr>
        <w:spacing w:after="0"/>
      </w:pPr>
    </w:p>
    <w:p>
      <w:r>
        <w:t>*Recommended legibility improvement; the other five roles are observed native core colors. Use foreground/background pairs. Preserve adaptive system primary and secondary text where appropriate. Do not substitute the system-indigo AccentColor asset for the custom violet theme.</w:t>
      </w:r>
    </w:p>
    <w:p>
      <w:r>
        <w:br w:type="page"/>
      </w:r>
    </w:p>
    <w:p>
      <w:pPr>
        <w:pStyle w:val="Subtitle"/>
      </w:pPr>
      <w:r>
        <w:t>QUIET LAVENDER / APPLICATION BRIEF</w:t>
      </w:r>
    </w:p>
    <w:p>
      <w:pPr>
        <w:pStyle w:val="Heading1"/>
      </w:pPr>
      <w:r>
        <w:t>Spacing, type &amp; component geometry</w:t>
      </w:r>
    </w:p>
    <w:tbl>
      <w:tblPr>
        <w:tblW w:type="auto" w:w="0"/>
        <w:tblLayout w:type="fixed"/>
        <w:tblLook w:firstColumn="1" w:firstRow="1" w:lastColumn="0" w:lastRow="0" w:noHBand="0" w:noVBand="1" w:val="04A0"/>
      </w:tblPr>
      <w:tblGrid>
        <w:gridCol w:w="5112"/>
        <w:gridCol w:w="5112"/>
      </w:tblGrid>
      <w:tr>
        <w:trPr>
          <w:tblHeader/>
          <w:cantSplit/>
        </w:trPr>
        <w:tc>
          <w:tcPr>
            <w:tcW w:type="dxa" w:w="5112"/>
            <w:shd w:fill="E3E2FE"/>
          </w:tcPr>
          <w:p>
            <w:pPr>
              <w:spacing w:after="100" w:before="100"/>
            </w:pPr>
            <w:r>
              <w:rPr>
                <w:b/>
                <w:sz w:val="18"/>
              </w:rPr>
              <w:t>Role</w:t>
            </w:r>
          </w:p>
        </w:tc>
        <w:tc>
          <w:tcPr>
            <w:tcW w:type="dxa" w:w="5112"/>
            <w:shd w:fill="E3E2FE"/>
          </w:tcPr>
          <w:p>
            <w:pPr>
              <w:spacing w:after="100" w:before="100"/>
            </w:pPr>
            <w:r>
              <w:rPr>
                <w:b/>
                <w:sz w:val="18"/>
              </w:rPr>
              <w:t>Family default / implementation direction</w:t>
            </w:r>
          </w:p>
        </w:tc>
      </w:tr>
      <w:tr>
        <w:trPr>
          <w:cantSplit/>
        </w:trPr>
        <w:tc>
          <w:tcPr>
            <w:tcW w:type="dxa" w:w="5112"/>
            <w:shd w:fill="F7F7FA"/>
          </w:tcPr>
          <w:p>
            <w:pPr>
              <w:spacing w:after="100" w:before="100"/>
            </w:pPr>
            <w:r>
              <w:rPr>
                <w:b w:val="0"/>
                <w:sz w:val="18"/>
              </w:rPr>
              <w:t>Spacing vocabulary</w:t>
            </w:r>
          </w:p>
        </w:tc>
        <w:tc>
          <w:tcPr>
            <w:tcW w:type="dxa" w:w="5112"/>
            <w:shd w:fill="F7F7FA"/>
          </w:tcPr>
          <w:p>
            <w:pPr>
              <w:spacing w:after="100" w:before="100"/>
            </w:pPr>
            <w:r>
              <w:rPr>
                <w:b w:val="0"/>
                <w:sz w:val="18"/>
              </w:rPr>
              <w:t>0, 2, 4, 6, 8, 10, 12, 16, 20, 24, 32, 40 pt or CSS px</w:t>
            </w:r>
          </w:p>
        </w:tc>
      </w:tr>
      <w:tr>
        <w:trPr>
          <w:cantSplit/>
        </w:trPr>
        <w:tc>
          <w:tcPr>
            <w:tcW w:type="dxa" w:w="5112"/>
            <w:shd w:fill="FFFFFF"/>
          </w:tcPr>
          <w:p>
            <w:pPr>
              <w:spacing w:after="100" w:before="100"/>
            </w:pPr>
            <w:r>
              <w:rPr>
                <w:b w:val="0"/>
                <w:sz w:val="18"/>
              </w:rPr>
              <w:t>Control gaps</w:t>
            </w:r>
          </w:p>
        </w:tc>
        <w:tc>
          <w:tcPr>
            <w:tcW w:type="dxa" w:w="5112"/>
            <w:shd w:fill="FFFFFF"/>
          </w:tcPr>
          <w:p>
            <w:pPr>
              <w:spacing w:after="100" w:before="100"/>
            </w:pPr>
            <w:r>
              <w:rPr>
                <w:b w:val="0"/>
                <w:sz w:val="18"/>
              </w:rPr>
              <w:t>8–10; panel insets 12–16; section gaps 16–24</w:t>
            </w:r>
          </w:p>
        </w:tc>
      </w:tr>
      <w:tr>
        <w:trPr>
          <w:cantSplit/>
        </w:trPr>
        <w:tc>
          <w:tcPr>
            <w:tcW w:type="dxa" w:w="5112"/>
            <w:shd w:fill="F7F7FA"/>
          </w:tcPr>
          <w:p>
            <w:pPr>
              <w:spacing w:after="100" w:before="100"/>
            </w:pPr>
            <w:r>
              <w:rPr>
                <w:b w:val="0"/>
                <w:sz w:val="18"/>
              </w:rPr>
              <w:t>Control heights</w:t>
            </w:r>
          </w:p>
        </w:tc>
        <w:tc>
          <w:tcPr>
            <w:tcW w:type="dxa" w:w="5112"/>
            <w:shd w:fill="F7F7FA"/>
          </w:tcPr>
          <w:p>
            <w:pPr>
              <w:spacing w:after="100" w:before="100"/>
            </w:pPr>
            <w:r>
              <w:rPr>
                <w:b w:val="0"/>
                <w:sz w:val="18"/>
              </w:rPr>
              <w:t>24 small; 32 regular; 36 large; 40 extra-large</w:t>
            </w:r>
          </w:p>
        </w:tc>
      </w:tr>
      <w:tr>
        <w:trPr>
          <w:cantSplit/>
        </w:trPr>
        <w:tc>
          <w:tcPr>
            <w:tcW w:type="dxa" w:w="5112"/>
            <w:shd w:fill="FFFFFF"/>
          </w:tcPr>
          <w:p>
            <w:pPr>
              <w:spacing w:after="100" w:before="100"/>
            </w:pPr>
            <w:r>
              <w:rPr>
                <w:b w:val="0"/>
                <w:sz w:val="18"/>
              </w:rPr>
              <w:t>Corner radii</w:t>
            </w:r>
          </w:p>
        </w:tc>
        <w:tc>
          <w:tcPr>
            <w:tcW w:type="dxa" w:w="5112"/>
            <w:shd w:fill="FFFFFF"/>
          </w:tcPr>
          <w:p>
            <w:pPr>
              <w:spacing w:after="100" w:before="100"/>
            </w:pPr>
            <w:r>
              <w:rPr>
                <w:b w:val="0"/>
                <w:sz w:val="18"/>
              </w:rPr>
              <w:t>6 controls; 8 cards/panels; 12 large dialogs</w:t>
            </w:r>
          </w:p>
        </w:tc>
      </w:tr>
      <w:tr>
        <w:trPr>
          <w:cantSplit/>
        </w:trPr>
        <w:tc>
          <w:tcPr>
            <w:tcW w:type="dxa" w:w="5112"/>
            <w:shd w:fill="F7F7FA"/>
          </w:tcPr>
          <w:p>
            <w:pPr>
              <w:spacing w:after="100" w:before="100"/>
            </w:pPr>
            <w:r>
              <w:rPr>
                <w:b w:val="0"/>
                <w:sz w:val="18"/>
              </w:rPr>
              <w:t>Structure</w:t>
            </w:r>
          </w:p>
        </w:tc>
        <w:tc>
          <w:tcPr>
            <w:tcW w:type="dxa" w:w="5112"/>
            <w:shd w:fill="F7F7FA"/>
          </w:tcPr>
          <w:p>
            <w:pPr>
              <w:spacing w:after="100" w:before="100"/>
            </w:pPr>
            <w:r>
              <w:rPr>
                <w:b w:val="0"/>
                <w:sz w:val="18"/>
              </w:rPr>
              <w:t>1-point borders; overlays alone receive restrained shadows</w:t>
            </w:r>
          </w:p>
        </w:tc>
      </w:tr>
      <w:tr>
        <w:trPr>
          <w:cantSplit/>
        </w:trPr>
        <w:tc>
          <w:tcPr>
            <w:tcW w:type="dxa" w:w="5112"/>
            <w:shd w:fill="FFFFFF"/>
          </w:tcPr>
          <w:p>
            <w:pPr>
              <w:spacing w:after="100" w:before="100"/>
            </w:pPr>
            <w:r>
              <w:rPr>
                <w:b w:val="0"/>
                <w:sz w:val="18"/>
              </w:rPr>
              <w:t>UI typography</w:t>
            </w:r>
          </w:p>
        </w:tc>
        <w:tc>
          <w:tcPr>
            <w:tcW w:type="dxa" w:w="5112"/>
            <w:shd w:fill="FFFFFF"/>
          </w:tcPr>
          <w:p>
            <w:pPr>
              <w:spacing w:after="100" w:before="100"/>
            </w:pPr>
            <w:r>
              <w:rPr>
                <w:b w:val="0"/>
                <w:sz w:val="18"/>
              </w:rPr>
              <w:t>Native system font; web system or Assistant, chosen consistently</w:t>
            </w:r>
          </w:p>
        </w:tc>
      </w:tr>
      <w:tr>
        <w:trPr>
          <w:cantSplit/>
        </w:trPr>
        <w:tc>
          <w:tcPr>
            <w:tcW w:type="dxa" w:w="5112"/>
            <w:shd w:fill="F7F7FA"/>
          </w:tcPr>
          <w:p>
            <w:pPr>
              <w:spacing w:after="100" w:before="100"/>
            </w:pPr>
            <w:r>
              <w:rPr>
                <w:b w:val="0"/>
                <w:sz w:val="18"/>
              </w:rPr>
              <w:t>Type hierarchy</w:t>
            </w:r>
          </w:p>
        </w:tc>
        <w:tc>
          <w:tcPr>
            <w:tcW w:type="dxa" w:w="5112"/>
            <w:shd w:fill="F7F7FA"/>
          </w:tcPr>
          <w:p>
            <w:pPr>
              <w:spacing w:after="100" w:before="100"/>
            </w:pPr>
            <w:r>
              <w:rPr>
                <w:b w:val="0"/>
                <w:sz w:val="18"/>
              </w:rPr>
              <w:t>13 medium buttons; 14 semibold headers; 11 status labels</w:t>
            </w:r>
          </w:p>
        </w:tc>
      </w:tr>
      <w:tr>
        <w:trPr>
          <w:cantSplit/>
        </w:trPr>
        <w:tc>
          <w:tcPr>
            <w:tcW w:type="dxa" w:w="5112"/>
            <w:shd w:fill="FFFFFF"/>
          </w:tcPr>
          <w:p>
            <w:pPr>
              <w:spacing w:after="100" w:before="100"/>
            </w:pPr>
            <w:r>
              <w:rPr>
                <w:b w:val="0"/>
                <w:sz w:val="18"/>
              </w:rPr>
              <w:t>Navigation row</w:t>
            </w:r>
          </w:p>
        </w:tc>
        <w:tc>
          <w:tcPr>
            <w:tcW w:type="dxa" w:w="5112"/>
            <w:shd w:fill="FFFFFF"/>
          </w:tcPr>
          <w:p>
            <w:pPr>
              <w:spacing w:after="100" w:before="100"/>
            </w:pPr>
            <w:r>
              <w:rPr>
                <w:b w:val="0"/>
                <w:sz w:val="18"/>
              </w:rPr>
              <w:t>8 horizontal / 6 vertical inner padding; 1 outer vertical</w:t>
            </w:r>
          </w:p>
        </w:tc>
      </w:tr>
      <w:tr>
        <w:trPr>
          <w:cantSplit/>
        </w:trPr>
        <w:tc>
          <w:tcPr>
            <w:tcW w:type="dxa" w:w="5112"/>
            <w:shd w:fill="F7F7FA"/>
          </w:tcPr>
          <w:p>
            <w:pPr>
              <w:spacing w:after="100" w:before="100"/>
            </w:pPr>
            <w:r>
              <w:rPr>
                <w:b w:val="0"/>
                <w:sz w:val="18"/>
              </w:rPr>
              <w:t>Header reference</w:t>
            </w:r>
          </w:p>
        </w:tc>
        <w:tc>
          <w:tcPr>
            <w:tcW w:type="dxa" w:w="5112"/>
            <w:shd w:fill="F7F7FA"/>
          </w:tcPr>
          <w:p>
            <w:pPr>
              <w:spacing w:after="100" w:before="100"/>
            </w:pPr>
            <w:r>
              <w:rPr>
                <w:b w:val="0"/>
                <w:sz w:val="18"/>
              </w:rPr>
              <w:t>52 high; keep content/actions aligned and predictable</w:t>
            </w:r>
          </w:p>
        </w:tc>
      </w:tr>
    </w:tbl>
    <w:p>
      <w:pPr>
        <w:spacing w:after="0"/>
      </w:pPr>
    </w:p>
    <w:p>
      <w:pPr>
        <w:pStyle w:val="Heading2"/>
      </w:pPr>
      <w:r>
        <w:t>Choose a shell suited to the product</w:t>
      </w:r>
    </w:p>
    <w:p>
      <w:r>
        <w:t>Use a navigator, main content, and optional inspector only when the workflow needs them. A menu-bar utility can share the same controls without using three panes. ExcalidrawDesktop references: sidebar outer min/ideal/max 230/250/340; main detail minimum 480; docked inspector 280/350/400. These are source observations, not universal window requirements.</w:t>
      </w:r>
    </w:p>
    <w:p>
      <w:pPr>
        <w:pStyle w:val="Heading2"/>
      </w:pPr>
      <w:r>
        <w:t>Shared components</w:t>
      </w:r>
    </w:p>
    <w:p>
      <w:r>
        <w:t>Surface, ActionButton, IconButton, NavigationRow, MenuRow, TextField, Section, ContentCard, Inspector, StatusLabel, EmptyState, and DialogActions. Centralize color, geometry, density, and motion preferences. Screens select semantic roles instead of repeating raw values.</w:t>
      </w:r>
    </w:p>
    <w:p>
      <w:pPr>
        <w:pStyle w:val="Heading2"/>
      </w:pPr>
      <w:r>
        <w:t>Product decisions</w:t>
      </w:r>
    </w:p>
    <w:p>
      <w:r>
        <w:t>[Chosen shell and minimum window size]</w:t>
        <w:br/>
        <w:t>[Typography and density by platform]</w:t>
        <w:br/>
        <w:t>[Component library location]</w:t>
        <w:br/>
        <w:t>[Documented exceptions and reasons]</w:t>
      </w:r>
    </w:p>
    <w:p>
      <w:r>
        <w:br w:type="page"/>
      </w:r>
    </w:p>
    <w:p>
      <w:pPr>
        <w:pStyle w:val="Subtitle"/>
      </w:pPr>
      <w:r>
        <w:t>QUIET LAVENDER / APPLICATION BRIEF</w:t>
      </w:r>
    </w:p>
    <w:p>
      <w:pPr>
        <w:pStyle w:val="Heading1"/>
      </w:pPr>
      <w:r>
        <w:t>Screens, interaction &amp; complete states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3E2FE"/>
          </w:tcPr>
          <w:p>
            <w:pPr>
              <w:spacing w:after="100" w:before="100"/>
            </w:pPr>
            <w:r>
              <w:rPr>
                <w:b/>
                <w:sz w:val="18"/>
              </w:rPr>
              <w:t>Screen / flow</w:t>
            </w:r>
          </w:p>
        </w:tc>
        <w:tc>
          <w:tcPr>
            <w:tcW w:type="dxa" w:w="3408"/>
            <w:shd w:fill="E3E2FE"/>
          </w:tcPr>
          <w:p>
            <w:pPr>
              <w:spacing w:after="100" w:before="100"/>
            </w:pPr>
            <w:r>
              <w:rPr>
                <w:b/>
                <w:sz w:val="18"/>
              </w:rPr>
              <w:t>Components / content</w:t>
            </w:r>
          </w:p>
        </w:tc>
        <w:tc>
          <w:tcPr>
            <w:tcW w:type="dxa" w:w="3408"/>
            <w:shd w:fill="E3E2FE"/>
          </w:tcPr>
          <w:p>
            <w:pPr>
              <w:spacing w:after="100" w:before="100"/>
            </w:pPr>
            <w:r>
              <w:rPr>
                <w:b/>
                <w:sz w:val="18"/>
              </w:rPr>
              <w:t>Required states</w:t>
            </w:r>
          </w:p>
        </w:tc>
      </w:tr>
      <w:tr>
        <w:trPr>
          <w:cantSplit/>
        </w:trPr>
        <w:tc>
          <w:tcPr>
            <w:tcW w:type="dxa" w:w="3408"/>
            <w:shd w:fill="F7F7FA"/>
          </w:tcPr>
          <w:p>
            <w:pPr>
              <w:spacing w:after="100" w:before="100"/>
            </w:pPr>
            <w:r>
              <w:rPr>
                <w:b w:val="0"/>
                <w:sz w:val="18"/>
              </w:rPr>
              <w:t>[Primary workspace]</w:t>
            </w:r>
          </w:p>
        </w:tc>
        <w:tc>
          <w:tcPr>
            <w:tcW w:type="dxa" w:w="3408"/>
            <w:shd w:fill="F7F7FA"/>
          </w:tcPr>
          <w:p>
            <w:pPr>
              <w:spacing w:after="100" w:before="100"/>
            </w:pPr>
            <w:r>
              <w:rPr>
                <w:b w:val="0"/>
                <w:sz w:val="18"/>
              </w:rPr>
              <w:t>[Navigator, content, inspector]</w:t>
            </w:r>
          </w:p>
        </w:tc>
        <w:tc>
          <w:tcPr>
            <w:tcW w:type="dxa" w:w="3408"/>
            <w:shd w:fill="F7F7FA"/>
          </w:tcPr>
          <w:p>
            <w:pPr>
              <w:spacing w:after="100" w:before="100"/>
            </w:pPr>
            <w:r>
              <w:rPr>
                <w:b w:val="0"/>
                <w:sz w:val="18"/>
              </w:rPr>
              <w:t>[Normal, narrow, long names]</w:t>
            </w:r>
          </w:p>
        </w:tc>
      </w:tr>
      <w:tr>
        <w:trPr>
          <w:cantSplit/>
        </w:trPr>
        <w:tc>
          <w:tcPr>
            <w:tcW w:type="dxa" w:w="3408"/>
            <w:shd w:fill="FFFFFF"/>
          </w:tcPr>
          <w:p>
            <w:pPr>
              <w:spacing w:after="100" w:before="100"/>
            </w:pPr>
            <w:r>
              <w:rPr>
                <w:b w:val="0"/>
                <w:sz w:val="18"/>
              </w:rPr>
              <w:t>[Browser / search]</w:t>
            </w:r>
          </w:p>
        </w:tc>
        <w:tc>
          <w:tcPr>
            <w:tcW w:type="dxa" w:w="3408"/>
            <w:shd w:fill="FFFFFF"/>
          </w:tcPr>
          <w:p>
            <w:pPr>
              <w:spacing w:after="100" w:before="100"/>
            </w:pPr>
            <w:r>
              <w:rPr>
                <w:b w:val="0"/>
                <w:sz w:val="18"/>
              </w:rPr>
              <w:t>[Rows, cards, filter controls]</w:t>
            </w:r>
          </w:p>
        </w:tc>
        <w:tc>
          <w:tcPr>
            <w:tcW w:type="dxa" w:w="3408"/>
            <w:shd w:fill="FFFFFF"/>
          </w:tcPr>
          <w:p>
            <w:pPr>
              <w:spacing w:after="100" w:before="100"/>
            </w:pPr>
            <w:r>
              <w:rPr>
                <w:b w:val="0"/>
                <w:sz w:val="18"/>
              </w:rPr>
              <w:t>[Empty, results, no matches]</w:t>
            </w:r>
          </w:p>
        </w:tc>
      </w:tr>
      <w:tr>
        <w:trPr>
          <w:cantSplit/>
        </w:trPr>
        <w:tc>
          <w:tcPr>
            <w:tcW w:type="dxa" w:w="3408"/>
            <w:shd w:fill="F7F7FA"/>
          </w:tcPr>
          <w:p>
            <w:pPr>
              <w:spacing w:after="100" w:before="100"/>
            </w:pPr>
            <w:r>
              <w:rPr>
                <w:b w:val="0"/>
                <w:sz w:val="18"/>
              </w:rPr>
              <w:t>[Settings / forms]</w:t>
            </w:r>
          </w:p>
        </w:tc>
        <w:tc>
          <w:tcPr>
            <w:tcW w:type="dxa" w:w="3408"/>
            <w:shd w:fill="F7F7FA"/>
          </w:tcPr>
          <w:p>
            <w:pPr>
              <w:spacing w:after="100" w:before="100"/>
            </w:pPr>
            <w:r>
              <w:rPr>
                <w:b w:val="0"/>
                <w:sz w:val="18"/>
              </w:rPr>
              <w:t>[Sections, inputs, actions]</w:t>
            </w:r>
          </w:p>
        </w:tc>
        <w:tc>
          <w:tcPr>
            <w:tcW w:type="dxa" w:w="3408"/>
            <w:shd w:fill="F7F7FA"/>
          </w:tcPr>
          <w:p>
            <w:pPr>
              <w:spacing w:after="100" w:before="100"/>
            </w:pPr>
            <w:r>
              <w:rPr>
                <w:b w:val="0"/>
                <w:sz w:val="18"/>
              </w:rPr>
              <w:t>[Focus, invalid, disabled]</w:t>
            </w:r>
          </w:p>
        </w:tc>
      </w:tr>
      <w:tr>
        <w:trPr>
          <w:cantSplit/>
        </w:trPr>
        <w:tc>
          <w:tcPr>
            <w:tcW w:type="dxa" w:w="3408"/>
            <w:shd w:fill="FFFFFF"/>
          </w:tcPr>
          <w:p>
            <w:pPr>
              <w:spacing w:after="100" w:before="100"/>
            </w:pPr>
            <w:r>
              <w:rPr>
                <w:b w:val="0"/>
                <w:sz w:val="18"/>
              </w:rPr>
              <w:t>[Import / export / save]</w:t>
            </w:r>
          </w:p>
        </w:tc>
        <w:tc>
          <w:tcPr>
            <w:tcW w:type="dxa" w:w="3408"/>
            <w:shd w:fill="FFFFFF"/>
          </w:tcPr>
          <w:p>
            <w:pPr>
              <w:spacing w:after="100" w:before="100"/>
            </w:pPr>
            <w:r>
              <w:rPr>
                <w:b w:val="0"/>
                <w:sz w:val="18"/>
              </w:rPr>
              <w:t>[Progress, dialog actions]</w:t>
            </w:r>
          </w:p>
        </w:tc>
        <w:tc>
          <w:tcPr>
            <w:tcW w:type="dxa" w:w="3408"/>
            <w:shd w:fill="FFFFFF"/>
          </w:tcPr>
          <w:p>
            <w:pPr>
              <w:spacing w:after="100" w:before="100"/>
            </w:pPr>
            <w:r>
              <w:rPr>
                <w:b w:val="0"/>
                <w:sz w:val="18"/>
              </w:rPr>
              <w:t>[Busy, success, failure, recovery]</w:t>
            </w:r>
          </w:p>
        </w:tc>
      </w:tr>
      <w:tr>
        <w:trPr>
          <w:cantSplit/>
        </w:trPr>
        <w:tc>
          <w:tcPr>
            <w:tcW w:type="dxa" w:w="3408"/>
            <w:shd w:fill="F7F7FA"/>
          </w:tcPr>
          <w:p>
            <w:pPr>
              <w:spacing w:after="100" w:before="100"/>
            </w:pPr>
            <w:r>
              <w:rPr>
                <w:b w:val="0"/>
                <w:sz w:val="18"/>
              </w:rPr>
              <w:t>[Secondary surfaces]</w:t>
            </w:r>
          </w:p>
        </w:tc>
        <w:tc>
          <w:tcPr>
            <w:tcW w:type="dxa" w:w="3408"/>
            <w:shd w:fill="F7F7FA"/>
          </w:tcPr>
          <w:p>
            <w:pPr>
              <w:spacing w:after="100" w:before="100"/>
            </w:pPr>
            <w:r>
              <w:rPr>
                <w:b w:val="0"/>
                <w:sz w:val="18"/>
              </w:rPr>
              <w:t>[Menus, history, previews]</w:t>
            </w:r>
          </w:p>
        </w:tc>
        <w:tc>
          <w:tcPr>
            <w:tcW w:type="dxa" w:w="3408"/>
            <w:shd w:fill="F7F7FA"/>
          </w:tcPr>
          <w:p>
            <w:pPr>
              <w:spacing w:after="100" w:before="100"/>
            </w:pPr>
            <w:r>
              <w:rPr>
                <w:b w:val="0"/>
                <w:sz w:val="18"/>
              </w:rPr>
              <w:t>[Unavailable, selected, loading]</w:t>
            </w:r>
          </w:p>
        </w:tc>
      </w:tr>
    </w:tbl>
    <w:p>
      <w:pPr>
        <w:spacing w:after="0"/>
      </w:pPr>
    </w:p>
    <w:p>
      <w:pPr>
        <w:pStyle w:val="Heading2"/>
      </w:pPr>
      <w:r>
        <w:t>Interaction contract</w:t>
      </w:r>
    </w:p>
    <w:p>
      <w:r>
        <w:t>Specify default, hover, pressed, selected, keyboard focus, disabled, loading, and error states for each relevant component. Selection and keyboard focus need independent indicators. Use explanatory error text and a recovery action; color alone is insufficient. Provide accessible labels for icon-only buttons.</w:t>
      </w:r>
    </w:p>
    <w:p>
      <w:r>
        <w:t>Observed desktop references: shared button pressed opacity 0.7 and disabled opacity 0.4; sidebar ease-in-out transition 0.16 seconds; multiselection outline 1.5 points. Apply these with contrast and reduced-motion checks rather than assuming opacity is always safe.</w:t>
      </w:r>
    </w:p>
    <w:p>
      <w:pPr>
        <w:pStyle w:val="Heading2"/>
      </w:pPr>
      <w:r>
        <w:t>Behavior that must remain dependable</w:t>
      </w:r>
    </w:p>
    <w:p>
      <w:r>
        <w:t>Preserve native window dragging, menus, keyboard shortcuts, file pickers, and focus semantics. Keep content geometry stable while loading. Support long text, resizing, and opening or closing inspectors. Avoid decorative gradients, large rounded cards, and material effects unless a specific surface has a documented reason.</w:t>
      </w:r>
    </w:p>
    <w:p>
      <w:pPr>
        <w:pStyle w:val="Heading2"/>
      </w:pPr>
      <w:r>
        <w:t>State decisions</w:t>
      </w:r>
    </w:p>
    <w:p>
      <w:r>
        <w:t>[Focus indicator and error roles]</w:t>
        <w:br/>
        <w:t>[Loading and recovery copy]</w:t>
        <w:br/>
        <w:t>[Keyboard routes and accessible names]</w:t>
        <w:br/>
        <w:t>[Reduced-motion behavior and performance expectations]</w:t>
      </w:r>
    </w:p>
    <w:p>
      <w:r>
        <w:br w:type="page"/>
      </w:r>
    </w:p>
    <w:p>
      <w:pPr>
        <w:pStyle w:val="Subtitle"/>
      </w:pPr>
      <w:r>
        <w:t>QUIET LAVENDER / APPLICATION BRIEF</w:t>
      </w:r>
    </w:p>
    <w:p>
      <w:pPr>
        <w:pStyle w:val="Heading1"/>
      </w:pPr>
      <w:r>
        <w:t>Adoption, acceptance &amp; implementation prompt</w:t>
      </w:r>
    </w:p>
    <w:p>
      <w:pPr>
        <w:pStyle w:val="Heading2"/>
      </w:pPr>
      <w:r>
        <w:t>Implementation sequence</w:t>
      </w:r>
    </w:p>
    <w:p>
      <w:r>
        <w:t>1. Map current screens and preserve established workflows.</w:t>
        <w:br/>
        <w:t>2. Introduce shared color, type, spacing, and geometry tokens.</w:t>
        <w:br/>
        <w:t>3. Apply shared buttons and rows, then navigation and headers.</w:t>
        <w:br/>
        <w:t>4. Adapt forms, cards, inspectors, and secondary screens.</w:t>
        <w:br/>
        <w:t>5. Review real application states after each meaningful change.</w:t>
      </w:r>
    </w:p>
    <w:tbl>
      <w:tblPr>
        <w:tblW w:type="auto" w:w="0"/>
        <w:tblLayout w:type="fixed"/>
        <w:tblLook w:firstColumn="1" w:firstRow="1" w:lastColumn="0" w:lastRow="0" w:noHBand="0" w:noVBand="1" w:val="04A0"/>
      </w:tblPr>
      <w:tblGrid>
        <w:gridCol w:w="5112"/>
        <w:gridCol w:w="5112"/>
      </w:tblGrid>
      <w:tr>
        <w:trPr>
          <w:tblHeader/>
          <w:cantSplit/>
        </w:trPr>
        <w:tc>
          <w:tcPr>
            <w:tcW w:type="dxa" w:w="5112"/>
            <w:shd w:fill="E3E2FE"/>
          </w:tcPr>
          <w:p>
            <w:pPr>
              <w:spacing w:after="100" w:before="100"/>
            </w:pPr>
            <w:r>
              <w:rPr>
                <w:b/>
                <w:sz w:val="18"/>
              </w:rPr>
              <w:t>Acceptance area</w:t>
            </w:r>
          </w:p>
        </w:tc>
        <w:tc>
          <w:tcPr>
            <w:tcW w:type="dxa" w:w="5112"/>
            <w:shd w:fill="E3E2FE"/>
          </w:tcPr>
          <w:p>
            <w:pPr>
              <w:spacing w:after="100" w:before="100"/>
            </w:pPr>
            <w:r>
              <w:rPr>
                <w:b/>
                <w:sz w:val="18"/>
              </w:rPr>
              <w:t>Evidence to record</w:t>
            </w:r>
          </w:p>
        </w:tc>
      </w:tr>
      <w:tr>
        <w:trPr>
          <w:cantSplit/>
        </w:trPr>
        <w:tc>
          <w:tcPr>
            <w:tcW w:type="dxa" w:w="5112"/>
            <w:shd w:fill="F7F7FA"/>
          </w:tcPr>
          <w:p>
            <w:pPr>
              <w:spacing w:after="100" w:before="100"/>
            </w:pPr>
            <w:r>
              <w:rPr>
                <w:b w:val="0"/>
                <w:sz w:val="18"/>
              </w:rPr>
              <w:t>Appearance</w:t>
            </w:r>
          </w:p>
        </w:tc>
        <w:tc>
          <w:tcPr>
            <w:tcW w:type="dxa" w:w="5112"/>
            <w:shd w:fill="F7F7FA"/>
          </w:tcPr>
          <w:p>
            <w:pPr>
              <w:spacing w:after="100" w:before="100"/>
            </w:pPr>
            <w:r>
              <w:rPr>
                <w:b w:val="0"/>
                <w:sz w:val="18"/>
              </w:rPr>
              <w:t>[Light/dark screenshots; paired-color contrast checks]</w:t>
            </w:r>
          </w:p>
        </w:tc>
      </w:tr>
      <w:tr>
        <w:trPr>
          <w:cantSplit/>
        </w:trPr>
        <w:tc>
          <w:tcPr>
            <w:tcW w:type="dxa" w:w="5112"/>
            <w:shd w:fill="FFFFFF"/>
          </w:tcPr>
          <w:p>
            <w:pPr>
              <w:spacing w:after="100" w:before="100"/>
            </w:pPr>
            <w:r>
              <w:rPr>
                <w:b w:val="0"/>
                <w:sz w:val="18"/>
              </w:rPr>
              <w:t>Layout</w:t>
            </w:r>
          </w:p>
        </w:tc>
        <w:tc>
          <w:tcPr>
            <w:tcW w:type="dxa" w:w="5112"/>
            <w:shd w:fill="FFFFFF"/>
          </w:tcPr>
          <w:p>
            <w:pPr>
              <w:spacing w:after="100" w:before="100"/>
            </w:pPr>
            <w:r>
              <w:rPr>
                <w:b w:val="0"/>
                <w:sz w:val="18"/>
              </w:rPr>
              <w:t>[Narrow window, large text, long names, populated content]</w:t>
            </w:r>
          </w:p>
        </w:tc>
      </w:tr>
      <w:tr>
        <w:trPr>
          <w:cantSplit/>
        </w:trPr>
        <w:tc>
          <w:tcPr>
            <w:tcW w:type="dxa" w:w="5112"/>
            <w:shd w:fill="F7F7FA"/>
          </w:tcPr>
          <w:p>
            <w:pPr>
              <w:spacing w:after="100" w:before="100"/>
            </w:pPr>
            <w:r>
              <w:rPr>
                <w:b w:val="0"/>
                <w:sz w:val="18"/>
              </w:rPr>
              <w:t>Interaction</w:t>
            </w:r>
          </w:p>
        </w:tc>
        <w:tc>
          <w:tcPr>
            <w:tcW w:type="dxa" w:w="5112"/>
            <w:shd w:fill="F7F7FA"/>
          </w:tcPr>
          <w:p>
            <w:pPr>
              <w:spacing w:after="100" w:before="100"/>
            </w:pPr>
            <w:r>
              <w:rPr>
                <w:b w:val="0"/>
                <w:sz w:val="18"/>
              </w:rPr>
              <w:t>[Hover, selection, focus, pressed, disabled, errors]</w:t>
            </w:r>
          </w:p>
        </w:tc>
      </w:tr>
      <w:tr>
        <w:trPr>
          <w:cantSplit/>
        </w:trPr>
        <w:tc>
          <w:tcPr>
            <w:tcW w:type="dxa" w:w="5112"/>
            <w:shd w:fill="FFFFFF"/>
          </w:tcPr>
          <w:p>
            <w:pPr>
              <w:spacing w:after="100" w:before="100"/>
            </w:pPr>
            <w:r>
              <w:rPr>
                <w:b w:val="0"/>
                <w:sz w:val="18"/>
              </w:rPr>
              <w:t>Accessibility</w:t>
            </w:r>
          </w:p>
        </w:tc>
        <w:tc>
          <w:tcPr>
            <w:tcW w:type="dxa" w:w="5112"/>
            <w:shd w:fill="FFFFFF"/>
          </w:tcPr>
          <w:p>
            <w:pPr>
              <w:spacing w:after="100" w:before="100"/>
            </w:pPr>
            <w:r>
              <w:rPr>
                <w:b w:val="0"/>
                <w:sz w:val="18"/>
              </w:rPr>
              <w:t>[Keyboard-only flow, labels, targets, reduced motion]</w:t>
            </w:r>
          </w:p>
        </w:tc>
      </w:tr>
      <w:tr>
        <w:trPr>
          <w:cantSplit/>
        </w:trPr>
        <w:tc>
          <w:tcPr>
            <w:tcW w:type="dxa" w:w="5112"/>
            <w:shd w:fill="F7F7FA"/>
          </w:tcPr>
          <w:p>
            <w:pPr>
              <w:spacing w:after="100" w:before="100"/>
            </w:pPr>
            <w:r>
              <w:rPr>
                <w:b w:val="0"/>
                <w:sz w:val="18"/>
              </w:rPr>
              <w:t>Resilience</w:t>
            </w:r>
          </w:p>
        </w:tc>
        <w:tc>
          <w:tcPr>
            <w:tcW w:type="dxa" w:w="5112"/>
            <w:shd w:fill="F7F7FA"/>
          </w:tcPr>
          <w:p>
            <w:pPr>
              <w:spacing w:after="100" w:before="100"/>
            </w:pPr>
            <w:r>
              <w:rPr>
                <w:b w:val="0"/>
                <w:sz w:val="18"/>
              </w:rPr>
              <w:t>[Empty/loading/failure/recovery and stable geometry]</w:t>
            </w:r>
          </w:p>
        </w:tc>
      </w:tr>
      <w:tr>
        <w:trPr>
          <w:cantSplit/>
        </w:trPr>
        <w:tc>
          <w:tcPr>
            <w:tcW w:type="dxa" w:w="5112"/>
            <w:shd w:fill="FFFFFF"/>
          </w:tcPr>
          <w:p>
            <w:pPr>
              <w:spacing w:after="100" w:before="100"/>
            </w:pPr>
            <w:r>
              <w:rPr>
                <w:b w:val="0"/>
                <w:sz w:val="18"/>
              </w:rPr>
              <w:t>Platform / performance</w:t>
            </w:r>
          </w:p>
        </w:tc>
        <w:tc>
          <w:tcPr>
            <w:tcW w:type="dxa" w:w="5112"/>
            <w:shd w:fill="FFFFFF"/>
          </w:tcPr>
          <w:p>
            <w:pPr>
              <w:spacing w:after="100" w:before="100"/>
            </w:pPr>
            <w:r>
              <w:rPr>
                <w:b w:val="0"/>
                <w:sz w:val="18"/>
              </w:rPr>
              <w:t>[Native transitions, responsive navigation and previews]</w:t>
            </w:r>
          </w:p>
        </w:tc>
      </w:tr>
    </w:tbl>
    <w:p>
      <w:pPr>
        <w:spacing w:after="0"/>
      </w:pPr>
    </w:p>
    <w:p>
      <w:pPr>
        <w:pStyle w:val="Heading2"/>
      </w:pPr>
      <w:r>
        <w:t>Copyable implementation prompt</w:t>
      </w:r>
    </w:p>
    <w:p>
      <w:r>
        <w:t>Apply the Quiet Lavender family specification to [application]. Preserve its workflows, product name, and icon. Use this brief’s paired light/dark semantic colors, 6/8/12 corner hierarchy, 32-point regular controls, 8–10 control gaps, 12–16 panel insets, and 16–24 section gaps. Keep native system typography or a deliberate system/Assistant web choice. Implement complete interaction and availability states. Keep content dominant, ordinary surfaces flat, and native behavior intact. Read the full reference for component details and distinguish observed implementation from recommended rules. Validate the running application with realistic data; document necessary exceptions.</w:t>
      </w:r>
    </w:p>
    <w:p>
      <w:pPr>
        <w:pStyle w:val="Heading2"/>
      </w:pPr>
      <w:r>
        <w:t>Reference and sign-off</w:t>
      </w:r>
    </w:p>
    <w:p>
      <w:r>
        <w:t>Full 26-section guideline, interactive specimen, tokens, CSS, and source evidence:</w:t>
        <w:br/>
        <w:t>https://app.notion.com/p/3e1ddaf9707a80c6a313ce6e7497828b</w:t>
      </w:r>
    </w:p>
    <w:p>
      <w:r>
        <w:t>[Reviewer] / [Date] / [Remaining gaps] / [Accepted exceptions]</w:t>
        <w:br/>
        <w:t>A specimen or build alone does not establish application acceptance.</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2323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6965DB"/>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6965D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color w:val="6965D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Lavender Application Brief</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