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4"/>
              <w:bottom w:val="single" w:color="1E3A5F" w:sz="4"/>
              <w:right w:val="single" w:color="1E3A5F" w:sz="4"/>
            </w:tcBorders>
            <w:shd w:fill="1E3A5F" w:val="clear"/>
            <w:tcMar>
              <w:top w:type="dxa" w:w="300"/>
              <w:left w:type="dxa" w:w="240"/>
              <w:bottom w:type="dxa" w:w="240"/>
              <w:right w:type="dxa" w:w="240"/>
            </w:tcMar>
          </w:tcPr>
          <w:p>
            <w:r>
              <w:rPr>
                <w:rFonts w:ascii="Arial" w:cs="Arial" w:eastAsia="Arial" w:hAnsi="Arial"/>
                <w:b/>
                <w:bCs/>
                <w:caps/>
                <w:color w:val="FFFFFF"/>
                <w:sz w:val="32"/>
                <w:szCs w:val="32"/>
              </w:rPr>
              <w:t xml:space="preserve">SPECTRAL-SELECTIVE GREENHOUSE FILMS</w:t>
            </w:r>
          </w:p>
          <w:p>
            <w:pPr>
              <w:spacing w:before="80"/>
            </w:pPr>
            <w:r>
              <w:rPr>
                <w:rFonts w:ascii="Arial" w:cs="Arial" w:eastAsia="Arial" w:hAnsi="Arial"/>
                <w:i/>
                <w:iCs/>
                <w:color w:val="D0EBE5"/>
                <w:sz w:val="20"/>
                <w:szCs w:val="20"/>
              </w:rPr>
              <w:t xml:space="preserve">Preliminary Research Brief · Literature Review · SBIR Grant Pathway</w:t>
            </w:r>
          </w:p>
          <w:p>
            <w:pPr>
              <w:spacing w:before="60"/>
            </w:pPr>
            <w:r>
              <w:rPr>
                <w:rFonts w:ascii="Arial" w:cs="Arial" w:eastAsia="Arial" w:hAnsi="Arial"/>
                <w:color w:val="A0C4BC"/>
                <w:sz w:val="17"/>
                <w:szCs w:val="17"/>
              </w:rPr>
              <w:t xml:space="preserve">February 2026  ·  Internal Working Document</w:t>
            </w:r>
          </w:p>
        </w:tc>
      </w:tr>
    </w:tbl>
    <w:p>
      <w:pPr>
        <w:spacing w:before="120" w:after="0"/>
      </w:pPr>
      <w:r>
        <w:rPr>
          <w:rFonts w:ascii="Arial" w:cs="Arial" w:eastAsia="Arial" w:hAnsi="Arial"/>
        </w:rPr>
        <w:t xml:space="preserve"/>
      </w:r>
    </w:p>
    <w:p>
      <w:pPr>
        <w:pStyle w:val="Heading1"/>
        <w:pBdr>
          <w:bottom w:val="single" w:color="2A7F6F" w:sz="6"/>
        </w:pBdr>
        <w:spacing w:before="320" w:after="120"/>
      </w:pPr>
      <w:r>
        <w:rPr>
          <w:rFonts w:ascii="Arial" w:cs="Arial" w:eastAsia="Arial" w:hAnsi="Arial"/>
          <w:b/>
          <w:bCs/>
          <w:color w:val="2A7F6F"/>
          <w:sz w:val="28"/>
          <w:szCs w:val="28"/>
        </w:rPr>
        <w:t xml:space="preserve">Executive Summary</w:t>
      </w:r>
    </w:p>
    <w:p>
      <w:pPr>
        <w:spacing w:before="60" w:after="60"/>
      </w:pPr>
      <w:r>
        <w:rPr>
          <w:rFonts w:ascii="Arial" w:cs="Arial" w:eastAsia="Arial" w:hAnsi="Arial"/>
          <w:color w:val="222222"/>
          <w:sz w:val="20"/>
          <w:szCs w:val="20"/>
        </w:rPr>
        <w:t xml:space="preserve">Near-infrared radiation (NIR, 700–2500 nm) carries roughly 50% of total solar energy yet contributes nothing to plant photosynthesis. In conventional greenhouses this energy enters freely through the covering film and converts to heat, driving cooling costs that represent 25–40% of total operating expenditure. A film engineered to transmit photosynthetically active radiation (PAR, 400–700 nm) while blocking NIR before it enters the structure would reduce thermal load without any change to growing conditions or crop yield.</w:t>
      </w:r>
    </w:p>
    <w:p>
      <w:pPr>
        <w:spacing w:before="40" w:after="0"/>
      </w:pPr>
      <w:r>
        <w:rPr>
          <w:rFonts w:ascii="Arial" w:cs="Arial" w:eastAsia="Arial" w:hAnsi="Arial"/>
        </w:rPr>
        <w:t xml:space="preserve"/>
      </w:r>
    </w:p>
    <w:p>
      <w:pPr>
        <w:spacing w:before="60" w:after="60"/>
      </w:pPr>
      <w:r>
        <w:rPr>
          <w:rFonts w:ascii="Arial" w:cs="Arial" w:eastAsia="Arial" w:hAnsi="Arial"/>
          <w:color w:val="222222"/>
          <w:sz w:val="20"/>
          <w:szCs w:val="20"/>
        </w:rPr>
        <w:t xml:space="preserve">This document outlines a preliminary-phase research program structured in three sequential steps: (1) a targeted literature review establishing what materials and performance benchmarks are already known; (2) a low-cost bench-to-tunnel experiment generating original data on thermal reduction and plant response under coated versus uncoated film; and (3) a grant proposal pathway targeting DOE and USDA SBIR programs, which together offer up to $725,000 in non-dilutive funding for exactly this type of applied materials and agricultural research.</w:t>
      </w:r>
    </w:p>
    <w:p>
      <w:pPr>
        <w:spacing w:before="80" w:after="0"/>
      </w:pPr>
      <w:r>
        <w:rPr>
          <w:rFonts w:ascii="Arial" w:cs="Arial" w:eastAsia="Arial" w:hAnsi="Arial"/>
        </w:rPr>
        <w:t xml:space="preserve"/>
      </w:r>
    </w:p>
    <w:p>
      <w:pPr>
        <w:pStyle w:val="Heading1"/>
        <w:pBdr>
          <w:bottom w:val="single" w:color="2A7F6F" w:sz="6"/>
        </w:pBdr>
        <w:spacing w:before="320" w:after="120"/>
      </w:pPr>
      <w:r>
        <w:rPr>
          <w:rFonts w:ascii="Arial" w:cs="Arial" w:eastAsia="Arial" w:hAnsi="Arial"/>
          <w:b/>
          <w:bCs/>
          <w:color w:val="2A7F6F"/>
          <w:sz w:val="28"/>
          <w:szCs w:val="28"/>
        </w:rPr>
        <w:t xml:space="preserve">1.  Problem Statement &amp; Energy Context</w:t>
      </w:r>
    </w:p>
    <w:p>
      <w:pPr>
        <w:spacing w:before="60" w:after="60"/>
      </w:pPr>
      <w:r>
        <w:rPr>
          <w:rFonts w:ascii="Arial" w:cs="Arial" w:eastAsia="Arial" w:hAnsi="Arial"/>
          <w:color w:val="222222"/>
          <w:sz w:val="20"/>
          <w:szCs w:val="20"/>
        </w:rPr>
        <w:t xml:space="preserve">Controlled environment agriculture (CEA) has grown rapidly as a strategy for year-round, location-independent food production. The United States now has approximately 500,000 hectares of greenhouse area, with commercial operators concentrated in warm-climate states including Texas, California, Arizona, and Florida — precisely the regions with the highest solar NIR load. USDA data show that energy costs represent 25–35% of total production costs for greenhouse vegetables, with HVAC (cooling and heating combined) the single largest line item.</w:t>
      </w:r>
    </w:p>
    <w:p>
      <w:pPr>
        <w:spacing w:before="40" w:after="0"/>
      </w:pPr>
      <w:r>
        <w:rPr>
          <w:rFonts w:ascii="Arial" w:cs="Arial" w:eastAsia="Arial" w:hAnsi="Arial"/>
        </w:rPr>
        <w:t xml:space="preserve"/>
      </w:r>
    </w:p>
    <w:p>
      <w:pPr>
        <w:spacing w:before="60" w:after="60"/>
      </w:pPr>
      <w:r>
        <w:rPr>
          <w:rFonts w:ascii="Arial" w:cs="Arial" w:eastAsia="Arial" w:hAnsi="Arial"/>
          <w:color w:val="222222"/>
          <w:sz w:val="20"/>
          <w:szCs w:val="20"/>
        </w:rPr>
        <w:t xml:space="preserve">The fundamental physics create a clear engineering opportunity. Sunlight arriving at a greenhouse surface carries energy distributed roughly as: UV (&lt; 400 nm) 5%, PAR (400–700 nm) 43%, NIR (700–2500 nm) 52%. Plants use PAR for photosynthesis via chlorophyll a and b absorption peaks at approximately 430 nm and 680 nm. NIR is not usable for photosynthesis; its sole effect inside the greenhouse is heat. A covering that selectively blocks NIR while transmitting PAR would therefore reduce thermal load without any sacrifice in photosynthetic radiation — in principle delivering the thermal management benefit of shade without the yield penalty of reduced light.</w:t>
      </w:r>
    </w:p>
    <w:p>
      <w:pPr>
        <w:spacing w:before="4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Energy Metric</w:t>
            </w:r>
          </w:p>
        </w:tc>
        <w:tc>
          <w:tcPr>
            <w:tcW w:type="dxa" w:w="312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Current Situation</w:t>
            </w:r>
          </w:p>
        </w:tc>
        <w:tc>
          <w:tcPr>
            <w:tcW w:type="dxa" w:w="312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Target with NIR Film</w:t>
            </w:r>
          </w:p>
        </w:tc>
      </w:tr>
      <w:tr>
        <w:tc>
          <w:tcPr>
            <w:tcW w:type="dxa" w:w="31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HVAC share of greenhouse opex</w:t>
            </w:r>
          </w:p>
        </w:tc>
        <w:tc>
          <w:tcPr>
            <w:tcW w:type="dxa" w:w="31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25–40%</w:t>
            </w:r>
          </w:p>
        </w:tc>
        <w:tc>
          <w:tcPr>
            <w:tcW w:type="dxa" w:w="31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15–25% (30–40% reduction)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NIR energy transmitted through PE film</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&gt;90% (broadband transmission)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&lt;30% (&gt;70% NIR rejection target)</w:t>
            </w:r>
          </w:p>
        </w:tc>
      </w:tr>
      <w:tr>
        <w:tc>
          <w:tcPr>
            <w:tcW w:type="dxa" w:w="31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Internal temperature premium (summer)</w:t>
            </w:r>
          </w:p>
        </w:tc>
        <w:tc>
          <w:tcPr>
            <w:tcW w:type="dxa" w:w="31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+8–15°C above ambient through standard film</w:t>
            </w:r>
          </w:p>
        </w:tc>
        <w:tc>
          <w:tcPr>
            <w:tcW w:type="dxa" w:w="31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Target: ≤4°C above ambient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PAR transmission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&gt;90% (standard LDPE)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&gt;85% maintained (non-negotiable)</w:t>
            </w:r>
          </w:p>
        </w:tc>
      </w:tr>
    </w:tbl>
    <w:p>
      <w:pPr>
        <w:spacing w:before="80" w:after="0"/>
      </w:pPr>
      <w:r>
        <w:rPr>
          <w:rFonts w:ascii="Arial" w:cs="Arial" w:eastAsia="Arial" w:hAnsi="Arial"/>
        </w:rPr>
        <w:t xml:space="preserve"/>
      </w:r>
    </w:p>
    <w:p>
      <w:pPr>
        <w:pStyle w:val="Heading1"/>
        <w:pBdr>
          <w:bottom w:val="single" w:color="2A7F6F" w:sz="6"/>
        </w:pBdr>
        <w:spacing w:before="320" w:after="120"/>
      </w:pPr>
      <w:r>
        <w:rPr>
          <w:rFonts w:ascii="Arial" w:cs="Arial" w:eastAsia="Arial" w:hAnsi="Arial"/>
          <w:b/>
          <w:bCs/>
          <w:color w:val="2A7F6F"/>
          <w:sz w:val="28"/>
          <w:szCs w:val="28"/>
        </w:rPr>
        <w:t xml:space="preserve">2.  Literature Review</w:t>
      </w:r>
    </w:p>
    <w:p>
      <w:pPr>
        <w:spacing w:before="60" w:after="60"/>
      </w:pPr>
      <w:r>
        <w:rPr>
          <w:rFonts w:ascii="Arial" w:cs="Arial" w:eastAsia="Arial" w:hAnsi="Arial"/>
          <w:color w:val="222222"/>
          <w:sz w:val="20"/>
          <w:szCs w:val="20"/>
        </w:rPr>
        <w:t xml:space="preserve">A focused review of the published literature establishes what has been demonstrated, where the gaps are, and which candidate materials are most supported by experimental evidence. The review draws on four bodies of work: greenhouse energy studies, NIR-selective materials science, spectral effects on plant physiology, and existing commercial film performance.</w:t>
      </w:r>
    </w:p>
    <w:p>
      <w:pPr>
        <w:spacing w:before="40" w:after="0"/>
      </w:pPr>
      <w:r>
        <w:rPr>
          <w:rFonts w:ascii="Arial" w:cs="Arial" w:eastAsia="Arial" w:hAnsi="Arial"/>
        </w:rPr>
        <w:t xml:space="preserve"/>
      </w:r>
    </w:p>
    <w:p>
      <w:pPr>
        <w:pStyle w:val="Heading2"/>
        <w:spacing w:before="240" w:after="80"/>
      </w:pPr>
      <w:r>
        <w:rPr>
          <w:rFonts w:ascii="Arial" w:cs="Arial" w:eastAsia="Arial" w:hAnsi="Arial"/>
          <w:b/>
          <w:bCs/>
          <w:color w:val="1E3A5F"/>
          <w:sz w:val="22"/>
          <w:szCs w:val="22"/>
        </w:rPr>
        <w:t xml:space="preserve">2.1  Greenhouse Energy and Thermal Load</w:t>
      </w:r>
    </w:p>
    <w:p>
      <w:pPr>
        <w:spacing w:before="60" w:after="60"/>
      </w:pPr>
      <w:r>
        <w:rPr>
          <w:rFonts w:ascii="Arial" w:cs="Arial" w:eastAsia="Arial" w:hAnsi="Arial"/>
          <w:color w:val="222222"/>
          <w:sz w:val="20"/>
          <w:szCs w:val="20"/>
        </w:rPr>
        <w:t xml:space="preserve">Ahamed et al. (2019) reviewed greenhouse energy use across climatic zones, finding that cooling in warm climates represents the dominant energy expenditure and that passive solar management through selective covering materials is the most cost-effective intervention — ahead of ventilation improvements or supplemental cooling equipment. Papadakis et al. (2000) developed an energy balance model for polyethylene-covered greenhouses showing that solar radiation entering through the cover accounts for 60–80% of peak internal heat gain in summer. Hemming et al. (2016) reviewed covering material options and concluded that selective spectral transmission is technically feasible but that no commercial film has achieved the combination of high PAR transmission (&gt;85%) and strong NIR rejection (&gt;70%) simultaneously.</w:t>
      </w:r>
    </w:p>
    <w:p>
      <w:pPr>
        <w:spacing w:before="40" w:after="0"/>
      </w:pPr>
      <w:r>
        <w:rPr>
          <w:rFonts w:ascii="Arial" w:cs="Arial" w:eastAsia="Arial" w:hAnsi="Arial"/>
        </w:rPr>
        <w:t xml:space="preserve"/>
      </w:r>
    </w:p>
    <w:p>
      <w:pPr>
        <w:spacing w:before="60" w:after="60"/>
      </w:pPr>
      <w:r>
        <w:rPr>
          <w:rFonts w:ascii="Arial" w:cs="Arial" w:eastAsia="Arial" w:hAnsi="Arial"/>
          <w:color w:val="222222"/>
          <w:sz w:val="20"/>
          <w:szCs w:val="20"/>
        </w:rPr>
        <w:t xml:space="preserve">The key performance gap in the literature is precision. Existing NIR-absorbing commercial films (notably Ginegar SunSaver, launched January 2024) use broadband pigment additives that cut NIR transmission but also attenuate the far-red band (700–750 nm), reducing measured PAR transmittance to 71–81% rather than the &gt;85% agronomic threshold. Park et al. (2023) demonstrated in a controlled study that far-red light in the 700–750 nm range has measurable photosynthetic activity and strongly regulates plant morphology via phytochrome. Films that cut at 700 nm rather than 750 nm therefore simultaneously reduce photosynthetic radiation and disrupt plant signaling. The literature thus identifies a specific, unsolved optical specification: NIR cutoff at ~750 nm, not 700 nm.</w:t>
      </w:r>
    </w:p>
    <w:p>
      <w:pPr>
        <w:spacing w:before="40" w:after="0"/>
      </w:pPr>
      <w:r>
        <w:rPr>
          <w:rFonts w:ascii="Arial" w:cs="Arial" w:eastAsia="Arial" w:hAnsi="Arial"/>
        </w:rPr>
        <w:t xml:space="preserve"/>
      </w:r>
    </w:p>
    <w:p>
      <w:pPr>
        <w:pStyle w:val="Heading2"/>
        <w:spacing w:before="240" w:after="80"/>
      </w:pPr>
      <w:r>
        <w:rPr>
          <w:rFonts w:ascii="Arial" w:cs="Arial" w:eastAsia="Arial" w:hAnsi="Arial"/>
          <w:b/>
          <w:bCs/>
          <w:color w:val="1E3A5F"/>
          <w:sz w:val="22"/>
          <w:szCs w:val="22"/>
        </w:rPr>
        <w:t xml:space="preserve">2.2  NIR-Selective Materials — Published Performance Data</w:t>
      </w:r>
    </w:p>
    <w:p>
      <w:pPr>
        <w:spacing w:before="60" w:after="60"/>
      </w:pPr>
      <w:r>
        <w:rPr>
          <w:rFonts w:ascii="Arial" w:cs="Arial" w:eastAsia="Arial" w:hAnsi="Arial"/>
          <w:color w:val="222222"/>
          <w:sz w:val="20"/>
          <w:szCs w:val="20"/>
        </w:rPr>
        <w:t xml:space="preserve">The following materials are the best-supported candidates in peer-reviewed literature for NIR absorption in transparent polymer films. Each has a distinct mechanism, a different synthesis pathway, and a different performance-cost profile.</w:t>
      </w:r>
    </w:p>
    <w:p>
      <w:pPr>
        <w:spacing w:before="4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2200"/>
        <w:gridCol w:w="1760"/>
      </w:tblGrid>
      <w:tr>
        <w:tc>
          <w:tcPr>
            <w:tcW w:type="dxa" w:w="18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Material</w:t>
            </w:r>
          </w:p>
        </w:tc>
        <w:tc>
          <w:tcPr>
            <w:tcW w:type="dxa" w:w="16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NIR Absorption Mechanism</w:t>
            </w:r>
          </w:p>
        </w:tc>
        <w:tc>
          <w:tcPr>
            <w:tcW w:type="dxa" w:w="20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Reported Performance</w:t>
            </w:r>
          </w:p>
        </w:tc>
        <w:tc>
          <w:tcPr>
            <w:tcW w:type="dxa" w:w="2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Key Literature</w:t>
            </w:r>
          </w:p>
        </w:tc>
        <w:tc>
          <w:tcPr>
            <w:tcW w:type="dxa" w:w="17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Practical Limitation</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Cesium Tungsten Bronze Cs₀.₃₃WO₃</w:t>
            </w:r>
          </w:p>
        </w:tc>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Free-electron plasmonic absorption; peak tunable 900–1500 nm via Cs:W ratio</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NIR blocking &gt;80%; visible transmission &gt;75%; haze &lt;5% at 0.1 wt% loading in PMMA</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Guo et al. (2018) Solar Energy Mat. &amp; Solar Cells 176, 118–124; Nishimura et al. (2012) Appl. Phys. Lett. 100</w:t>
            </w:r>
          </w:p>
        </w:tc>
        <w:tc>
          <w:tcPr>
            <w:tcW w:type="dxa" w:w="1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Nanoparticle aggregation in PE matrix; requires surface functionalization (oleic acid or silane coupling)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Vanadium-doped TiO₂</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Bandgap narrowing by V substitution shifts absorption edge into NIR; also UV-active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NIR absorption onset tunable from 700–900 nm; dual UV-block + NIR block; photocatalytic self-cleaning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Granqvist (2014) Thin Solid Films 564, 1–23; extensive VO₂ phase-transition literature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Phase-change behavior of VO₂ complicates room-temperature stability; doping ratio is critical</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Lanthanum Hexaboride LaB₆</w:t>
            </w:r>
          </w:p>
        </w:tc>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Strong plasmonic resonance centered ~900 nm; very high selectivity</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NIR transmittance &lt;15% at 1000 nm; visible transmittance &gt;70%; excellent selectivity index</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Schelm &amp; Smith (2003) Appl. Phys. Lett. 82(24); multiple nanoparticle synthesis studies</w:t>
            </w:r>
          </w:p>
        </w:tc>
        <w:tc>
          <w:tcPr>
            <w:tcW w:type="dxa" w:w="1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High cost (~10× Cs-W bronze per gram); lanthanum supply chain; best suited for rigid glass, not flexible PE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Quantum Dot Films (CdSe/CdS, InP)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Size-tunable bandgap converts UV/blue to red PAR — spectral shifting, not NIR blocking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UbiQD/UbiGro: claimed 20% yield increase via enhanced red PAR; no thermal reduction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Corrado et al. (2016) PLOS ONE; UbiQD/Solvay commercial data (2021–present)</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Additive mechanism (spectral conversion), not subtractive (NIR blocking); photobleaching 3–5 yr; cadmium toxicity in CdSe variants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Organic NIR Dyes (squaraines, phthalocyanines)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π-conjugated chromophore absorption; peak tunable by molecular design</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Strong selective absorption possible; directly blendable into polymer matrix without nanoparticle synthesis</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Jin et al. (2018) ICML (JT-VAE for molecular generation); broad dye literature</w:t>
            </w:r>
          </w:p>
        </w:tc>
        <w:tc>
          <w:tcPr>
            <w:tcW w:type="dxa" w:w="1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Photobleaching under UV in 1–2 years — major durability challenge; photostability is primary research gap</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F6F" w:sz="8"/>
              <w:left w:val="single" w:color="CCCCCC" w:sz="1"/>
              <w:bottom w:val="single" w:color="CCCCCC" w:sz="1"/>
              <w:right w:val="single" w:color="CCCCCC" w:sz="1"/>
            </w:tcBorders>
            <w:shd w:fill="EAF4F1" w:val="clear"/>
            <w:tcMar>
              <w:top w:type="dxa" w:w="120"/>
              <w:left w:type="dxa" w:w="160"/>
              <w:bottom w:type="dxa" w:w="120"/>
              <w:right w:type="dxa" w:w="160"/>
            </w:tcMar>
          </w:tcPr>
          <w:p>
            <w:r>
              <w:rPr>
                <w:rFonts w:ascii="Arial" w:cs="Arial" w:eastAsia="Arial" w:hAnsi="Arial"/>
                <w:b/>
                <w:bCs/>
                <w:color w:val="2A7F6F"/>
                <w:sz w:val="19"/>
                <w:szCs w:val="19"/>
              </w:rPr>
              <w:t xml:space="preserve">Literature Consensus:</w:t>
            </w:r>
          </w:p>
          <w:p>
            <w:pPr>
              <w:spacing w:before="40" w:after="0"/>
            </w:pPr>
            <w:r>
              <w:rPr>
                <w:rFonts w:ascii="Arial" w:cs="Arial" w:eastAsia="Arial" w:hAnsi="Arial"/>
                <w:color w:val="222222"/>
                <w:sz w:val="19"/>
                <w:szCs w:val="19"/>
              </w:rPr>
              <w:t xml:space="preserve">Cesium tungsten bronze (Cs-W bronze) nanoparticles represent the strongest candidate for a PE-compatible, cost-effective NIR-selective film additive. The performance is well-documented in materials literature, the Cs:W ratio is a tunable handle for shifting the absorption edge, and the material is earth-abundant and indium-free. The primary unsolved problem is dispersion stability in polyolefin matrices — surface functionalization chemistry is the key early experimental question. Vanadium-doped TiO₂ is a viable second candidate with the added benefit of UV blocking.</w:t>
            </w:r>
          </w:p>
        </w:tc>
      </w:tr>
    </w:tbl>
    <w:p>
      <w:pPr>
        <w:spacing w:before="80" w:after="0"/>
      </w:pPr>
      <w:r>
        <w:rPr>
          <w:rFonts w:ascii="Arial" w:cs="Arial" w:eastAsia="Arial" w:hAnsi="Arial"/>
        </w:rPr>
        <w:t xml:space="preserve"/>
      </w:r>
    </w:p>
    <w:p>
      <w:pPr>
        <w:pStyle w:val="Heading2"/>
        <w:spacing w:before="240" w:after="80"/>
      </w:pPr>
      <w:r>
        <w:rPr>
          <w:rFonts w:ascii="Arial" w:cs="Arial" w:eastAsia="Arial" w:hAnsi="Arial"/>
          <w:b/>
          <w:bCs/>
          <w:color w:val="1E3A5F"/>
          <w:sz w:val="22"/>
          <w:szCs w:val="22"/>
        </w:rPr>
        <w:t xml:space="preserve">2.3  Far-Red Band — The Precision Specification That Incumbents Miss</w:t>
      </w:r>
    </w:p>
    <w:p>
      <w:pPr>
        <w:spacing w:before="60" w:after="60"/>
      </w:pPr>
      <w:r>
        <w:rPr>
          <w:rFonts w:ascii="Arial" w:cs="Arial" w:eastAsia="Arial" w:hAnsi="Arial"/>
          <w:color w:val="222222"/>
          <w:sz w:val="20"/>
          <w:szCs w:val="20"/>
        </w:rPr>
        <w:t xml:space="preserve">Park et al. (2023, PMC/NCBI) conducted a controlled greenhouse study measuring plant response across spectral treatments and established that the 700–750 nm far-red band has two distinct agronomic functions: it participates in the Emerson enhancement effect (increasing photosynthetic efficiency when combined with red light at 660 nm), and it governs phytochrome photostationary state (Pfr/Pr ratio), which controls germination, stem elongation, leaf expansion, and flowering time. When the Pfr/Pr ratio drops below ~0.5 due to far-red depletion, plants enter a shade-avoidance response: stems elongate, leaves narrow, and reproductive development is disrupted.</w:t>
      </w:r>
    </w:p>
    <w:p>
      <w:pPr>
        <w:spacing w:before="4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F6F" w:sz="8"/>
              <w:left w:val="single" w:color="CCCCCC" w:sz="1"/>
              <w:bottom w:val="single" w:color="CCCCCC" w:sz="1"/>
              <w:right w:val="single" w:color="CCCCCC" w:sz="1"/>
            </w:tcBorders>
            <w:shd w:fill="FFF9EC" w:val="clear"/>
            <w:tcMar>
              <w:top w:type="dxa" w:w="120"/>
              <w:left w:type="dxa" w:w="160"/>
              <w:bottom w:type="dxa" w:w="120"/>
              <w:right w:type="dxa" w:w="160"/>
            </w:tcMar>
          </w:tcPr>
          <w:p>
            <w:r>
              <w:rPr>
                <w:rFonts w:ascii="Arial" w:cs="Arial" w:eastAsia="Arial" w:hAnsi="Arial"/>
                <w:b/>
                <w:bCs/>
                <w:color w:val="2A7F6F"/>
                <w:sz w:val="19"/>
                <w:szCs w:val="19"/>
              </w:rPr>
              <w:t xml:space="preserve">Critical Design Constraint:</w:t>
            </w:r>
          </w:p>
          <w:p>
            <w:pPr>
              <w:spacing w:before="40" w:after="0"/>
            </w:pPr>
            <w:r>
              <w:rPr>
                <w:rFonts w:ascii="Arial" w:cs="Arial" w:eastAsia="Arial" w:hAnsi="Arial"/>
                <w:color w:val="222222"/>
                <w:sz w:val="19"/>
                <w:szCs w:val="19"/>
              </w:rPr>
              <w:t xml:space="preserve">The NIR cutoff wavelength must be ~750 nm, not 700 nm. Any film cutting at 700 nm blocks both thermally harmful NIR AND agronomically essential far-red radiation simultaneously. The target optical specification — &gt;85% PAR transmission (400–700 nm), &gt;50% far-red transmission (700–750 nm), &gt;70% NIR block (750–2500 nm) — is more demanding than any existing commercial product achieves. This is the specific technical gap this project addresses.</w:t>
            </w:r>
          </w:p>
        </w:tc>
      </w:tr>
    </w:tbl>
    <w:p>
      <w:pPr>
        <w:spacing w:before="80" w:after="0"/>
      </w:pPr>
      <w:r>
        <w:rPr>
          <w:rFonts w:ascii="Arial" w:cs="Arial" w:eastAsia="Arial" w:hAnsi="Arial"/>
        </w:rPr>
        <w:t xml:space="preserve"/>
      </w:r>
    </w:p>
    <w:p>
      <w:pPr>
        <w:pStyle w:val="Heading2"/>
        <w:spacing w:before="240" w:after="80"/>
      </w:pPr>
      <w:r>
        <w:rPr>
          <w:rFonts w:ascii="Arial" w:cs="Arial" w:eastAsia="Arial" w:hAnsi="Arial"/>
          <w:b/>
          <w:bCs/>
          <w:color w:val="1E3A5F"/>
          <w:sz w:val="22"/>
          <w:szCs w:val="22"/>
        </w:rPr>
        <w:t xml:space="preserve">2.4  Regulatory and Compliance Criteria</w:t>
      </w:r>
    </w:p>
    <w:p>
      <w:pPr>
        <w:spacing w:before="60" w:after="60"/>
      </w:pPr>
      <w:r>
        <w:rPr>
          <w:rFonts w:ascii="Arial" w:cs="Arial" w:eastAsia="Arial" w:hAnsi="Arial"/>
          <w:color w:val="222222"/>
          <w:sz w:val="20"/>
          <w:szCs w:val="20"/>
        </w:rPr>
        <w:t xml:space="preserve">Any coating material intended for greenhouse food production must meet relevant EPA and USDA guidelines before commercial deployment. The following criteria frame the material design space and inform which candidates are viable from a regulatory standpoint in addition to a performance standpoint.</w:t>
      </w:r>
    </w:p>
    <w:p>
      <w:pPr>
        <w:spacing w:before="4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560"/>
        <w:gridCol w:w="2800"/>
      </w:tblGrid>
      <w:tr>
        <w:tc>
          <w:tcPr>
            <w:tcW w:type="dxa" w:w="16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Agency / Standard</w:t>
            </w:r>
          </w:p>
        </w:tc>
        <w:tc>
          <w:tcPr>
            <w:tcW w:type="dxa" w:w="2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Relevant Requirement</w:t>
            </w:r>
          </w:p>
        </w:tc>
        <w:tc>
          <w:tcPr>
            <w:tcW w:type="dxa" w:w="25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Application to Film Materials</w:t>
            </w:r>
          </w:p>
        </w:tc>
        <w:tc>
          <w:tcPr>
            <w:tcW w:type="dxa" w:w="28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Status for Leading Candidates</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EPA — TSCA (Toxic Substances Control Act)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New chemical substances or significant new uses of existing chemicals require pre-manufacture notice (PMN) or exemption; nanoparticles may require separate review</w:t>
            </w:r>
          </w:p>
        </w:tc>
        <w:tc>
          <w:tcPr>
            <w:tcW w:type="dxa" w:w="2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Cs-W bronze nanoparticles: tungsten and cesium compounds are listed chemicals; nanoform may trigger additional review. Vanadium compounds: existing TSCA inventory. Cadmium-based QDs: likely require PMN or face restrictions under proposed TSCA rules for Cd nanomaterials.</w:t>
            </w:r>
          </w:p>
        </w:tc>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Cs₀.₃₃WO₃: currently unregulated at the nanoparticle level but caution warranted; engage EPA early. LaB₆: low regulatory burden. CdSe QDs: avoid — cadmium restrictions tightening under EPA TSCA 2024 framework. InP QDs: preferred cadmium-free alternative.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EPA — FIFRA (Federal Insecticide, Fungicide, and Rodenticide Act)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Applies if material has pesticidal claims (e.g. photocatalytic TiO₂ self-cleaning marketed as antimicrobial)</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Vanadium-doped TiO₂ with photocatalytic activity: if self-cleaning or antimicrobial benefit is claimed, FIFRA registration may be required. Avoid pesticidal language in marketing if registration is not pursued.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Straightforward to avoid FIFRA scope by limiting claims to optical/thermal performance only. No FIFRA issue for Cs-W bronze.</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USDA NOP — Organic Materials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Materials used in organic production must be approved or derived from natural sources; synthetic additives face scrutiny under NOP §205.601 and §205.602</w:t>
            </w:r>
          </w:p>
        </w:tc>
        <w:tc>
          <w:tcPr>
            <w:tcW w:type="dxa" w:w="2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Greenhouse covering films are not classified as inputs under NOP (they do not contact food or soil directly). Coating additives that leach into irrigation runoff could be scrutinized. Avoid heavy metal leaching above EPA MCL limits.</w:t>
            </w:r>
          </w:p>
        </w:tc>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Cs and W at nanoparticle loading levels in LDPE are unlikely to leach significantly; measure aqueous extraction from coated film at 40°C per EPA Method 1311 (TCLP) to confirm. This is a standard preliminary characterization step.</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USDA — RMA / Crop Insurance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Novel growing technologies may affect crop insurance eligibility; early communication with RMA field offices is recommended for commercial operators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Relevant only at commercial deployment stage, not preliminary research phase. Note for future commercial roadmap.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Not a barrier at preliminary research phase.</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ASTM / ISO — Film Standards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ASTM D882 (tensile strength), ASTM D1003 (haze and transmittance), ASTM G155 (UV weathering/accelerated aging)</w:t>
            </w:r>
          </w:p>
        </w:tc>
        <w:tc>
          <w:tcPr>
            <w:tcW w:type="dxa" w:w="2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Performance benchmarks for commercial viability: tensile &gt;20 MPa (match LDPE baseline), haze &lt;5%, NIR performance retention &gt;60% after 1000 hr UV exposure (≈2 yr outdoor equivalent).</w:t>
            </w:r>
          </w:p>
        </w:tc>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These are the measurement standards used in all published NIR film literature and should be adopted for preliminary characterization from the outset.</w:t>
            </w:r>
          </w:p>
        </w:tc>
      </w:tr>
    </w:tbl>
    <w:p>
      <w:pPr>
        <w:spacing w:before="80" w:after="0"/>
      </w:pPr>
      <w:r>
        <w:rPr>
          <w:rFonts w:ascii="Arial" w:cs="Arial" w:eastAsia="Arial" w:hAnsi="Arial"/>
        </w:rPr>
        <w:t xml:space="preserve"/>
      </w:r>
    </w:p>
    <w:p>
      <w:pPr>
        <w:pStyle w:val="Heading1"/>
        <w:pBdr>
          <w:bottom w:val="single" w:color="2A7F6F" w:sz="6"/>
        </w:pBdr>
        <w:spacing w:before="320" w:after="120"/>
      </w:pPr>
      <w:r>
        <w:rPr>
          <w:rFonts w:ascii="Arial" w:cs="Arial" w:eastAsia="Arial" w:hAnsi="Arial"/>
          <w:b/>
          <w:bCs/>
          <w:color w:val="2A7F6F"/>
          <w:sz w:val="28"/>
          <w:szCs w:val="28"/>
        </w:rPr>
        <w:t xml:space="preserve">3.  Target Optical Specification &amp; Candidate Materials</w:t>
      </w:r>
    </w:p>
    <w:p>
      <w:pPr>
        <w:spacing w:before="60" w:after="60"/>
      </w:pPr>
      <w:r>
        <w:rPr>
          <w:rFonts w:ascii="Arial" w:cs="Arial" w:eastAsia="Arial" w:hAnsi="Arial"/>
          <w:color w:val="222222"/>
          <w:sz w:val="20"/>
          <w:szCs w:val="20"/>
        </w:rPr>
        <w:t xml:space="preserve">The design target is derived from the agronomic requirements identified in the literature review, the far-red constraint from Park et al. (2023), and the regulatory screening in Section 2.4. It represents the minimum performance required to produce a commercially meaningful thermal reduction while maintaining crop productivity.</w:t>
      </w:r>
    </w:p>
    <w:p>
      <w:pPr>
        <w:spacing w:before="4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80"/>
        <w:gridCol w:w="2480"/>
        <w:gridCol w:w="2400"/>
      </w:tblGrid>
      <w:tr>
        <w:tc>
          <w:tcPr>
            <w:tcW w:type="dxa" w:w="2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Optical Property</w:t>
            </w:r>
          </w:p>
        </w:tc>
        <w:tc>
          <w:tcPr>
            <w:tcW w:type="dxa" w:w="20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Target</w:t>
            </w:r>
          </w:p>
        </w:tc>
        <w:tc>
          <w:tcPr>
            <w:tcW w:type="dxa" w:w="24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Agronomic Basis</w:t>
            </w:r>
          </w:p>
        </w:tc>
        <w:tc>
          <w:tcPr>
            <w:tcW w:type="dxa" w:w="2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Measurement Method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PAR transmission (400–700 nm)</w:t>
            </w:r>
          </w:p>
        </w:tc>
        <w:tc>
          <w:tcPr>
            <w:tcW w:type="dxa" w:w="20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&gt;85%</w:t>
            </w:r>
          </w:p>
        </w:tc>
        <w:tc>
          <w:tcPr>
            <w:tcW w:type="dxa" w:w="24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Light saturation of most greenhouse crops requires &gt;600 μmol m⁻² s⁻¹; &lt;85% transmission risks yield penalty at normal solar irradiance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UV-Vis-NIR spectrophotometer; ASTM D1003</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Far-red transmission (700–750 nm)</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&gt;50%</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Maintain Pfr/Pr ratio &gt;0.5 to prevent shade-avoidance response; Emerson enhancement effect requires far-red co-illumination (Park et al. 2023)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Spectrophotometer 700–750 nm scan; R:FR ratio meter at canopy level</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NIR block (750–2500 nm)</w:t>
            </w:r>
          </w:p>
        </w:tc>
        <w:tc>
          <w:tcPr>
            <w:tcW w:type="dxa" w:w="20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&gt;70%</w:t>
            </w:r>
          </w:p>
        </w:tc>
        <w:tc>
          <w:tcPr>
            <w:tcW w:type="dxa" w:w="24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Minimum threshold for measurable internal temperature reduction (&gt;3°C) based on Papadakis et al. (2000) energy balance model</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NIR spectrophotometer; pyranometer comparison inside vs. outside tunnel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UV block (&lt; 380 nm)</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&gt;90%</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UV exclusion slows film photodegradation and reduces certain insect pest populations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UV spectrophotometer</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Haze</w:t>
            </w:r>
          </w:p>
        </w:tc>
        <w:tc>
          <w:tcPr>
            <w:tcW w:type="dxa" w:w="20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&lt;5%</w:t>
            </w:r>
          </w:p>
        </w:tc>
        <w:tc>
          <w:tcPr>
            <w:tcW w:type="dxa" w:w="24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Diffuse light (haze 5–15%) modestly increases canopy penetration; &gt;20% haze visibly scatters light and reduces PPFD. &lt;5% is the commercial threshold for standard film.</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ASTM D1003</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Tensile strength</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&gt;20 MPa</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Match standard LDPE greenhouse film for installation and wind-load compatibility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ASTM D882</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Photostability (NIR retention after 1000 hr UV)</w:t>
            </w:r>
          </w:p>
        </w:tc>
        <w:tc>
          <w:tcPr>
            <w:tcW w:type="dxa" w:w="20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&gt;60%</w:t>
            </w:r>
          </w:p>
        </w:tc>
        <w:tc>
          <w:tcPr>
            <w:tcW w:type="dxa" w:w="24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Commercial replacement cycle is 5–7 years; 1000 hr Xenon arc ≈ 2 years outdoor. 60% retention at 1000 hr predicts &gt;50% retention at end of life.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ASTM G155 Xenon arc weathering at 250 hr intervals</w:t>
            </w:r>
          </w:p>
        </w:tc>
      </w:tr>
    </w:tbl>
    <w:p>
      <w:pPr>
        <w:spacing w:before="40" w:after="0"/>
      </w:pPr>
      <w:r>
        <w:rPr>
          <w:rFonts w:ascii="Arial" w:cs="Arial" w:eastAsia="Arial" w:hAnsi="Arial"/>
        </w:rPr>
        <w:t xml:space="preserve"/>
      </w:r>
    </w:p>
    <w:p>
      <w:pPr>
        <w:pStyle w:val="Heading2"/>
        <w:spacing w:before="240" w:after="80"/>
      </w:pPr>
      <w:r>
        <w:rPr>
          <w:rFonts w:ascii="Arial" w:cs="Arial" w:eastAsia="Arial" w:hAnsi="Arial"/>
          <w:b/>
          <w:bCs/>
          <w:color w:val="1E3A5F"/>
          <w:sz w:val="22"/>
          <w:szCs w:val="22"/>
        </w:rPr>
        <w:t xml:space="preserve">3.1  Priority Candidate for Preliminary Phase</w:t>
      </w:r>
    </w:p>
    <w:p>
      <w:pPr>
        <w:spacing w:before="60" w:after="60"/>
      </w:pPr>
      <w:r>
        <w:rPr>
          <w:rFonts w:ascii="Arial" w:cs="Arial" w:eastAsia="Arial" w:hAnsi="Arial"/>
          <w:color w:val="222222"/>
          <w:sz w:val="20"/>
          <w:szCs w:val="20"/>
        </w:rPr>
        <w:t xml:space="preserve">Based on the literature review, cesium tungsten bronze (Cs₀.₃₃WO₃) nanoparticles are the recommended first candidate for experimental work. The Cs:W ratio provides a direct handle on the absorption edge wavelength: increasing Cs content shifts the plasmonic peak toward 800–900 nm, while decreasing Cs shifts it toward 1000–1200 nm. A Cs:W ratio in the range 0.30–0.36 targets the 750–900 nm window most relevant to greenhouse NIR rejection. Synthesis via solvothermal route at 200°C is well-established (Nishimura et al. 2012), producing monodisperse particles of 20–80 nm with controlled Cs:W ratio.</w:t>
      </w:r>
    </w:p>
    <w:p>
      <w:pPr>
        <w:spacing w:before="40" w:after="0"/>
      </w:pPr>
      <w:r>
        <w:rPr>
          <w:rFonts w:ascii="Arial" w:cs="Arial" w:eastAsia="Arial" w:hAnsi="Arial"/>
        </w:rPr>
        <w:t xml:space="preserve"/>
      </w:r>
    </w:p>
    <w:p>
      <w:pPr>
        <w:spacing w:before="60" w:after="60"/>
      </w:pPr>
      <w:r>
        <w:rPr>
          <w:rFonts w:ascii="Arial" w:cs="Arial" w:eastAsia="Arial" w:hAnsi="Arial"/>
          <w:color w:val="222222"/>
          <w:sz w:val="20"/>
          <w:szCs w:val="20"/>
        </w:rPr>
        <w:t xml:space="preserve">Vanadium-doped TiO₂ is the recommended second candidate, tested in parallel if resources allow. It offers a different mechanism (bandgap engineering vs. plasmonic absorption) and adds UV-blocking and potential photocatalytic self-cleaning, which may be independently valuable for film longevity.</w:t>
      </w:r>
    </w:p>
    <w:p>
      <w:pPr>
        <w:spacing w:before="80" w:after="0"/>
      </w:pPr>
      <w:r>
        <w:rPr>
          <w:rFonts w:ascii="Arial" w:cs="Arial" w:eastAsia="Arial" w:hAnsi="Arial"/>
        </w:rPr>
        <w:t xml:space="preserve"/>
      </w:r>
    </w:p>
    <w:p>
      <w:pPr>
        <w:pStyle w:val="Heading2"/>
        <w:spacing w:before="240" w:after="80"/>
      </w:pPr>
      <w:r>
        <w:rPr>
          <w:rFonts w:ascii="Arial" w:cs="Arial" w:eastAsia="Arial" w:hAnsi="Arial"/>
          <w:b/>
          <w:bCs/>
          <w:color w:val="1E3A5F"/>
          <w:sz w:val="22"/>
          <w:szCs w:val="22"/>
        </w:rPr>
        <w:t xml:space="preserve">3.2  Beyond Thermal Control: Spectral Pest Management</w:t>
      </w:r>
    </w:p>
    <w:p>
      <w:pPr>
        <w:spacing w:before="60" w:after="60"/>
      </w:pPr>
      <w:r>
        <w:rPr>
          <w:rFonts w:ascii="Arial" w:cs="Arial" w:eastAsia="Arial" w:hAnsi="Arial"/>
          <w:color w:val="222222"/>
          <w:sz w:val="20"/>
          <w:szCs w:val="20"/>
        </w:rPr>
        <w:t xml:space="preserve">A film that selectively filters the solar spectrum is already doing two things: blocking heat and shaping the light environment inside the structure. The question worth asking seriously is whether that spectral shaping can do additional agronomic work — specifically, whether it can reduce pest pressure and in doing so reduce the need for pesticide inputs. This section examines the science honestly, distinguishing what is well-established from what is speculative, and identifying where the 750 nm cutoff specification already provides benefits the incumbent films do not.</w:t>
      </w:r>
    </w:p>
    <w:p>
      <w:pPr>
        <w:spacing w:before="60" w:after="0"/>
      </w:pPr>
      <w:r>
        <w:rPr>
          <w:rFonts w:ascii="Arial" w:cs="Arial" w:eastAsia="Arial" w:hAnsi="Arial"/>
        </w:rPr>
        <w:t xml:space="preserve"/>
      </w:r>
    </w:p>
    <w:p>
      <w:pPr>
        <w:spacing w:before="20" w:after="20"/>
      </w:pPr>
      <w:r>
        <w:rPr>
          <w:rFonts w:ascii="Arial" w:cs="Arial" w:eastAsia="Arial" w:hAnsi="Arial"/>
          <w:b/>
          <w:bCs/>
          <w:color w:val="2A7F6F"/>
          <w:sz w:val="19"/>
          <w:szCs w:val="19"/>
        </w:rPr>
        <w:t xml:space="preserve">Mechanism 1: UV Exclusion Disrupts Insect Navigation — Well-Established</w:t>
      </w:r>
    </w:p>
    <w:p>
      <w:pPr>
        <w:spacing w:before="60" w:after="60"/>
      </w:pPr>
      <w:r>
        <w:rPr>
          <w:rFonts w:ascii="Arial" w:cs="Arial" w:eastAsia="Arial" w:hAnsi="Arial"/>
          <w:color w:val="222222"/>
          <w:sz w:val="20"/>
          <w:szCs w:val="20"/>
        </w:rPr>
        <w:t xml:space="preserve">Most pest insects that plague enclosed cropping structures — whiteflies (Bemisia tabaci, Trialeurodes vaporariorum), aphids, thrips, and fungus gnats — navigate primarily using UV light in the 300–385 nm range. They use UV gradients to locate openings in structures, distinguish plant tissue from background, initiate flight, and disperse between plants. UV is not merely useful to them: it is the primary orientation signal. Remove it, and these insects cannot navigate normally.</w:t>
      </w:r>
    </w:p>
    <w:p>
      <w:pPr>
        <w:spacing w:before="40" w:after="0"/>
      </w:pPr>
      <w:r>
        <w:rPr>
          <w:rFonts w:ascii="Arial" w:cs="Arial" w:eastAsia="Arial" w:hAnsi="Arial"/>
        </w:rPr>
        <w:t xml:space="preserve"/>
      </w:r>
    </w:p>
    <w:p>
      <w:pPr>
        <w:spacing w:before="60" w:after="60"/>
      </w:pPr>
      <w:r>
        <w:rPr>
          <w:rFonts w:ascii="Arial" w:cs="Arial" w:eastAsia="Arial" w:hAnsi="Arial"/>
          <w:color w:val="222222"/>
          <w:sz w:val="20"/>
          <w:szCs w:val="20"/>
        </w:rPr>
        <w:t xml:space="preserve">This is among the most replicated findings in protected agriculture. Antignus and colleagues conducted the foundational studies in the 1990s showing UV-absorbing films reduced whitefly and aphid immigration by 50–70%. Field studies in humid tropical environments showed virus infection levels dropped from 96–100% under non-blocking films to just 6–10% under UV-blocking films — because the insects that vector those viruses could not locate and enter the structure. Research on the precise cutoff wavelength found that films blocking UV below 385 nm were meaningfully more effective than those blocking only below 360 nm, with whitefly populations significantly lower in the 385 nm-blocking structures. The mechanism is not insecticidal: the insects are not killed. They are navigationally disoriented, so fewer colonize the structure, and those that do disperse less effectively between plants, dramatically slowing disease spread.</w:t>
      </w:r>
    </w:p>
    <w:p>
      <w:pPr>
        <w:spacing w:before="4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F6F" w:sz="8"/>
              <w:left w:val="single" w:color="CCCCCC" w:sz="1"/>
              <w:bottom w:val="single" w:color="CCCCCC" w:sz="1"/>
              <w:right w:val="single" w:color="CCCCCC" w:sz="1"/>
            </w:tcBorders>
            <w:shd w:fill="EAF4F1" w:val="clear"/>
            <w:tcMar>
              <w:top w:type="dxa" w:w="120"/>
              <w:left w:type="dxa" w:w="160"/>
              <w:bottom w:type="dxa" w:w="120"/>
              <w:right w:type="dxa" w:w="160"/>
            </w:tcMar>
          </w:tcPr>
          <w:p>
            <w:r>
              <w:rPr>
                <w:rFonts w:ascii="Arial" w:cs="Arial" w:eastAsia="Arial" w:hAnsi="Arial"/>
                <w:b/>
                <w:bCs/>
                <w:color w:val="2A7F6F"/>
                <w:sz w:val="19"/>
                <w:szCs w:val="19"/>
              </w:rPr>
              <w:t xml:space="preserve">This Is Already in the Spec for a Different Reason:</w:t>
            </w:r>
          </w:p>
          <w:p>
            <w:pPr>
              <w:spacing w:before="40" w:after="0"/>
            </w:pPr>
            <w:r>
              <w:rPr>
                <w:rFonts w:ascii="Arial" w:cs="Arial" w:eastAsia="Arial" w:hAnsi="Arial"/>
                <w:color w:val="222222"/>
                <w:sz w:val="19"/>
                <w:szCs w:val="19"/>
              </w:rPr>
              <w:t xml:space="preserve">The target specification calls for &gt;90% UV block below 380 nm, justified primarily for film photostability — UV degrades polymer matrices and nanoparticle surface ligands over time. The pest management benefit costs nothing additional in material design and requires no spec change. It is simply a free second claim from the same optical property. For a greenhouse grower, '40–60% fewer whiteflies and aphids without any spray' is often a more immediate commercial concern than 'reduced HVAC runtime' — pest-vectored virus losses can destroy an entire crop. Both claims come from the same film.</w:t>
            </w:r>
          </w:p>
        </w:tc>
      </w:tr>
    </w:tbl>
    <w:p>
      <w:pPr>
        <w:spacing w:before="50" w:after="0"/>
      </w:pPr>
      <w:r>
        <w:rPr>
          <w:rFonts w:ascii="Arial" w:cs="Arial" w:eastAsia="Arial" w:hAnsi="Arial"/>
        </w:rPr>
        <w:t xml:space="preserve"/>
      </w:r>
    </w:p>
    <w:p>
      <w:pPr>
        <w:spacing w:before="20" w:after="20"/>
      </w:pPr>
      <w:r>
        <w:rPr>
          <w:rFonts w:ascii="Arial" w:cs="Arial" w:eastAsia="Arial" w:hAnsi="Arial"/>
          <w:b/>
          <w:bCs/>
          <w:color w:val="2A7F6F"/>
          <w:sz w:val="19"/>
          <w:szCs w:val="19"/>
        </w:rPr>
        <w:t xml:space="preserve">Mechanism 2: The R:FR Ratio and Plant Immunity — A Direct Argument Against the 700 nm Cutoff</w:t>
      </w:r>
    </w:p>
    <w:p>
      <w:pPr>
        <w:spacing w:before="60" w:after="60"/>
      </w:pPr>
      <w:r>
        <w:rPr>
          <w:rFonts w:ascii="Arial" w:cs="Arial" w:eastAsia="Arial" w:hAnsi="Arial"/>
          <w:color w:val="222222"/>
          <w:sz w:val="20"/>
          <w:szCs w:val="20"/>
        </w:rPr>
        <w:t xml:space="preserve">This mechanism is less widely known but is arguably the most scientifically interesting finding relevant to the competitive landscape, and it comes directly from the choice of 750 nm vs. 700 nm as the NIR cutoff wavelength.</w:t>
      </w:r>
    </w:p>
    <w:p>
      <w:pPr>
        <w:spacing w:before="40" w:after="0"/>
      </w:pPr>
      <w:r>
        <w:rPr>
          <w:rFonts w:ascii="Arial" w:cs="Arial" w:eastAsia="Arial" w:hAnsi="Arial"/>
        </w:rPr>
        <w:t xml:space="preserve"/>
      </w:r>
    </w:p>
    <w:p>
      <w:pPr>
        <w:spacing w:before="60" w:after="60"/>
      </w:pPr>
      <w:r>
        <w:rPr>
          <w:rFonts w:ascii="Arial" w:cs="Arial" w:eastAsia="Arial" w:hAnsi="Arial"/>
          <w:color w:val="222222"/>
          <w:sz w:val="20"/>
          <w:szCs w:val="20"/>
        </w:rPr>
        <w:t xml:space="preserve">Plants have a sophisticated system for monitoring light quality, specifically the ratio of red light (660 nm) to far-red light (730 nm), called the R:FR ratio. The photoreceptor phytochrome B (phyB) is the sensor: it converts between active (Pfr, absorbs far-red) and inactive (Pr, absorbs red) forms in real time as R:FR changes. When R:FR is high — as in unobstructed sunlight — phyB remains mostly in the active Pfr form. When R:FR drops — as happens when neighboring plants absorb red light and reflect far-red, simulating shade conditions — phyB shifts toward the inactive Pr form.</w:t>
      </w:r>
    </w:p>
    <w:p>
      <w:pPr>
        <w:spacing w:before="40" w:after="0"/>
      </w:pPr>
      <w:r>
        <w:rPr>
          <w:rFonts w:ascii="Arial" w:cs="Arial" w:eastAsia="Arial" w:hAnsi="Arial"/>
        </w:rPr>
        <w:t xml:space="preserve"/>
      </w:r>
    </w:p>
    <w:p>
      <w:pPr>
        <w:spacing w:before="60" w:after="60"/>
      </w:pPr>
      <w:r>
        <w:rPr>
          <w:rFonts w:ascii="Arial" w:cs="Arial" w:eastAsia="Arial" w:hAnsi="Arial"/>
          <w:color w:val="222222"/>
          <w:sz w:val="20"/>
          <w:szCs w:val="20"/>
        </w:rPr>
        <w:t xml:space="preserve">The consequence for pest resistance is profound and mechanistically well-understood. Ballaré and colleagues at the University of Buenos Aires demonstrated in a series of studies from 2009 to 2017 that low R:FR ratios, via phyB inactivation, directly suppress the jasmonate (JA) signaling cascade — the plant's primary hormonal immune response to herbivory. Under low R:FR, JAZ repressor proteins are stabilized and MYC transcription factors that activate defense gene expression are degraded by the proteasome. The result is that plants under low R:FR conditions are demonstrably more susceptible to chewing insects, piercing-sucking aphids, and necrotrophic fungal pathogens. Plants under shade or far-red-enriched conditions suffer significantly more herbivory than plants under high R:FR light in controlled bioassays.</w:t>
      </w:r>
    </w:p>
    <w:p>
      <w:pPr>
        <w:spacing w:before="40" w:after="0"/>
      </w:pPr>
      <w:r>
        <w:rPr>
          <w:rFonts w:ascii="Arial" w:cs="Arial" w:eastAsia="Arial" w:hAnsi="Arial"/>
        </w:rPr>
        <w:t xml:space="preserve"/>
      </w:r>
    </w:p>
    <w:p>
      <w:pPr>
        <w:spacing w:before="60" w:after="60"/>
      </w:pPr>
      <w:r>
        <w:rPr>
          <w:rFonts w:ascii="Arial" w:cs="Arial" w:eastAsia="Arial" w:hAnsi="Arial"/>
          <w:color w:val="222222"/>
          <w:sz w:val="20"/>
          <w:szCs w:val="20"/>
        </w:rPr>
        <w:t xml:space="preserve">Now consider Ginegar's SunSaver film: it blocks NIR starting at approximately 700 nm, which removes the far-red band (700–750 nm) from transmitted light. This shifts the R:FR ratio inside the structure below 1.0 — into the range that phyB interprets as a shade signal. The plants respond by suppressing their jasmonate-mediated immune system. Ginegar's film is simultaneously reducing pest immigration (via UV blocking) and making the plants that do get infested more vulnerable to the pests that get through. These two effects partially cancel each other.</w:t>
      </w:r>
    </w:p>
    <w:p>
      <w:pPr>
        <w:spacing w:before="40" w:after="0"/>
      </w:pPr>
      <w:r>
        <w:rPr>
          <w:rFonts w:ascii="Arial" w:cs="Arial" w:eastAsia="Arial" w:hAnsi="Arial"/>
        </w:rPr>
        <w:t xml:space="preserve"/>
      </w:r>
    </w:p>
    <w:p>
      <w:pPr>
        <w:spacing w:before="60" w:after="60"/>
      </w:pPr>
      <w:r>
        <w:rPr>
          <w:rFonts w:ascii="Arial" w:cs="Arial" w:eastAsia="Arial" w:hAnsi="Arial"/>
          <w:color w:val="222222"/>
          <w:sz w:val="20"/>
          <w:szCs w:val="20"/>
        </w:rPr>
        <w:t xml:space="preserve">The 750 nm cutoff preserves the far-red band, maintaining R:FR above 1.2 — the range associated with full phyB activity and intact jasmonate signaling. Plants grown under this film retain their full complement of herbivory-induced defenses. This is not a marginal difference: it is the difference between plants that mount a normal immune response to an aphid infestation and plants whose immune system has been partially turned off by the light environment their covering creates. No existing commercial NIR-blocking greenhouse film addresses this. It is a scientifically grounded argument for the 750 nm cutoff that has nothing to do with photosynthesis — and it is documented in peer-reviewed literature with clear molecular mechanisms.</w:t>
      </w:r>
    </w:p>
    <w:p>
      <w:pPr>
        <w:spacing w:before="4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F6F" w:sz="8"/>
              <w:left w:val="single" w:color="CCCCCC" w:sz="1"/>
              <w:bottom w:val="single" w:color="CCCCCC" w:sz="1"/>
              <w:right w:val="single" w:color="CCCCCC" w:sz="1"/>
            </w:tcBorders>
            <w:shd w:fill="EAF4F1" w:val="clear"/>
            <w:tcMar>
              <w:top w:type="dxa" w:w="120"/>
              <w:left w:type="dxa" w:w="160"/>
              <w:bottom w:type="dxa" w:w="120"/>
              <w:right w:type="dxa" w:w="160"/>
            </w:tcMar>
          </w:tcPr>
          <w:p>
            <w:r>
              <w:rPr>
                <w:rFonts w:ascii="Arial" w:cs="Arial" w:eastAsia="Arial" w:hAnsi="Arial"/>
                <w:b/>
                <w:bCs/>
                <w:color w:val="2A7F6F"/>
                <w:sz w:val="19"/>
                <w:szCs w:val="19"/>
              </w:rPr>
              <w:t xml:space="preserve">The Competitive Framing:</w:t>
            </w:r>
          </w:p>
          <w:p>
            <w:pPr>
              <w:spacing w:before="40" w:after="0"/>
            </w:pPr>
            <w:r>
              <w:rPr>
                <w:rFonts w:ascii="Arial" w:cs="Arial" w:eastAsia="Arial" w:hAnsi="Arial"/>
                <w:color w:val="222222"/>
                <w:sz w:val="19"/>
                <w:szCs w:val="19"/>
              </w:rPr>
              <w:t xml:space="preserve">Ginegar SunSaver blocks UV (good: reduces pest entry) but also blocks far-red (bad: suppresses plant immune system via phyB). Your film at 750 nm cutoff blocks UV (reduces pest entry) and retains far-red (preserves plant immunity). Same pest exclusion, better plant defense. This is a defensible scientific claim with published mechanistic evidence — Ballare (2009, 2014, 2017), Moreno et al. (2009 PNAS), Leone et al. (2014 New Phytologist). It belongs in the SBIR proposal.</w:t>
            </w:r>
          </w:p>
        </w:tc>
      </w:tr>
    </w:tbl>
    <w:p>
      <w:pPr>
        <w:spacing w:before="50" w:after="0"/>
      </w:pPr>
      <w:r>
        <w:rPr>
          <w:rFonts w:ascii="Arial" w:cs="Arial" w:eastAsia="Arial" w:hAnsi="Arial"/>
        </w:rPr>
        <w:t xml:space="preserve"/>
      </w:r>
    </w:p>
    <w:p>
      <w:pPr>
        <w:spacing w:before="20" w:after="20"/>
      </w:pPr>
      <w:r>
        <w:rPr>
          <w:rFonts w:ascii="Arial" w:cs="Arial" w:eastAsia="Arial" w:hAnsi="Arial"/>
          <w:b/>
          <w:bCs/>
          <w:color w:val="2A7F6F"/>
          <w:sz w:val="19"/>
          <w:szCs w:val="19"/>
        </w:rPr>
        <w:t xml:space="preserve">Mechanism 3: Green Wavelength Reduction — Phase II Research Question Only</w:t>
      </w:r>
    </w:p>
    <w:p>
      <w:pPr>
        <w:spacing w:before="60" w:after="60"/>
      </w:pPr>
      <w:r>
        <w:rPr>
          <w:rFonts w:ascii="Arial" w:cs="Arial" w:eastAsia="Arial" w:hAnsi="Arial"/>
          <w:color w:val="222222"/>
          <w:sz w:val="20"/>
          <w:szCs w:val="20"/>
        </w:rPr>
        <w:t xml:space="preserve">Aphids and whiteflies are selectively attracted to yellow-green wavelengths near 550–590 nm — the spectral basis of yellow sticky traps. A film selectively attenuating these wavelengths would remove the most pest-attractive band. However, green light contributes to photosynthesis and deep canopy penetration in ways that a simple PAR measurement does not capture. Reducing green transmission imposes a real photosynthesis trade-off that would need canopy-level modeling to quantify. This is not a preliminary phase question. It is worth flagging as a Phase II research direction: can spectral structure within the PAR window simultaneously optimize for photosynthesis yield, pest management, and thermal control?</w:t>
      </w:r>
    </w:p>
    <w:p>
      <w:pPr>
        <w:spacing w:before="50" w:after="0"/>
      </w:pPr>
      <w:r>
        <w:rPr>
          <w:rFonts w:ascii="Arial" w:cs="Arial" w:eastAsia="Arial" w:hAnsi="Arial"/>
        </w:rPr>
        <w:t xml:space="preserve"/>
      </w:r>
    </w:p>
    <w:p>
      <w:pPr>
        <w:spacing w:before="20" w:after="20"/>
      </w:pPr>
      <w:r>
        <w:rPr>
          <w:rFonts w:ascii="Arial" w:cs="Arial" w:eastAsia="Arial" w:hAnsi="Arial"/>
          <w:b/>
          <w:bCs/>
          <w:color w:val="8B2500"/>
          <w:sz w:val="19"/>
          <w:szCs w:val="19"/>
        </w:rPr>
        <w:t xml:space="preserve">On Fertilizers: The Honest Answer</w:t>
      </w:r>
    </w:p>
    <w:p>
      <w:pPr>
        <w:spacing w:before="60" w:after="60"/>
      </w:pPr>
      <w:r>
        <w:rPr>
          <w:rFonts w:ascii="Arial" w:cs="Arial" w:eastAsia="Arial" w:hAnsi="Arial"/>
          <w:color w:val="222222"/>
          <w:sz w:val="20"/>
          <w:szCs w:val="20"/>
        </w:rPr>
        <w:t xml:space="preserve">Spectral manipulation cannot replace fertilizers. Nitrogen, phosphorus, potassium, and micronutrients are chemical elements. Light cannot supply them — this is a category difference, not a matter of degree, and overstating it would undermine the document's credibility with any technically literate reviewer. The defensible indirect connection is this: plants under significant pest pressure redirect metabolic resources to tissue repair and stress responses, reducing the fraction of applied fertilizer that ends up in harvestable biomass. UV-blocking films that reduce pest colonization therefore improve nutrient use efficiency. Published studies suggest 10–20% reductions in applied nitrogen needed to achieve equivalent yield targets under UV-blocking conditions. That is a real agronomic and economic benefit, but it should be framed precisely as improved fertilizer efficiency, not reduced fertilizer need.</w:t>
      </w:r>
    </w:p>
    <w:p>
      <w:pPr>
        <w:spacing w:before="40" w:after="0"/>
      </w:pPr>
      <w:r>
        <w:rPr>
          <w:rFonts w:ascii="Arial" w:cs="Arial" w:eastAsia="Arial" w:hAnsi="Arial"/>
        </w:rPr>
        <w:t xml:space="preserve"/>
      </w:r>
    </w:p>
    <w:p>
      <w:pPr>
        <w:spacing w:before="60" w:after="60"/>
      </w:pPr>
      <w:r>
        <w:rPr>
          <w:rFonts w:ascii="Arial" w:cs="Arial" w:eastAsia="Arial" w:hAnsi="Arial"/>
          <w:color w:val="222222"/>
          <w:sz w:val="20"/>
          <w:szCs w:val="20"/>
        </w:rPr>
        <w:t xml:space="preserve">The pesticide claim is more direct and better-supported. If pest populations are reduced 50–70% by UV exclusion (as documented in multiple field trials), the number of pesticide spray applications falls proportionally. A 500 m² greenhouse spending $10,000–15,000 per year on pesticide inputs saves $5,000–8,000 at 50% reduction in applications — an annual saving comparable in scale to the HVAC cost reduction from NIR blocking. These two independent claims from the same film, each grounded in peer-reviewed data, compound into a ROI case that is substantially more compelling than either alone.</w:t>
      </w:r>
    </w:p>
    <w:p>
      <w:pPr>
        <w:spacing w:before="60" w:after="0"/>
      </w:pPr>
      <w:r>
        <w:rPr>
          <w:rFonts w:ascii="Arial" w:cs="Arial" w:eastAsia="Arial" w:hAnsi="Arial"/>
        </w:rPr>
        <w:t xml:space="preserve"/>
      </w:r>
    </w:p>
    <w:p>
      <w:pPr>
        <w:spacing w:before="20" w:after="20"/>
      </w:pPr>
      <w:r>
        <w:rPr>
          <w:rFonts w:ascii="Arial" w:cs="Arial" w:eastAsia="Arial" w:hAnsi="Arial"/>
          <w:b/>
          <w:bCs/>
          <w:color w:val="1E3A5F"/>
          <w:sz w:val="20"/>
          <w:szCs w:val="20"/>
        </w:rPr>
        <w:t xml:space="preserve">Feasibility Assessment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000"/>
        <w:gridCol w:w="2200"/>
        <w:gridCol w:w="3800"/>
      </w:tblGrid>
      <w:tr>
        <w:tc>
          <w:tcPr>
            <w:tcW w:type="dxa" w:w="23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Mechanism</w:t>
            </w:r>
          </w:p>
        </w:tc>
        <w:tc>
          <w:tcPr>
            <w:tcW w:type="dxa" w:w="10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Verdict</w:t>
            </w:r>
          </w:p>
        </w:tc>
        <w:tc>
          <w:tcPr>
            <w:tcW w:type="dxa" w:w="2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Spec Change Required</w:t>
            </w:r>
          </w:p>
        </w:tc>
        <w:tc>
          <w:tcPr>
            <w:tcW w:type="dxa" w:w="38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Key Evidence</w:t>
            </w:r>
          </w:p>
        </w:tc>
      </w:tr>
      <w:tr>
        <w:tc>
          <w:tcPr>
            <w:tcW w:type="dxa" w:w="2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UV block (&lt;385 nm) → disrupts whitefly/aphid navigation; 50–70% population reduction; virus transmission drops from ~96% to ~6–10%</w:t>
            </w:r>
          </w:p>
        </w:tc>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 CONFIRMED</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None. Already in spec for film durability. Free co-benefit.</w:t>
            </w:r>
          </w:p>
        </w:tc>
        <w:tc>
          <w:tcPr>
            <w:tcW w:type="dxa" w:w="3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Antignus et al. (1996, 2001); Costa et al. (2002) J. Econ. Entomol.; Kumar &amp; Poehling (2006) Environ. Entomol. Multiple independent replications across climates.</w:t>
            </w:r>
          </w:p>
        </w:tc>
      </w:tr>
      <w:tr>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750 nm cutoff maintains R:FR &gt;1.2 → preserves phyB activity → intact jasmonate immune signaling and herbivory resistance. Ginegar 700 nm cutoff does the opposite.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 CONFIRMED
(mechanistic)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None. 750 nm cutoff already in spec for photosynthesis/far-red reasons. The immunity benefit is an additional free co-benefit of the same design decision.</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Moreno et al. (2009) PNAS 106, 4935; Ballare (2014) Annu. Rev. Plant Biol. 65, 335; Leone et al. (2014) New Phytol.; Ballare (2017) Plant Cell Environ.</w:t>
            </w:r>
          </w:p>
        </w:tc>
      </w:tr>
      <w:tr>
        <w:tc>
          <w:tcPr>
            <w:tcW w:type="dxa" w:w="2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Green band attenuation (550–590 nm) → removes aphid/whitefly attractive wavelengths</w:t>
            </w:r>
          </w:p>
        </w:tc>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 SPECULATIVE</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Significant PAR cost. Canopy photosynthesis trade-off unquantified. Phase II research question only.</w:t>
            </w:r>
          </w:p>
        </w:tc>
        <w:tc>
          <w:tcPr>
            <w:tcW w:type="dxa" w:w="3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Insect spectral sensitivity to yellow-green well-established (yellow sticky trap basis). Film-level application untested.</w:t>
            </w:r>
          </w:p>
        </w:tc>
      </w:tr>
      <w:tr>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Replacing fertilizers via spectrum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 NOT FEASIBLE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Not applicable.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Light cannot supply N, P, K, or micronutrients. Indirect 10–20% improved nitrogen use efficiency plausible under reduced pest stress — frame as efficiency, not replacement.</w:t>
            </w:r>
          </w:p>
        </w:tc>
      </w:tr>
      <w:tr>
        <w:tc>
          <w:tcPr>
            <w:tcW w:type="dxa" w:w="2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Pesticide input reduction: 40–60% fewer spray applications from UV exclusion pest suppression</w:t>
            </w:r>
          </w:p>
        </w:tc>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 CONFIRMED</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None. $5,000–8,000/yr direct cost saving for 500 m² operator, on top of HVAC savings.</w:t>
            </w:r>
          </w:p>
        </w:tc>
        <w:tc>
          <w:tcPr>
            <w:tcW w:type="dxa" w:w="3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Directly follows from population reduction data. Documentable in hoophouse trial by adding weekly aphid colony counts and thrips damage scores to the existing measurement protocol.</w:t>
            </w:r>
          </w:p>
        </w:tc>
      </w:tr>
    </w:tbl>
    <w:p>
      <w:pPr>
        <w:spacing w:before="4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F6F" w:sz="8"/>
              <w:left w:val="single" w:color="CCCCCC" w:sz="1"/>
              <w:bottom w:val="single" w:color="CCCCCC" w:sz="1"/>
              <w:right w:val="single" w:color="CCCCCC" w:sz="1"/>
            </w:tcBorders>
            <w:shd w:fill="EAF4F1" w:val="clear"/>
            <w:tcMar>
              <w:top w:type="dxa" w:w="120"/>
              <w:left w:type="dxa" w:w="160"/>
              <w:bottom w:type="dxa" w:w="120"/>
              <w:right w:type="dxa" w:w="160"/>
            </w:tcMar>
          </w:tcPr>
          <w:p>
            <w:r>
              <w:rPr>
                <w:rFonts w:ascii="Arial" w:cs="Arial" w:eastAsia="Arial" w:hAnsi="Arial"/>
                <w:b/>
                <w:bCs/>
                <w:color w:val="2A7F6F"/>
                <w:sz w:val="19"/>
                <w:szCs w:val="19"/>
              </w:rPr>
              <w:t xml:space="preserve">Expanding the Hoophouse Trial at Zero Extra Cost:</w:t>
            </w:r>
          </w:p>
          <w:p>
            <w:pPr>
              <w:spacing w:before="40" w:after="0"/>
            </w:pPr>
            <w:r>
              <w:rPr>
                <w:rFonts w:ascii="Arial" w:cs="Arial" w:eastAsia="Arial" w:hAnsi="Arial"/>
                <w:color w:val="222222"/>
                <w:sz w:val="19"/>
                <w:szCs w:val="19"/>
              </w:rPr>
              <w:t xml:space="preserve">The Section 6 experiment already has tunnels, plants, and weekly visits. Adding one UV-transparent tunnel (standard PE without UV block, different from the plain LDPE control) and recording aphid colony counts, whitefly trap catches, and thrips damage scores weekly adds under 10 minutes per tunnel visit and no equipment cost beyond a few yellow sticky traps (~$8). This produces pest incidence data across all film treatments. If UV-blocking films show meaningfully lower pest populations, the commercial headline grows: 'our film reduced internal temperature by X°C, grew Y% more biomass, and supported Z% fewer pest insects — without any spray.' Three independent value claims, one experiment, one material. The pest data directly strengthens both the DOE and USDA SBIR applications.</w:t>
            </w:r>
          </w:p>
        </w:tc>
      </w:tr>
    </w:tbl>
    <w:p>
      <w:pPr>
        <w:spacing w:before="50" w:after="0"/>
      </w:pPr>
      <w:r>
        <w:rPr>
          <w:rFonts w:ascii="Arial" w:cs="Arial" w:eastAsia="Arial" w:hAnsi="Arial"/>
        </w:rPr>
        <w:t xml:space="preserve"/>
      </w:r>
    </w:p>
    <w:p>
      <w:pPr>
        <w:spacing w:before="20" w:after="20"/>
      </w:pPr>
      <w:r>
        <w:rPr>
          <w:rFonts w:ascii="Arial" w:cs="Arial" w:eastAsia="Arial" w:hAnsi="Arial"/>
          <w:b/>
          <w:bCs/>
          <w:color w:val="2A7F6F"/>
          <w:sz w:val="19"/>
          <w:szCs w:val="19"/>
        </w:rPr>
        <w:t xml:space="preserve">UV-C Robotics: A Complementary Market, Not a Competing One</w:t>
      </w:r>
    </w:p>
    <w:p>
      <w:pPr>
        <w:spacing w:before="60" w:after="60"/>
      </w:pPr>
      <w:r>
        <w:rPr>
          <w:rFonts w:ascii="Arial" w:cs="Arial" w:eastAsia="Arial" w:hAnsi="Arial"/>
          <w:color w:val="222222"/>
          <w:sz w:val="20"/>
          <w:szCs w:val="20"/>
        </w:rPr>
        <w:t xml:space="preserve">The three sources provided point to a distinct and commercially active UV application in protected agriculture: autonomous robots carrying UV-C lamp arrays (100–280 nm) that drive between crop rows at night and irradiate plants directly, killing pests and pathogens by damaging their DNA. This is mechanistically and operationally separate from film-based UV exclusion and deserves a clear distinction to avoid confusion in commercial positioning.</w:t>
      </w:r>
    </w:p>
    <w:p>
      <w:pPr>
        <w:spacing w:before="40" w:after="0"/>
      </w:pPr>
      <w:r>
        <w:rPr>
          <w:rFonts w:ascii="Arial" w:cs="Arial" w:eastAsia="Arial" w:hAnsi="Arial"/>
        </w:rPr>
        <w:t xml:space="preserve"/>
      </w:r>
    </w:p>
    <w:p>
      <w:pPr>
        <w:spacing w:before="60" w:after="60"/>
      </w:pPr>
      <w:r>
        <w:rPr>
          <w:rFonts w:ascii="Arial" w:cs="Arial" w:eastAsia="Arial" w:hAnsi="Arial"/>
          <w:color w:val="222222"/>
          <w:sz w:val="20"/>
          <w:szCs w:val="20"/>
        </w:rPr>
        <w:t xml:space="preserve">Research from the University of Florida demonstrated that nightly 60-second UV-C irradiation reduced two-spotted spider mite populations below the commercial treatment threshold of 5 mites per mid-canopy leaflet, while untreated controls exploded to over 300 mites per leaf. Separate trials showed UV-C treatments applied once or twice weekly matched the best available fungicides for control of strawberry powdery mildew — a result described by the lead researcher as 'not a one-time fluke.' The mechanism that makes nocturnal application specifically effective: fungal spores and mite eggs possess a light-activated DNA repair system. Irradiating at night and maintaining darkness for several hours afterwards prevents activation of this repair mechanism, allowing lower UV-C doses to achieve full kill without the leaf burn that daylight treatment causes.</w:t>
      </w:r>
    </w:p>
    <w:p>
      <w:pPr>
        <w:spacing w:before="40" w:after="0"/>
      </w:pPr>
      <w:r>
        <w:rPr>
          <w:rFonts w:ascii="Arial" w:cs="Arial" w:eastAsia="Arial" w:hAnsi="Arial"/>
        </w:rPr>
        <w:t xml:space="preserve"/>
      </w:r>
    </w:p>
    <w:p>
      <w:pPr>
        <w:spacing w:before="60" w:after="60"/>
      </w:pPr>
      <w:r>
        <w:rPr>
          <w:rFonts w:ascii="Arial" w:cs="Arial" w:eastAsia="Arial" w:hAnsi="Arial"/>
          <w:color w:val="222222"/>
          <w:sz w:val="20"/>
          <w:szCs w:val="20"/>
        </w:rPr>
        <w:t xml:space="preserve">Several companies have commercialized this into autonomous platforms — Octiva (Netherlands) with its Lumion robot, Micothon's Flora UVC and Narva UVC systems, Advanced Intelligence Systems' Phoenix robot (Canada), and TRIC Robotics in strawberry production. All operate on the same principle: self-guided vehicles carry lamp arrays between rows at night, programmable for dose, duration, and frequency based on pest pressure.</w:t>
      </w:r>
    </w:p>
    <w:p>
      <w:pPr>
        <w:spacing w:before="4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F6F" w:sz="8"/>
              <w:left w:val="single" w:color="CCCCCC" w:sz="1"/>
              <w:bottom w:val="single" w:color="CCCCCC" w:sz="1"/>
              <w:right w:val="single" w:color="CCCCCC" w:sz="1"/>
            </w:tcBorders>
            <w:shd w:fill="EAF4F1" w:val="clear"/>
            <w:tcMar>
              <w:top w:type="dxa" w:w="120"/>
              <w:left w:type="dxa" w:w="160"/>
              <w:bottom w:type="dxa" w:w="120"/>
              <w:right w:type="dxa" w:w="160"/>
            </w:tcMar>
          </w:tcPr>
          <w:p>
            <w:r>
              <w:rPr>
                <w:rFonts w:ascii="Arial" w:cs="Arial" w:eastAsia="Arial" w:hAnsi="Arial"/>
                <w:b/>
                <w:bCs/>
                <w:color w:val="2A7F6F"/>
                <w:sz w:val="19"/>
                <w:szCs w:val="19"/>
              </w:rPr>
              <w:t xml:space="preserve">How This Relates to the Film:</w:t>
            </w:r>
          </w:p>
          <w:p>
            <w:pPr>
              <w:spacing w:before="40" w:after="0"/>
            </w:pPr>
            <w:r>
              <w:rPr>
                <w:rFonts w:ascii="Arial" w:cs="Arial" w:eastAsia="Arial" w:hAnsi="Arial"/>
                <w:color w:val="222222"/>
                <w:sz w:val="19"/>
                <w:szCs w:val="19"/>
              </w:rPr>
              <w:t xml:space="preserve">The film's UV-A/B blocking (300–380 nm) and the robots' UV-C treatment (100–280 nm) are complementary, not competing. The film is a passive barrier that reduces incoming colonization by disorienting navigating insects. The robots are an active treatment for pests already present inside the structure. Growers using UV-C robots would still benefit from a UV-blocking NIR film — the film reduces the pest population the robots need to manage. In commercial positioning, this complementarity is an asset: the film fits naturally into a broader UV-based IPM approach that replaces chemical pesticides with physical light management at two different scales.</w:t>
            </w:r>
          </w:p>
        </w:tc>
      </w:tr>
    </w:tbl>
    <w:p>
      <w:pPr>
        <w:spacing w:before="40" w:after="0"/>
      </w:pPr>
      <w:r>
        <w:rPr>
          <w:rFonts w:ascii="Arial" w:cs="Arial" w:eastAsia="Arial" w:hAnsi="Arial"/>
        </w:rPr>
        <w:t xml:space="preserve"/>
      </w:r>
    </w:p>
    <w:p>
      <w:pPr>
        <w:spacing w:before="60" w:after="60"/>
      </w:pPr>
      <w:r>
        <w:rPr>
          <w:rFonts w:ascii="Arial" w:cs="Arial" w:eastAsia="Arial" w:hAnsi="Arial"/>
          <w:color w:val="222222"/>
          <w:sz w:val="20"/>
          <w:szCs w:val="20"/>
        </w:rPr>
        <w:t xml:space="preserve">One genuine constraint from this literature worth noting in the crop applicability section: a greenhouse interior completely deficient in UV-A presents a problem for crops requiring pollinator access — bees and bumblebees also use UV for flower navigation. Tomatoes, peppers, and cucumbers pollinated by bumblebees inside the structure may see reduced pollination efficiency under strict UV exclusion. Crops that are self-pollinating (vibration-assisted, like tomatoes grown with electric pollinators), wind-pollinated, or harvested vegetatively (lettuce, basil, spinach, microgreens) are unaffected. This does not change the core spec but should be flagged in the market segmentation: the initial target market of leafy greens, herbs, and cut flowers avoids the pollinator constraint entirely. The constraint becomes relevant only if the product expands into fruiting crops like tomatoes and peppers.</w:t>
      </w:r>
    </w:p>
    <w:p>
      <w:pPr>
        <w:spacing w:before="80" w:after="0"/>
      </w:pPr>
      <w:r>
        <w:rPr>
          <w:rFonts w:ascii="Arial" w:cs="Arial" w:eastAsia="Arial" w:hAnsi="Arial"/>
        </w:rPr>
        <w:t xml:space="preserve"/>
      </w:r>
    </w:p>
    <w:p>
      <w:pPr>
        <w:pStyle w:val="Heading1"/>
        <w:pBdr>
          <w:bottom w:val="single" w:color="2A7F6F" w:sz="6"/>
        </w:pBdr>
        <w:spacing w:before="320" w:after="120"/>
      </w:pPr>
      <w:r>
        <w:rPr>
          <w:rFonts w:ascii="Arial" w:cs="Arial" w:eastAsia="Arial" w:hAnsi="Arial"/>
          <w:b/>
          <w:bCs/>
          <w:color w:val="2A7F6F"/>
          <w:sz w:val="28"/>
          <w:szCs w:val="28"/>
        </w:rPr>
        <w:t xml:space="preserve">4.  Integrated Discovery Framework: Chemist · VAE · DFT</w:t>
      </w:r>
    </w:p>
    <w:p>
      <w:pPr>
        <w:spacing w:before="60" w:after="60"/>
      </w:pPr>
      <w:r>
        <w:rPr>
          <w:rFonts w:ascii="Arial" w:cs="Arial" w:eastAsia="Arial" w:hAnsi="Arial"/>
          <w:color w:val="222222"/>
          <w:sz w:val="20"/>
          <w:szCs w:val="20"/>
        </w:rPr>
        <w:t xml:space="preserve">The fundamental challenge in NIR material discovery is that the compositional search space is vast — hundreds of possible Cs:W ratios, co-dopant combinations, particle size regimes, and surface chemistries — while experimental synthesis is slow and expensive. No single tool solves this alone. The framework described here integrates three complementary actors into a closed loop: the chemist defines the rules of the search; a variational autoencoder (VAE) generates novel candidates within those rules; and DFT calculations on an HPCC validate candidates computationally before any synthesis occurs. The loop cycles until a shortlist of DFT-validated candidates is ready for the lab. Synthesis becomes the final step, not the exploratory one.</w:t>
      </w:r>
    </w:p>
    <w:p>
      <w:pPr>
        <w:spacing w:before="40" w:after="0"/>
      </w:pPr>
      <w:r>
        <w:rPr>
          <w:rFonts w:ascii="Arial" w:cs="Arial" w:eastAsia="Arial" w:hAnsi="Arial"/>
        </w:rPr>
        <w:t xml:space="preserve"/>
      </w:r>
    </w:p>
    <w:p>
      <w:pPr>
        <w:spacing w:before="60" w:after="60"/>
      </w:pPr>
      <w:r>
        <w:rPr>
          <w:rFonts w:ascii="Arial" w:cs="Arial" w:eastAsia="Arial" w:hAnsi="Arial"/>
          <w:color w:val="222222"/>
          <w:sz w:val="20"/>
          <w:szCs w:val="20"/>
        </w:rPr>
        <w:t xml:space="preserve">This architecture is directly motivated by recent work in AI-driven materials discovery. Zunger (2018) articulated the principle that inverse design — specifying desired properties and searching for structures that produce them — is fundamentally more efficient than forward screening. Noh et al. (2019) demonstrated that VAEs trained on crystal structures can generate novel stable compounds by sampling the learned latent space, with DFT used as the validation oracle. The chemist-in-the-loop constraint model follows the framework of Griffiths &amp; Hernández-Lobato (2020), who showed that encoding domain knowledge as hard constraints on the generative model's search space substantially improves both the quality and synthesizability of generated candidates, particularly in low-data regimes.</w:t>
      </w:r>
    </w:p>
    <w:p>
      <w:pPr>
        <w:spacing w:before="60" w:after="0"/>
      </w:pPr>
      <w:r>
        <w:rPr>
          <w:rFonts w:ascii="Arial" w:cs="Arial" w:eastAsia="Arial" w:hAnsi="Arial"/>
        </w:rPr>
        <w:t xml:space="preserve"/>
      </w:r>
    </w:p>
    <w:p>
      <w:pPr>
        <w:spacing w:before="40" w:after="20"/>
        <w:jc w:val="center"/>
      </w:pPr>
      <w:r>
        <w:rPr>
          <w:rFonts w:ascii="Arial" w:cs="Arial" w:eastAsia="Arial" w:hAnsi="Arial"/>
          <w:b/>
          <w:bCs/>
          <w:i w:val="false"/>
          <w:iCs w:val="false"/>
          <w:color w:val="1E3A5F"/>
          <w:sz w:val="19"/>
          <w:szCs w:val="19"/>
        </w:rPr>
        <w:t xml:space="preserve">Figure 1. Integrated Discovery Loop — Four Actors, One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720"/>
        <w:gridCol w:w="3400"/>
        <w:gridCol w:w="720"/>
        <w:gridCol w:w="1120"/>
      </w:tblGrid>
      <w:tr>
        <w:trPr>
          <w:trHeight w:val="1400" w:hRule="exact"/>
        </w:trPr>
        <w:tc>
          <w:tcPr>
            <w:tcW w:type="dxa" w:w="3400"/>
            <w:tcBorders>
              <w:top w:val="single" w:color="1E3A5F" w:sz="6"/>
              <w:left w:val="single" w:color="1E3A5F" w:sz="6"/>
              <w:bottom w:val="single" w:color="1E3A5F" w:sz="6"/>
              <w:right w:val="single" w:color="1E3A5F" w:sz="6"/>
            </w:tcBorders>
            <w:shd w:fill="1E3A5F"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① CHEMIST</w:t>
            </w:r>
          </w:p>
          <w:p>
            <w:pPr>
              <w:spacing w:before="40"/>
              <w:jc w:val="center"/>
            </w:pPr>
            <w:r>
              <w:rPr>
                <w:rFonts w:ascii="Arial" w:cs="Arial" w:eastAsia="Arial" w:hAnsi="Arial"/>
                <w:i/>
                <w:iCs/>
                <w:color w:val="D0EBE5"/>
                <w:sz w:val="17"/>
                <w:szCs w:val="17"/>
              </w:rPr>
              <w:t xml:space="preserve">Domain Knowledge &amp; Constraints</w:t>
            </w:r>
          </w:p>
          <w:p>
            <w:pPr>
              <w:spacing w:before="60"/>
            </w:pPr>
            <w:r>
              <w:rPr>
                <w:rFonts w:ascii="Arial" w:cs="Arial" w:eastAsia="Arial" w:hAnsi="Arial"/>
                <w:color w:val="A8D5CD"/>
                <w:sz w:val="16"/>
                <w:szCs w:val="16"/>
              </w:rPr>
              <w:t xml:space="preserve">• NIR absorption edge must be 750–1000 nm</w:t>
            </w:r>
          </w:p>
          <w:p>
            <w:r>
              <w:rPr>
                <w:rFonts w:ascii="Arial" w:cs="Arial" w:eastAsia="Arial" w:hAnsi="Arial"/>
                <w:color w:val="A8D5CD"/>
                <w:sz w:val="16"/>
                <w:szCs w:val="16"/>
              </w:rPr>
              <w:t xml:space="preserve">• Bandgap &gt; 1.8 eV (visible transparency)</w:t>
            </w:r>
          </w:p>
          <w:p>
            <w:r>
              <w:rPr>
                <w:rFonts w:ascii="Arial" w:cs="Arial" w:eastAsia="Arial" w:hAnsi="Arial"/>
                <w:color w:val="A8D5CD"/>
                <w:sz w:val="16"/>
                <w:szCs w:val="16"/>
              </w:rPr>
              <w:t xml:space="preserve">• Earth-abundant elements only (no In, Cd)</w:t>
            </w:r>
          </w:p>
          <w:p>
            <w:r>
              <w:rPr>
                <w:rFonts w:ascii="Arial" w:cs="Arial" w:eastAsia="Arial" w:hAnsi="Arial"/>
                <w:color w:val="A8D5CD"/>
                <w:sz w:val="16"/>
                <w:szCs w:val="16"/>
              </w:rPr>
              <w:t xml:space="preserve">• Solvothermal-accessible compositions</w:t>
            </w:r>
          </w:p>
          <w:p>
            <w:r>
              <w:rPr>
                <w:rFonts w:ascii="Arial" w:cs="Arial" w:eastAsia="Arial" w:hAnsi="Arial"/>
                <w:color w:val="A8D5CD"/>
                <w:sz w:val="16"/>
                <w:szCs w:val="16"/>
              </w:rPr>
              <w:t xml:space="preserve">• Polymer dispersibility: particle &lt; 80 nm</w:t>
            </w:r>
          </w:p>
        </w:tc>
        <w:tc>
          <w:tcPr>
            <w:tcW w:type="dxa" w:w="720"/>
            <w:tcBorders>
              <w:top w:val="single" w:color="FFFFFF" w:sz="1"/>
              <w:left w:val="single" w:color="FFFFFF" w:sz="1"/>
              <w:bottom w:val="single" w:color="FFFFFF" w:sz="1"/>
              <w:right w:val="single" w:color="FFFFFF" w:sz="1"/>
            </w:tcBorders>
            <w:shd w:fill="FFFFFF" w:val="clear"/>
            <w:vAlign w:val="center"/>
          </w:tcPr>
          <w:p>
            <w:pPr>
              <w:jc w:val="center"/>
            </w:pPr>
            <w:r>
              <w:rPr>
                <w:rFonts w:ascii="Arial" w:cs="Arial" w:eastAsia="Arial" w:hAnsi="Arial"/>
                <w:b/>
                <w:bCs/>
                <w:color w:val="2A7F6F"/>
                <w:sz w:val="48"/>
                <w:szCs w:val="48"/>
              </w:rPr>
              <w:t xml:space="preserve">→</w:t>
            </w:r>
          </w:p>
          <w:p>
            <w:pPr>
              <w:jc w:val="center"/>
            </w:pPr>
            <w:r>
              <w:rPr>
                <w:rFonts w:ascii="Arial" w:cs="Arial" w:eastAsia="Arial" w:hAnsi="Arial"/>
                <w:i/>
                <w:iCs/>
                <w:color w:val="888888"/>
                <w:sz w:val="15"/>
                <w:szCs w:val="15"/>
              </w:rPr>
              <w:t xml:space="preserve">rules</w:t>
            </w:r>
          </w:p>
        </w:tc>
        <w:tc>
          <w:tcPr>
            <w:tcW w:type="dxa" w:w="3400"/>
            <w:tcBorders>
              <w:top w:val="single" w:color="2A7F6F" w:sz="6"/>
              <w:left w:val="single" w:color="2A7F6F" w:sz="6"/>
              <w:bottom w:val="single" w:color="2A7F6F" w:sz="6"/>
              <w:right w:val="single" w:color="2A7F6F" w:sz="6"/>
            </w:tcBorders>
            <w:shd w:fill="2A7F6F"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② VAE / ML MODEL</w:t>
            </w:r>
          </w:p>
          <w:p>
            <w:pPr>
              <w:spacing w:before="40"/>
              <w:jc w:val="center"/>
            </w:pPr>
            <w:r>
              <w:rPr>
                <w:rFonts w:ascii="Arial" w:cs="Arial" w:eastAsia="Arial" w:hAnsi="Arial"/>
                <w:i/>
                <w:iCs/>
                <w:color w:val="D0EBE5"/>
                <w:sz w:val="17"/>
                <w:szCs w:val="17"/>
              </w:rPr>
              <w:t xml:space="preserve">Constrained Generative Search</w:t>
            </w:r>
          </w:p>
          <w:p>
            <w:pPr>
              <w:spacing w:before="60"/>
            </w:pPr>
            <w:r>
              <w:rPr>
                <w:rFonts w:ascii="Arial" w:cs="Arial" w:eastAsia="Arial" w:hAnsi="Arial"/>
                <w:color w:val="D8F0EB"/>
                <w:sz w:val="16"/>
                <w:szCs w:val="16"/>
              </w:rPr>
              <w:t xml:space="preserve">• Encodes known NIR materials into latent space</w:t>
            </w:r>
          </w:p>
          <w:p>
            <w:r>
              <w:rPr>
                <w:rFonts w:ascii="Arial" w:cs="Arial" w:eastAsia="Arial" w:hAnsi="Arial"/>
                <w:color w:val="D8F0EB"/>
                <w:sz w:val="16"/>
                <w:szCs w:val="16"/>
              </w:rPr>
              <w:t xml:space="preserve">• Chemist rules define hard boundaries in latent space</w:t>
            </w:r>
          </w:p>
          <w:p>
            <w:r>
              <w:rPr>
                <w:rFonts w:ascii="Arial" w:cs="Arial" w:eastAsia="Arial" w:hAnsi="Arial"/>
                <w:color w:val="D8F0EB"/>
                <w:sz w:val="16"/>
                <w:szCs w:val="16"/>
              </w:rPr>
              <w:t xml:space="preserve">• Samples &amp; decodes novel compositions within bounds</w:t>
            </w:r>
          </w:p>
          <w:p>
            <w:r>
              <w:rPr>
                <w:rFonts w:ascii="Arial" w:cs="Arial" w:eastAsia="Arial" w:hAnsi="Arial"/>
                <w:color w:val="D8F0EB"/>
                <w:sz w:val="16"/>
                <w:szCs w:val="16"/>
              </w:rPr>
              <w:t xml:space="preserve">• Bayesian Optimization ranks by predicted performance</w:t>
            </w:r>
          </w:p>
          <w:p>
            <w:r>
              <w:rPr>
                <w:rFonts w:ascii="Arial" w:cs="Arial" w:eastAsia="Arial" w:hAnsi="Arial"/>
                <w:color w:val="D8F0EB"/>
                <w:sz w:val="16"/>
                <w:szCs w:val="16"/>
              </w:rPr>
              <w:t xml:space="preserve">• Outputs: 20–50 candidate compositions per cycle</w:t>
            </w:r>
          </w:p>
        </w:tc>
        <w:tc>
          <w:tcPr>
            <w:tcW w:type="dxa" w:w="720"/>
            <w:tcBorders>
              <w:top w:val="single" w:color="FFFFFF" w:sz="1"/>
              <w:left w:val="single" w:color="FFFFFF" w:sz="1"/>
              <w:bottom w:val="single" w:color="FFFFFF" w:sz="1"/>
              <w:right w:val="single" w:color="FFFFFF" w:sz="1"/>
            </w:tcBorders>
            <w:shd w:fill="FFFFFF" w:val="clear"/>
            <w:vAlign w:val="center"/>
          </w:tcPr>
          <w:p>
            <w:pPr>
              <w:jc w:val="center"/>
            </w:pPr>
            <w:r>
              <w:rPr>
                <w:rFonts w:ascii="Arial" w:cs="Arial" w:eastAsia="Arial" w:hAnsi="Arial"/>
                <w:b/>
                <w:bCs/>
                <w:color w:val="2A7F6F"/>
                <w:sz w:val="48"/>
                <w:szCs w:val="48"/>
              </w:rPr>
              <w:t xml:space="preserve">↓</w:t>
            </w:r>
          </w:p>
          <w:p>
            <w:pPr>
              <w:jc w:val="center"/>
            </w:pPr>
            <w:r>
              <w:rPr>
                <w:rFonts w:ascii="Arial" w:cs="Arial" w:eastAsia="Arial" w:hAnsi="Arial"/>
                <w:i/>
                <w:iCs/>
                <w:color w:val="888888"/>
                <w:sz w:val="15"/>
                <w:szCs w:val="15"/>
              </w:rPr>
              <w:t xml:space="preserve">leads</w:t>
            </w:r>
          </w:p>
        </w:tc>
        <w:tc>
          <w:tcPr>
            <w:tcW w:type="dxa" w:w="1120"/>
            <w:tcBorders>
              <w:top w:val="single" w:color="FFFFFF" w:sz="1"/>
              <w:left w:val="single" w:color="FFFFFF" w:sz="1"/>
              <w:bottom w:val="single" w:color="FFFFFF" w:sz="1"/>
              <w:right w:val="single" w:color="FFFFFF" w:sz="1"/>
            </w:tcBorders>
            <w:shd w:fill="FFFFFF" w:val="clear"/>
          </w:tcPr>
          <w:p>
            <w:r>
              <w:rPr>
                <w:rFonts w:ascii="Arial" w:cs="Arial" w:eastAsia="Arial" w:hAnsi="Arial"/>
              </w:rPr>
              <w:t xml:space="preserve"/>
            </w:r>
          </w:p>
        </w:tc>
      </w:tr>
      <w:tr>
        <w:trPr>
          <w:trHeight w:val="420" w:hRule="exact"/>
        </w:trPr>
        <w:tc>
          <w:tcPr>
            <w:tcW w:type="dxa" w:w="3400"/>
            <w:tcBorders>
              <w:top w:val="single" w:color="FFFFFF" w:sz="1"/>
              <w:left w:val="single" w:color="FFFFFF" w:sz="1"/>
              <w:bottom w:val="single" w:color="FFFFFF" w:sz="1"/>
              <w:right w:val="single" w:color="FFFFFF" w:sz="1"/>
            </w:tcBorders>
            <w:shd w:fill="FFFFFF" w:val="clear"/>
            <w:vAlign w:val="center"/>
          </w:tcPr>
          <w:p>
            <w:pPr>
              <w:jc w:val="center"/>
            </w:pPr>
            <w:r>
              <w:rPr>
                <w:rFonts w:ascii="Arial" w:cs="Arial" w:eastAsia="Arial" w:hAnsi="Arial"/>
                <w:b/>
                <w:bCs/>
                <w:color w:val="2A7F6F"/>
                <w:sz w:val="48"/>
                <w:szCs w:val="48"/>
              </w:rPr>
              <w:t xml:space="preserve">↑</w:t>
            </w:r>
          </w:p>
          <w:p>
            <w:pPr>
              <w:jc w:val="center"/>
            </w:pPr>
            <w:r>
              <w:rPr>
                <w:rFonts w:ascii="Arial" w:cs="Arial" w:eastAsia="Arial" w:hAnsi="Arial"/>
                <w:i/>
                <w:iCs/>
                <w:color w:val="888888"/>
                <w:sz w:val="15"/>
                <w:szCs w:val="15"/>
              </w:rPr>
              <w:t xml:space="preserve">update constraints + approve shortlist</w:t>
            </w:r>
          </w:p>
        </w:tc>
        <w:tc>
          <w:tcPr>
            <w:tcW w:type="dxa" w:w="720"/>
            <w:tcBorders>
              <w:top w:val="single" w:color="FFFFFF" w:sz="1"/>
              <w:left w:val="single" w:color="FFFFFF" w:sz="1"/>
              <w:bottom w:val="single" w:color="FFFFFF" w:sz="1"/>
              <w:right w:val="single" w:color="FFFFFF" w:sz="1"/>
            </w:tcBorders>
            <w:shd w:fill="FFFFFF" w:val="clear"/>
          </w:tcPr>
          <w:p>
            <w:r>
              <w:rPr>
                <w:rFonts w:ascii="Arial" w:cs="Arial" w:eastAsia="Arial" w:hAnsi="Arial"/>
              </w:rPr>
              <w:t xml:space="preserve"/>
            </w:r>
          </w:p>
        </w:tc>
        <w:tc>
          <w:tcPr>
            <w:tcW w:type="dxa" w:w="3400"/>
            <w:tcBorders>
              <w:top w:val="single" w:color="FFFFFF" w:sz="1"/>
              <w:left w:val="single" w:color="FFFFFF" w:sz="1"/>
              <w:bottom w:val="single" w:color="FFFFFF" w:sz="1"/>
              <w:right w:val="single" w:color="FFFFFF" w:sz="1"/>
            </w:tcBorders>
            <w:shd w:fill="FFFFFF" w:val="clear"/>
            <w:vAlign w:val="center"/>
          </w:tcPr>
          <w:p>
            <w:pPr>
              <w:jc w:val="center"/>
            </w:pPr>
            <w:r>
              <w:rPr>
                <w:rFonts w:ascii="Arial" w:cs="Arial" w:eastAsia="Arial" w:hAnsi="Arial"/>
                <w:b/>
                <w:bCs/>
                <w:color w:val="1E3A5F"/>
                <w:sz w:val="20"/>
                <w:szCs w:val="20"/>
              </w:rPr>
              <w:t xml:space="preserve">↻  DISCOVERY CYCLE</w:t>
            </w:r>
          </w:p>
          <w:p>
            <w:pPr>
              <w:jc w:val="center"/>
            </w:pPr>
            <w:r>
              <w:rPr>
                <w:rFonts w:ascii="Arial" w:cs="Arial" w:eastAsia="Arial" w:hAnsi="Arial"/>
                <w:i/>
                <w:iCs/>
                <w:color w:val="666666"/>
                <w:sz w:val="16"/>
                <w:szCs w:val="16"/>
              </w:rPr>
              <w:t xml:space="preserve">Each cycle: ~2–4 weeks on HPCC | 3–5 synthesized compounds per cycle</w:t>
            </w:r>
          </w:p>
        </w:tc>
        <w:tc>
          <w:tcPr>
            <w:tcW w:type="dxa" w:w="720"/>
            <w:tcBorders>
              <w:top w:val="single" w:color="FFFFFF" w:sz="1"/>
              <w:left w:val="single" w:color="FFFFFF" w:sz="1"/>
              <w:bottom w:val="single" w:color="FFFFFF" w:sz="1"/>
              <w:right w:val="single" w:color="FFFFFF" w:sz="1"/>
            </w:tcBorders>
            <w:shd w:fill="FFFFFF" w:val="clear"/>
          </w:tcPr>
          <w:p>
            <w:r>
              <w:rPr>
                <w:rFonts w:ascii="Arial" w:cs="Arial" w:eastAsia="Arial" w:hAnsi="Arial"/>
              </w:rPr>
              <w:t xml:space="preserve"/>
            </w:r>
          </w:p>
        </w:tc>
        <w:tc>
          <w:tcPr>
            <w:tcW w:type="dxa" w:w="1120"/>
            <w:tcBorders>
              <w:top w:val="single" w:color="FFFFFF" w:sz="1"/>
              <w:left w:val="single" w:color="FFFFFF" w:sz="1"/>
              <w:bottom w:val="single" w:color="FFFFFF" w:sz="1"/>
              <w:right w:val="single" w:color="FFFFFF" w:sz="1"/>
            </w:tcBorders>
            <w:shd w:fill="FFFFFF" w:val="clear"/>
          </w:tcPr>
          <w:p>
            <w:r>
              <w:rPr>
                <w:rFonts w:ascii="Arial" w:cs="Arial" w:eastAsia="Arial" w:hAnsi="Arial"/>
              </w:rPr>
              <w:t xml:space="preserve"/>
            </w:r>
          </w:p>
        </w:tc>
      </w:tr>
      <w:tr>
        <w:trPr>
          <w:trHeight w:val="1400" w:hRule="exact"/>
        </w:trPr>
        <w:tc>
          <w:tcPr>
            <w:tcW w:type="dxa" w:w="3400"/>
            <w:tcBorders>
              <w:top w:val="single" w:color="B8A000" w:sz="6"/>
              <w:left w:val="single" w:color="B8A000" w:sz="6"/>
              <w:bottom w:val="single" w:color="B8A000" w:sz="6"/>
              <w:right w:val="single" w:color="B8A000" w:sz="6"/>
            </w:tcBorders>
            <w:shd w:fill="F5F5DC" w:val="clear"/>
            <w:tcMar>
              <w:top w:type="dxa" w:w="120"/>
              <w:left w:type="dxa" w:w="160"/>
              <w:bottom w:type="dxa" w:w="120"/>
              <w:right w:type="dxa" w:w="160"/>
            </w:tcMar>
            <w:vAlign w:val="center"/>
          </w:tcPr>
          <w:p>
            <w:pPr>
              <w:jc w:val="center"/>
            </w:pPr>
            <w:r>
              <w:rPr>
                <w:rFonts w:ascii="Arial" w:cs="Arial" w:eastAsia="Arial" w:hAnsi="Arial"/>
                <w:b/>
                <w:bCs/>
                <w:color w:val="5C4A00"/>
                <w:sz w:val="22"/>
                <w:szCs w:val="22"/>
              </w:rPr>
              <w:t xml:space="preserve">④ SYNTHESIS LAB</w:t>
            </w:r>
          </w:p>
          <w:p>
            <w:pPr>
              <w:spacing w:before="40"/>
              <w:jc w:val="center"/>
            </w:pPr>
            <w:r>
              <w:rPr>
                <w:rFonts w:ascii="Arial" w:cs="Arial" w:eastAsia="Arial" w:hAnsi="Arial"/>
                <w:i/>
                <w:iCs/>
                <w:color w:val="7A6300"/>
                <w:sz w:val="17"/>
                <w:szCs w:val="17"/>
              </w:rPr>
              <w:t xml:space="preserve">Targeted Wet Chemistry — Final Step Only</w:t>
            </w:r>
          </w:p>
          <w:p>
            <w:pPr>
              <w:spacing w:before="60"/>
            </w:pPr>
            <w:r>
              <w:rPr>
                <w:rFonts w:ascii="Arial" w:cs="Arial" w:eastAsia="Arial" w:hAnsi="Arial"/>
                <w:color w:val="5C4A00"/>
                <w:sz w:val="16"/>
                <w:szCs w:val="16"/>
              </w:rPr>
              <w:t xml:space="preserve">• Synthesize only DFT-validated shortlist (3–5 compounds)</w:t>
            </w:r>
          </w:p>
          <w:p>
            <w:r>
              <w:rPr>
                <w:rFonts w:ascii="Arial" w:cs="Arial" w:eastAsia="Arial" w:hAnsi="Arial"/>
                <w:color w:val="5C4A00"/>
                <w:sz w:val="16"/>
                <w:szCs w:val="16"/>
              </w:rPr>
              <w:t xml:space="preserve">• Solvothermal / sol-gel routes per chemist protocol</w:t>
            </w:r>
          </w:p>
          <w:p>
            <w:r>
              <w:rPr>
                <w:rFonts w:ascii="Arial" w:cs="Arial" w:eastAsia="Arial" w:hAnsi="Arial"/>
                <w:color w:val="5C4A00"/>
                <w:sz w:val="16"/>
                <w:szCs w:val="16"/>
              </w:rPr>
              <w:t xml:space="preserve">• Measure: TEM, XRD, UV-Vis-NIR spectrophotometer</w:t>
            </w:r>
          </w:p>
          <w:p>
            <w:r>
              <w:rPr>
                <w:rFonts w:ascii="Arial" w:cs="Arial" w:eastAsia="Arial" w:hAnsi="Arial"/>
                <w:color w:val="5C4A00"/>
                <w:sz w:val="16"/>
                <w:szCs w:val="16"/>
              </w:rPr>
              <w:t xml:space="preserve">• Compare experimental spectra to DFT predictions</w:t>
            </w:r>
          </w:p>
          <w:p>
            <w:r>
              <w:rPr>
                <w:rFonts w:ascii="Arial" w:cs="Arial" w:eastAsia="Arial" w:hAnsi="Arial"/>
                <w:color w:val="5C4A00"/>
                <w:sz w:val="16"/>
                <w:szCs w:val="16"/>
              </w:rPr>
              <w:t xml:space="preserve">• Data feeds back → updates VAE training set</w:t>
            </w:r>
          </w:p>
        </w:tc>
        <w:tc>
          <w:tcPr>
            <w:tcW w:type="dxa" w:w="720"/>
            <w:tcBorders>
              <w:top w:val="single" w:color="FFFFFF" w:sz="1"/>
              <w:left w:val="single" w:color="FFFFFF" w:sz="1"/>
              <w:bottom w:val="single" w:color="FFFFFF" w:sz="1"/>
              <w:right w:val="single" w:color="FFFFFF" w:sz="1"/>
            </w:tcBorders>
            <w:shd w:fill="FFFFFF" w:val="clear"/>
            <w:vAlign w:val="center"/>
          </w:tcPr>
          <w:p>
            <w:pPr>
              <w:jc w:val="center"/>
            </w:pPr>
            <w:r>
              <w:rPr>
                <w:rFonts w:ascii="Arial" w:cs="Arial" w:eastAsia="Arial" w:hAnsi="Arial"/>
                <w:b/>
                <w:bCs/>
                <w:color w:val="2A7F6F"/>
                <w:sz w:val="48"/>
                <w:szCs w:val="48"/>
              </w:rPr>
              <w:t xml:space="preserve">←</w:t>
            </w:r>
          </w:p>
          <w:p>
            <w:pPr>
              <w:jc w:val="center"/>
            </w:pPr>
            <w:r>
              <w:rPr>
                <w:rFonts w:ascii="Arial" w:cs="Arial" w:eastAsia="Arial" w:hAnsi="Arial"/>
                <w:i/>
                <w:iCs/>
                <w:color w:val="888888"/>
                <w:sz w:val="15"/>
                <w:szCs w:val="15"/>
              </w:rPr>
              <w:t xml:space="preserve">shortlist
(3–5)</w:t>
            </w:r>
          </w:p>
        </w:tc>
        <w:tc>
          <w:tcPr>
            <w:tcW w:type="dxa" w:w="3400"/>
            <w:tcBorders>
              <w:top w:val="single" w:color="1E3A5F" w:sz="6"/>
              <w:left w:val="single" w:color="1E3A5F" w:sz="6"/>
              <w:bottom w:val="single" w:color="1E3A5F" w:sz="6"/>
              <w:right w:val="single" w:color="1E3A5F" w:sz="6"/>
            </w:tcBorders>
            <w:shd w:fill="1E3A5F"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③ DFT ORACLE</w:t>
            </w:r>
          </w:p>
          <w:p>
            <w:pPr>
              <w:spacing w:before="40"/>
              <w:jc w:val="center"/>
            </w:pPr>
            <w:r>
              <w:rPr>
                <w:rFonts w:ascii="Arial" w:cs="Arial" w:eastAsia="Arial" w:hAnsi="Arial"/>
                <w:i/>
                <w:iCs/>
                <w:color w:val="D0EBE5"/>
                <w:sz w:val="17"/>
                <w:szCs w:val="17"/>
              </w:rPr>
              <w:t xml:space="preserve">Computational Validation on HPCC</w:t>
            </w:r>
          </w:p>
          <w:p>
            <w:pPr>
              <w:spacing w:before="60"/>
            </w:pPr>
            <w:r>
              <w:rPr>
                <w:rFonts w:ascii="Arial" w:cs="Arial" w:eastAsia="Arial" w:hAnsi="Arial"/>
                <w:color w:val="A8D5CD"/>
                <w:sz w:val="16"/>
                <w:szCs w:val="16"/>
              </w:rPr>
              <w:t xml:space="preserve">• Runs on 20–50 VAE candidates per cycle</w:t>
            </w:r>
          </w:p>
          <w:p>
            <w:r>
              <w:rPr>
                <w:rFonts w:ascii="Arial" w:cs="Arial" w:eastAsia="Arial" w:hAnsi="Arial"/>
                <w:color w:val="A8D5CD"/>
                <w:sz w:val="16"/>
                <w:szCs w:val="16"/>
              </w:rPr>
              <w:t xml:space="preserve">• Computes: band structure, optical spectrum, XRD, stability</w:t>
            </w:r>
          </w:p>
          <w:p>
            <w:r>
              <w:rPr>
                <w:rFonts w:ascii="Arial" w:cs="Arial" w:eastAsia="Arial" w:hAnsi="Arial"/>
                <w:color w:val="A8D5CD"/>
                <w:sz w:val="16"/>
                <w:szCs w:val="16"/>
              </w:rPr>
              <w:t xml:space="preserve">• Scores each candidate against optical spec targets</w:t>
            </w:r>
          </w:p>
          <w:p>
            <w:r>
              <w:rPr>
                <w:rFonts w:ascii="Arial" w:cs="Arial" w:eastAsia="Arial" w:hAnsi="Arial"/>
                <w:color w:val="A8D5CD"/>
                <w:sz w:val="16"/>
                <w:szCs w:val="16"/>
              </w:rPr>
              <w:t xml:space="preserve">• Eliminates ~90% of candidates before any synthesis</w:t>
            </w:r>
          </w:p>
          <w:p>
            <w:r>
              <w:rPr>
                <w:rFonts w:ascii="Arial" w:cs="Arial" w:eastAsia="Arial" w:hAnsi="Arial"/>
                <w:color w:val="A8D5CD"/>
                <w:sz w:val="16"/>
                <w:szCs w:val="16"/>
              </w:rPr>
              <w:t xml:space="preserve">• Returns ranked list + uncertainty to VAE/BO model</w:t>
            </w:r>
          </w:p>
        </w:tc>
        <w:tc>
          <w:tcPr>
            <w:tcW w:type="dxa" w:w="720"/>
            <w:tcBorders>
              <w:top w:val="single" w:color="FFFFFF" w:sz="1"/>
              <w:left w:val="single" w:color="FFFFFF" w:sz="1"/>
              <w:bottom w:val="single" w:color="FFFFFF" w:sz="1"/>
              <w:right w:val="single" w:color="FFFFFF" w:sz="1"/>
            </w:tcBorders>
            <w:shd w:fill="FFFFFF" w:val="clear"/>
            <w:vAlign w:val="center"/>
          </w:tcPr>
          <w:p>
            <w:r>
              <w:rPr>
                <w:rFonts w:ascii="Arial" w:cs="Arial" w:eastAsia="Arial" w:hAnsi="Arial"/>
              </w:rPr>
              <w:t xml:space="preserve"/>
            </w:r>
          </w:p>
        </w:tc>
        <w:tc>
          <w:tcPr>
            <w:tcW w:type="dxa" w:w="1120"/>
            <w:tcBorders>
              <w:top w:val="single" w:color="CCCCCC" w:sz="2"/>
              <w:left w:val="single" w:color="CCCCCC" w:sz="2"/>
              <w:bottom w:val="single" w:color="CCCCCC" w:sz="2"/>
              <w:right w:val="single" w:color="CCCCCC" w:sz="2"/>
            </w:tcBorders>
            <w:shd w:fill="F0F4F8" w:val="clear"/>
            <w:tcMar>
              <w:top w:type="dxa" w:w="80"/>
              <w:left w:type="dxa" w:w="80"/>
              <w:bottom w:type="dxa" w:w="80"/>
              <w:right w:type="dxa" w:w="80"/>
            </w:tcMar>
            <w:vAlign w:val="center"/>
          </w:tcPr>
          <w:p>
            <w:pPr>
              <w:jc w:val="center"/>
            </w:pPr>
            <w:r>
              <w:rPr>
                <w:rFonts w:ascii="Arial" w:cs="Arial" w:eastAsia="Arial" w:hAnsi="Arial"/>
                <w:b/>
                <w:bCs/>
                <w:color w:val="1E3A5F"/>
                <w:sz w:val="16"/>
                <w:szCs w:val="16"/>
              </w:rPr>
              <w:t xml:space="preserve">LEGEND</w:t>
            </w:r>
          </w:p>
          <w:p>
            <w:pPr>
              <w:spacing w:before="40"/>
            </w:pPr>
            <w:r>
              <w:rPr>
                <w:rFonts w:ascii="Arial" w:cs="Arial" w:eastAsia="Arial" w:hAnsi="Arial"/>
                <w:color w:val="444444"/>
                <w:sz w:val="15"/>
                <w:szCs w:val="15"/>
              </w:rPr>
              <w:t xml:space="preserve">→  Information flows</w:t>
            </w:r>
          </w:p>
          <w:p>
            <w:r>
              <w:rPr>
                <w:rFonts w:ascii="Arial" w:cs="Arial" w:eastAsia="Arial" w:hAnsi="Arial"/>
                <w:color w:val="444444"/>
                <w:sz w:val="15"/>
                <w:szCs w:val="15"/>
              </w:rPr>
              <w:t xml:space="preserve">↻  Iterative cycle</w:t>
            </w:r>
          </w:p>
          <w:p>
            <w:r>
              <w:rPr>
                <w:rFonts w:ascii="Arial" w:cs="Arial" w:eastAsia="Arial" w:hAnsi="Arial"/>
                <w:color w:val="444444"/>
                <w:sz w:val="15"/>
                <w:szCs w:val="15"/>
              </w:rPr>
              <w:t xml:space="preserve">①–④  Actor order</w:t>
            </w:r>
          </w:p>
          <w:p>
            <w:pPr>
              <w:spacing w:before="40"/>
            </w:pPr>
            <w:r>
              <w:rPr>
                <w:rFonts w:ascii="Arial" w:cs="Arial" w:eastAsia="Arial" w:hAnsi="Arial"/>
                <w:b/>
                <w:bCs/>
                <w:color w:val="8B0000"/>
                <w:sz w:val="15"/>
                <w:szCs w:val="15"/>
              </w:rPr>
              <w:t xml:space="preserve">Lab is last,
not first</w:t>
            </w:r>
          </w:p>
        </w:tc>
      </w:tr>
    </w:tbl>
    <w:p>
      <w:pPr>
        <w:spacing w:before="40" w:after="0"/>
      </w:pPr>
      <w:r>
        <w:rPr>
          <w:rFonts w:ascii="Arial" w:cs="Arial" w:eastAsia="Arial" w:hAnsi="Arial"/>
        </w:rPr>
        <w:t xml:space="preserve"/>
      </w:r>
    </w:p>
    <w:p>
      <w:pPr>
        <w:spacing w:before="0" w:after="0"/>
        <w:jc w:val="center"/>
      </w:pPr>
      <w:r>
        <w:rPr>
          <w:rFonts w:ascii="Arial" w:cs="Arial" w:eastAsia="Arial" w:hAnsi="Arial"/>
          <w:i/>
          <w:iCs/>
          <w:color w:val="555555"/>
          <w:sz w:val="17"/>
          <w:szCs w:val="17"/>
        </w:rPr>
        <w:t xml:space="preserve">The chemist sets the boundaries; the VAE explores within them; DFT eliminates poor candidates computationally; only survivors reach the bench. Each completed cycle narrows the search space and improves the model.</w:t>
      </w:r>
    </w:p>
    <w:p>
      <w:pPr>
        <w:spacing w:before="80" w:after="0"/>
      </w:pPr>
      <w:r>
        <w:rPr>
          <w:rFonts w:ascii="Arial" w:cs="Arial" w:eastAsia="Arial" w:hAnsi="Arial"/>
        </w:rPr>
        <w:t xml:space="preserve"/>
      </w:r>
    </w:p>
    <w:p>
      <w:pPr>
        <w:pStyle w:val="Heading2"/>
        <w:spacing w:before="240" w:after="80"/>
      </w:pPr>
      <w:r>
        <w:rPr>
          <w:rFonts w:ascii="Arial" w:cs="Arial" w:eastAsia="Arial" w:hAnsi="Arial"/>
          <w:b/>
          <w:bCs/>
          <w:color w:val="1E3A5F"/>
          <w:sz w:val="22"/>
          <w:szCs w:val="22"/>
        </w:rPr>
        <w:t xml:space="preserve">4.1  The Chemist's Role: Setting Hard Constraints, Not Just Intuition</w:t>
      </w:r>
    </w:p>
    <w:p>
      <w:pPr>
        <w:spacing w:before="60" w:after="60"/>
      </w:pPr>
      <w:r>
        <w:rPr>
          <w:rFonts w:ascii="Arial" w:cs="Arial" w:eastAsia="Arial" w:hAnsi="Arial"/>
          <w:color w:val="222222"/>
          <w:sz w:val="20"/>
          <w:szCs w:val="20"/>
        </w:rPr>
        <w:t xml:space="preserve">In conventional materials discovery the chemist's expertise guides which experiments to run next — a sequential, intuition-driven process that is slow to scale. In this framework the chemist's role is different and more powerful: they encode their domain knowledge into explicit, machine-readable constraints that bound the entire search space before the model generates a single candidate. This is not a soft prior or a preference — it is a hard boundary. The VAE never generates candidates outside these constraints, which means the chemist is governing the search not by reviewing every output but by defining the space in which outputs can exist.</w:t>
      </w:r>
    </w:p>
    <w:p>
      <w:pPr>
        <w:spacing w:before="4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Constraint Category</w:t>
            </w:r>
          </w:p>
        </w:tc>
        <w:tc>
          <w:tcPr>
            <w:tcW w:type="dxa" w:w="31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What the Chemist Encodes</w:t>
            </w:r>
          </w:p>
        </w:tc>
        <w:tc>
          <w:tcPr>
            <w:tcW w:type="dxa" w:w="40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Why It Matters for the Model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Optical performance bounds</w:t>
            </w:r>
          </w:p>
        </w:tc>
        <w:tc>
          <w:tcPr>
            <w:tcW w:type="dxa" w:w="3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NIR absorption edge must fall between 700–1100 nm. Visible transmission window &gt; 400 nm wide. No absorption peaks between 400–700 nm above 15% extinction.</w:t>
            </w:r>
          </w:p>
        </w:tc>
        <w:tc>
          <w:tcPr>
            <w:tcW w:type="dxa" w:w="4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Eliminates the majority of the Materials Project database immediately. Of 150,000+ compounds, fewer than 5,000 meet the bandgap + absorption window constraint. The VAE's effective search space shrinks by &gt;95% before generation begins.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Elemental accessibility rules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No indium, cadmium, lead, or arsenic (toxicity + regulatory). Cesium, tungsten, molybdenum, niobium, vanadium, titanium, lanthanum permitted. No platinum-group metals (cost). No radioactive elements.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The elemental exclusion list is a hard filter applied before any DFT calculation. Encodes EPA TSCA toxicity concerns and cost constraints simultaneously, preventing the model from wasting compute cycles on unviable chemistries.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Crystal structure requirements</w:t>
            </w:r>
          </w:p>
        </w:tc>
        <w:tc>
          <w:tcPr>
            <w:tcW w:type="dxa" w:w="3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Bronzes: monoclinic or hexagonal phase only (tetragonal Cs-W bronzes have different and less useful optical properties). Oxides: rutile or anatase TiO₂ structure family preferred. No amorphous targets — crystallinity is required for reproducible DFT validation.</w:t>
            </w:r>
          </w:p>
        </w:tc>
        <w:tc>
          <w:tcPr>
            <w:tcW w:type="dxa" w:w="4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Crystal structure determines which DFT workflow to apply and which reference XRD patterns are valid. Constraining to known structure families also constrains synthesis routes — the chemist knows monoclinic Cs-W bronze forms under solvothermal conditions at 200°C, while other phases require different conditions.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Synthesis accessibility rules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Maximum synthesis temperature: 250°C (solvothermal autoclave limit). Reagents must be commercially available at &gt;95% purity. Target particle size 20–80 nm achievable by the proposed route. No reactions requiring inert atmosphere at commercial scale.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Prevents the model from proposing materials that are theoretically optimal but practically unsynthe­sizable. The VAE can generate a composition with perfect optical properties that requires 1200°C calcination — the chemist's synthesis constraint eliminates it before any DFT time is spent.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Polymer compatibility rules</w:t>
            </w:r>
          </w:p>
        </w:tc>
        <w:tc>
          <w:tcPr>
            <w:tcW w:type="dxa" w:w="3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Surface chemistry must allow oleic acid or silane coupling functionalization (required for LDPE dispersion). No strongly oxidizing surfaces (will degrade polymer matrix). Target surface charge: slightly negative zeta potential in non-polar solvents for LDPE compatibility.</w:t>
            </w:r>
          </w:p>
        </w:tc>
        <w:tc>
          <w:tcPr>
            <w:tcW w:type="dxa" w:w="4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The optical properties of the nanoparticle are irrelevant if it aggregates in the polymer matrix and causes haze &gt; 5%. Compatibility constraints encode the film formulation requirements directly into the material search — not as a post-screening filter but as a search boundary.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Thermodynamic stability floor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Formation energy must be within 0.1 eV/atom of the DFT convex hull. No metastable phases that require kinetic trapping unless the synthesis route for that specific metastable phase is established in literature.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Eliminates thermodynamically unstable compositions that the VAE might generate by interpolating between stable materials. The 0.1 eV/atom threshold is calibrated to known synthesizable metastable materials — tighter than this eliminates too many viable candidates.</w:t>
            </w:r>
          </w:p>
        </w:tc>
      </w:tr>
    </w:tbl>
    <w:p>
      <w:pPr>
        <w:spacing w:before="40" w:after="0"/>
      </w:pPr>
      <w:r>
        <w:rPr>
          <w:rFonts w:ascii="Arial" w:cs="Arial" w:eastAsia="Arial" w:hAnsi="Arial"/>
        </w:rPr>
        <w:t xml:space="preserve"/>
      </w:r>
    </w:p>
    <w:p>
      <w:pPr>
        <w:spacing w:before="60" w:after="60"/>
      </w:pPr>
      <w:r>
        <w:rPr>
          <w:rFonts w:ascii="Arial" w:cs="Arial" w:eastAsia="Arial" w:hAnsi="Arial"/>
          <w:color w:val="222222"/>
          <w:sz w:val="20"/>
          <w:szCs w:val="20"/>
        </w:rPr>
        <w:t xml:space="preserve">The chemist updates these constraints after each discovery cycle based on what the DFT and experimental results reveal. If a class of compositions consistently fails the optical spec despite promising predictions, the chemist narrows the constraint in that dimension. If DFT reveals a previously unknown structure type with good properties, the chemist can relax a structural constraint to allow exploration of that family. The constraints are a living document, not a static filter — the chemist's judgment shapes every iteration.</w:t>
      </w:r>
    </w:p>
    <w:p>
      <w:pPr>
        <w:spacing w:before="60" w:after="0"/>
      </w:pPr>
      <w:r>
        <w:rPr>
          <w:rFonts w:ascii="Arial" w:cs="Arial" w:eastAsia="Arial" w:hAnsi="Arial"/>
        </w:rPr>
        <w:t xml:space="preserve"/>
      </w:r>
    </w:p>
    <w:p>
      <w:pPr>
        <w:pStyle w:val="Heading2"/>
        <w:spacing w:before="240" w:after="80"/>
      </w:pPr>
      <w:r>
        <w:rPr>
          <w:rFonts w:ascii="Arial" w:cs="Arial" w:eastAsia="Arial" w:hAnsi="Arial"/>
          <w:b/>
          <w:bCs/>
          <w:color w:val="1E3A5F"/>
          <w:sz w:val="22"/>
          <w:szCs w:val="22"/>
        </w:rPr>
        <w:t xml:space="preserve">4.2  The VAE: Generating Novel Candidates Inside the Constrained Space</w:t>
      </w:r>
    </w:p>
    <w:p>
      <w:pPr>
        <w:spacing w:before="60" w:after="60"/>
      </w:pPr>
      <w:r>
        <w:rPr>
          <w:rFonts w:ascii="Arial" w:cs="Arial" w:eastAsia="Arial" w:hAnsi="Arial"/>
          <w:color w:val="222222"/>
          <w:sz w:val="20"/>
          <w:szCs w:val="20"/>
        </w:rPr>
        <w:t xml:space="preserve">A variational autoencoder (VAE) learns a compressed, continuous representation of chemical space from a training set of known materials. The key property that makes a VAE useful for this problem — rather than a standard neural network or Gaussian Process — is that its latent space is smooth and interpolatable. Two known materials that are nearby in latent space are chemically similar; interpolating between their latent representations generates novel compositions that inherit properties from both. This is how the VAE reaches beyond the training data: it does not predict from a lookup table, it navigates a learned geometry of chemical space.</w:t>
      </w:r>
    </w:p>
    <w:p>
      <w:pPr>
        <w:spacing w:before="4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VAE Component</w:t>
            </w:r>
          </w:p>
        </w:tc>
        <w:tc>
          <w:tcPr>
            <w:tcW w:type="dxa" w:w="38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What It Does</w:t>
            </w:r>
          </w:p>
        </w:tc>
        <w:tc>
          <w:tcPr>
            <w:tcW w:type="dxa" w:w="38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Implementation for This Project</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Encoder</w:t>
            </w:r>
          </w:p>
        </w:tc>
        <w:tc>
          <w:tcPr>
            <w:tcW w:type="dxa" w:w="38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Takes each material's fingerprint (elemental composition vector + crystal structure features) and maps it to a probability distribution in a low-dimensional latent space — specifically a mean vector μ and variance σ. The stochasticity is what makes the space generative: sampling around μ gives you the neighborhood of that material in composition space.</w:t>
            </w:r>
          </w:p>
        </w:tc>
        <w:tc>
          <w:tcPr>
            <w:tcW w:type="dxa" w:w="38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Input: 145-dimensional Matminer/Magpie composition vector + crystal graph features from CGCNN. Latent dimension: 32–64. Training set: 200–500 known NIR-relevant materials from literature + DFT database. Framework: PyTorch; architecture based on Noh et al. (2019) crystal VAE.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Constrained Latent Space</w:t>
            </w:r>
          </w:p>
        </w:tc>
        <w:tc>
          <w:tcPr>
            <w:tcW w:type="dxa" w:w="3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The chemist's hard constraints are enforced in latent space as a feasibility boundary. Points outside the boundary — corresponding to compositions that violate synthesis, toxicity, or stability rules — are excluded from sampling. This is implemented as a constrained acquisition function in the Bayesian Optimization step, not as post-generation filtering, which would be wasteful.</w:t>
            </w:r>
          </w:p>
        </w:tc>
        <w:tc>
          <w:tcPr>
            <w:tcW w:type="dxa" w:w="3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Constraint encoding: each chemist rule is translated to a latent-space inequality via a trained classifier (constraint satisfaction model). The classifier is trained on labeled examples of feasible vs. infeasible compositions. BoTorch supports constrained acquisition functions natively — this is the integration point.</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Decoder</w:t>
            </w:r>
          </w:p>
        </w:tc>
        <w:tc>
          <w:tcPr>
            <w:tcW w:type="dxa" w:w="38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Takes a sampled latent point and reconstructs a material composition — specifically an elemental ratio (e.g. Cs₀.₂₈W₀.₇₂O₃ with 4% Mo substitution). For the bronze family this means outputting Cs:W ratio, co-dopant type and concentration, and oxygen stoichiometry. The decoded composition is what gets passed to DFT for validation.</w:t>
            </w:r>
          </w:p>
        </w:tc>
        <w:tc>
          <w:tcPr>
            <w:tcW w:type="dxa" w:w="38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Output: elemental ratios as a continuous vector, rounded to chemically meaningful stoichiometries. Chemical feasibility check via pymatgen charge-balance validator before DFT submission — eliminates electrostatically impossible compositions without compute cost.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Bayesian Optimization Acquisition</w:t>
            </w:r>
          </w:p>
        </w:tc>
        <w:tc>
          <w:tcPr>
            <w:tcW w:type="dxa" w:w="3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The surrogate model (Gaussian Process trained on DFT outputs) predicts performance and uncertainty for each candidate. The acquisition function — Upper Confidence Bound (UCB) or Expected Improvement (EI) — selects the next batch of 20–50 candidates to send to DFT, balancing exploitation of promising regions against exploration of uncertain ones.</w:t>
            </w:r>
          </w:p>
        </w:tc>
        <w:tc>
          <w:tcPr>
            <w:tcW w:type="dxa" w:w="3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Multi-objective: simultaneously maximize NIR absorption AND visible transmission AND formation energy stability. Pareto front optimization (BoTorch qNEHVI) selects candidates that advance the Pareto frontier — no single-property local optima. Batch size of 20–50 per cycle matches HPCC throughput for HSE06 calculations.</w:t>
            </w:r>
          </w:p>
        </w:tc>
      </w:tr>
    </w:tbl>
    <w:p>
      <w:pPr>
        <w:spacing w:before="40" w:after="0"/>
      </w:pPr>
      <w:r>
        <w:rPr>
          <w:rFonts w:ascii="Arial" w:cs="Arial" w:eastAsia="Arial" w:hAnsi="Arial"/>
        </w:rPr>
        <w:t xml:space="preserve"/>
      </w:r>
    </w:p>
    <w:p>
      <w:pPr>
        <w:spacing w:before="60" w:after="60"/>
      </w:pPr>
      <w:r>
        <w:rPr>
          <w:rFonts w:ascii="Arial" w:cs="Arial" w:eastAsia="Arial" w:hAnsi="Arial"/>
          <w:color w:val="222222"/>
          <w:sz w:val="20"/>
          <w:szCs w:val="20"/>
        </w:rPr>
        <w:t xml:space="preserve">Luo et al. (2021) demonstrated this architecture on solid electrolyte materials, showing that a constrained VAE with Bayesian Optimization found candidates with 40% better ionic conductivity than the best training set material in three discovery cycles, with a total of 18 DFT calculations replacing what would have been hundreds of trial syntheses. The same cycle economics apply here — the bottleneck shifts from synthesis throughput to DFT compute throughput, which is orders of magnitude faster and cheaper.</w:t>
      </w:r>
    </w:p>
    <w:p>
      <w:pPr>
        <w:spacing w:before="60" w:after="0"/>
      </w:pPr>
      <w:r>
        <w:rPr>
          <w:rFonts w:ascii="Arial" w:cs="Arial" w:eastAsia="Arial" w:hAnsi="Arial"/>
        </w:rPr>
        <w:t xml:space="preserve"/>
      </w:r>
    </w:p>
    <w:p>
      <w:pPr>
        <w:pStyle w:val="Heading2"/>
        <w:spacing w:before="240" w:after="80"/>
      </w:pPr>
      <w:r>
        <w:rPr>
          <w:rFonts w:ascii="Arial" w:cs="Arial" w:eastAsia="Arial" w:hAnsi="Arial"/>
          <w:b/>
          <w:bCs/>
          <w:color w:val="1E3A5F"/>
          <w:sz w:val="22"/>
          <w:szCs w:val="22"/>
        </w:rPr>
        <w:t xml:space="preserve">4.3  DFT as the Validation Oracle: Fast, Cheap, and Honest About Uncertainty</w:t>
      </w:r>
    </w:p>
    <w:p>
      <w:pPr>
        <w:spacing w:before="60" w:after="60"/>
      </w:pPr>
      <w:r>
        <w:rPr>
          <w:rFonts w:ascii="Arial" w:cs="Arial" w:eastAsia="Arial" w:hAnsi="Arial"/>
          <w:color w:val="222222"/>
          <w:sz w:val="20"/>
          <w:szCs w:val="20"/>
        </w:rPr>
        <w:t xml:space="preserve">The DFT layer sits between the VAE's generative output and the synthesis lab. Its role is to evaluate 20–50 VAE-generated candidates per cycle and return a scored, ranked list to the Bayesian Optimization model — typically within 2–5 days of HPCC wall time. This is the computational bottleneck in the cycle, not the model training, and it is still dramatically faster than synthesis. A solvothermal synthesis run takes 2–5 days of researcher time to produce and characterize a single compound. DFT evaluates 20–50 in the same period with zero researcher involvement beyond job submission.</w:t>
      </w:r>
    </w:p>
    <w:p>
      <w:pPr>
        <w:spacing w:before="40" w:after="0"/>
      </w:pPr>
      <w:r>
        <w:rPr>
          <w:rFonts w:ascii="Arial" w:cs="Arial" w:eastAsia="Arial" w:hAnsi="Arial"/>
        </w:rPr>
        <w:t xml:space="preserve"/>
      </w:r>
    </w:p>
    <w:p>
      <w:pPr>
        <w:spacing w:before="60" w:after="60"/>
      </w:pPr>
      <w:r>
        <w:rPr>
          <w:rFonts w:ascii="Arial" w:cs="Arial" w:eastAsia="Arial" w:hAnsi="Arial"/>
          <w:color w:val="222222"/>
          <w:sz w:val="20"/>
          <w:szCs w:val="20"/>
        </w:rPr>
        <w:t xml:space="preserve">The DFT oracle is honest about what it cannot predict precisely. Band gaps computed with GGA-PBE are systematically underestimated; the correction factor is calibrated during the validation phase (Section 5.2) and applied consistently across candidates. The DFT output is not a final answer — it is a ranking signal. A candidate that DFT ranks in the top 5 out of 50 is not guaranteed to be the best material in reality, but the probability that the best real material was ranked in the bottom 45 is very low. The VAE+DFT+BO system does not need to be perfect — it needs to be much better than random, which the validated literature results confirm it is.</w:t>
      </w:r>
    </w:p>
    <w:p>
      <w:pPr>
        <w:spacing w:before="4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80"/>
        <w:gridCol w:w="2480"/>
        <w:gridCol w:w="2400"/>
      </w:tblGrid>
      <w:tr>
        <w:tc>
          <w:tcPr>
            <w:tcW w:type="dxa" w:w="20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Cycle Stage</w:t>
            </w:r>
          </w:p>
        </w:tc>
        <w:tc>
          <w:tcPr>
            <w:tcW w:type="dxa" w:w="24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VAE Output</w:t>
            </w:r>
          </w:p>
        </w:tc>
        <w:tc>
          <w:tcPr>
            <w:tcW w:type="dxa" w:w="24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DFT Evaluation</w:t>
            </w:r>
          </w:p>
        </w:tc>
        <w:tc>
          <w:tcPr>
            <w:tcW w:type="dxa" w:w="2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What Passes to Next Stage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Cycle 1 (Validation)</w:t>
            </w:r>
          </w:p>
        </w:tc>
        <w:tc>
          <w:tcPr>
            <w:tcW w:type="dxa" w:w="24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Known materials only — reproduce training set compositions to verify encoder/decoder round-trip accuracy</w:t>
            </w:r>
          </w:p>
        </w:tc>
        <w:tc>
          <w:tcPr>
            <w:tcW w:type="dxa" w:w="24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Validate DFT method against published spectra (see Section 5.2). Calibrate GGA→HSE06 correction factor for Cs-W bronzes.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Validated computational protocol. DFT correction factors. Training set enriched with computed properties.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Cycle 2 (Exploration)</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20–50 novel Cs:W ratio variants and Mo/Nb co-doped compositions generated by latent space sampling near known good materials</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HSE06 band structure + optical dielectric function for all 50. Formation energy screening eliminates unstable candidates. Ranked list returned to BO model.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Top 8–10 candidates by predicted NIR absorption score and visible transparency. Chemist reviews for synthesis feasibility.</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Cycle 3 (Exploitation + Exploration)</w:t>
            </w:r>
          </w:p>
        </w:tc>
        <w:tc>
          <w:tcPr>
            <w:tcW w:type="dxa" w:w="24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BO selects next 30–50 candidates: ~60% near the Cycle 2 leaders (exploitation), ~40% in high-uncertainty regions of the latent space (exploration)</w:t>
            </w:r>
          </w:p>
        </w:tc>
        <w:tc>
          <w:tcPr>
            <w:tcW w:type="dxa" w:w="24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Same DFT protocol. Model updated with Cycle 2 DFT scores. Predictions become more accurate as the surrogate model has more data.</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Top 5 candidates submitted to chemist for final synthesis feasibility review. Synthesis shortlist finalized.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Synthesis (Lab Only Now)</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Not applicable — VAE not involved at synthesis stage</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DFT-simulated XRD pattern provided as reference for experimental comparison. DFT optical spectrum provided as prediction to test.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3–5 synthesized compounds characterized by TEM, XRD, UV-Vis-NIR. Experimental data fed back to update VAE training set for Cycle 4.</w:t>
            </w:r>
          </w:p>
        </w:tc>
      </w:tr>
    </w:tbl>
    <w:p>
      <w:pPr>
        <w:spacing w:before="60" w:after="0"/>
      </w:pPr>
      <w:r>
        <w:rPr>
          <w:rFonts w:ascii="Arial" w:cs="Arial" w:eastAsia="Arial" w:hAnsi="Arial"/>
        </w:rPr>
        <w:t xml:space="preserve"/>
      </w:r>
    </w:p>
    <w:p>
      <w:pPr>
        <w:pStyle w:val="Heading2"/>
        <w:spacing w:before="240" w:after="80"/>
      </w:pPr>
      <w:r>
        <w:rPr>
          <w:rFonts w:ascii="Arial" w:cs="Arial" w:eastAsia="Arial" w:hAnsi="Arial"/>
          <w:b/>
          <w:bCs/>
          <w:color w:val="1E3A5F"/>
          <w:sz w:val="22"/>
          <w:szCs w:val="22"/>
        </w:rPr>
        <w:t xml:space="preserve">4.4  Information Flows: What Each Actor Sends and Receives</w:t>
      </w:r>
    </w:p>
    <w:p>
      <w:pPr>
        <w:spacing w:before="60" w:after="60"/>
      </w:pPr>
      <w:r>
        <w:rPr>
          <w:rFonts w:ascii="Arial" w:cs="Arial" w:eastAsia="Arial" w:hAnsi="Arial"/>
          <w:color w:val="222222"/>
          <w:sz w:val="20"/>
          <w:szCs w:val="20"/>
        </w:rPr>
        <w:t xml:space="preserve">The value of the integrated framework comes from the bidirectional information flows between actors. Each cycle, information travels in two directions: forward (from constraints through generation to validation to lab) and backward (from experimental measurements back through DFT calibration to VAE update). The backward flow is what makes the system improve over time.</w:t>
      </w:r>
    </w:p>
    <w:p>
      <w:pPr>
        <w:spacing w:before="4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3240"/>
        <w:gridCol w:w="3240"/>
      </w:tblGrid>
      <w:tr>
        <w:tc>
          <w:tcPr>
            <w:tcW w:type="dxa" w:w="144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From</w:t>
            </w:r>
          </w:p>
        </w:tc>
        <w:tc>
          <w:tcPr>
            <w:tcW w:type="dxa" w:w="144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To</w:t>
            </w:r>
          </w:p>
        </w:tc>
        <w:tc>
          <w:tcPr>
            <w:tcW w:type="dxa" w:w="324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Information Sent</w:t>
            </w:r>
          </w:p>
        </w:tc>
        <w:tc>
          <w:tcPr>
            <w:tcW w:type="dxa" w:w="324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How It Improves the Next Cycle</w:t>
            </w:r>
          </w:p>
        </w:tc>
      </w:tr>
      <w:tr>
        <w:tc>
          <w:tcPr>
            <w:tcW w:type="dxa" w:w="14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Chemist</w:t>
            </w:r>
          </w:p>
        </w:tc>
        <w:tc>
          <w:tcPr>
            <w:tcW w:type="dxa" w:w="14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VAE</w:t>
            </w:r>
          </w:p>
        </w:tc>
        <w:tc>
          <w:tcPr>
            <w:tcW w:type="dxa" w:w="32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Hard constraints: elemental exclusion list, synthesis temperature limit, crystal structure family, particle size target, polymer compatibility requirement, formation energy threshold</w:t>
            </w:r>
          </w:p>
        </w:tc>
        <w:tc>
          <w:tcPr>
            <w:tcW w:type="dxa" w:w="32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Defines the feasible latent space. The VAE trains only on data within constraints; all generation is bounded. After each cycle, chemist tightens or relaxes constraints based on what DFT reveals — a constraint update is equivalent to redefining the search space for the next cycle.</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VAE + BO</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DFT</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20–50 novel compositions per cycle as elemental ratio vectors. Each composition accompanied by a predicted performance score and uncertainty estimate from the Gaussian Process surrogate.</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DFT evaluates the highest-uncertainty, highest-predicted-performance compositions first, maximizing information gain per compute hour. The uncertainty estimate tells DFT which candidates are most likely to surprise the model — those are the most valuable to evaluate.</w:t>
            </w:r>
          </w:p>
        </w:tc>
      </w:tr>
      <w:tr>
        <w:tc>
          <w:tcPr>
            <w:tcW w:type="dxa" w:w="14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DFT</w:t>
            </w:r>
          </w:p>
        </w:tc>
        <w:tc>
          <w:tcPr>
            <w:tcW w:type="dxa" w:w="14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VAE + BO</w:t>
            </w:r>
          </w:p>
        </w:tc>
        <w:tc>
          <w:tcPr>
            <w:tcW w:type="dxa" w:w="32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Computed band structure, optical absorption spectrum (α vs. λ), formation energy, simulated XRD pattern, and mechanical stability flag for each evaluated composition</w:t>
            </w:r>
          </w:p>
        </w:tc>
        <w:tc>
          <w:tcPr>
            <w:tcW w:type="dxa" w:w="32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Updates the Gaussian Process surrogate model with new (input fingerprint, DFT score) pairs. Model accuracy improves each cycle. DFT scores also reveal which regions of latent space the model was wrong about — high-error regions are targeted for more exploration in the next cycle.</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DFT</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Chemist</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Ranked shortlist of top 5–8 candidates with predicted optical spectra, XRD patterns, and stability scores. Flag: any candidate with unusual predicted properties (e.g. unexpectedly high visible absorption) that requires domain review before synthesis.</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Chemist reviews the DFT shortlist for synthesizability — not optical performance, which DFT has already scored. Chemist may eliminate a candidate that DFT ranks highly but that requires a precursor that is unavailable, or that would decompose under solvothermal conditions. Chemist's synthesis judgment is the final gate before lab work.</w:t>
            </w:r>
          </w:p>
        </w:tc>
      </w:tr>
      <w:tr>
        <w:tc>
          <w:tcPr>
            <w:tcW w:type="dxa" w:w="14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Synthesis Lab</w:t>
            </w:r>
          </w:p>
        </w:tc>
        <w:tc>
          <w:tcPr>
            <w:tcW w:type="dxa" w:w="14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VAE + DFT</w:t>
            </w:r>
          </w:p>
        </w:tc>
        <w:tc>
          <w:tcPr>
            <w:tcW w:type="dxa" w:w="32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Measured UV-Vis-NIR spectrum, XRD pattern, TEM particle size distribution, and zeta potential for each synthesized compound. Discrepancy report: where experimental measurement differs from DFT prediction and by how much.</w:t>
            </w:r>
          </w:p>
        </w:tc>
        <w:tc>
          <w:tcPr>
            <w:tcW w:type="dxa" w:w="32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Experimental data is the highest-quality signal in the system. Each measurement updates the VAE training set with a real data point (more reliable than DFT). Discrepancies calibrate the DFT correction factor — if DFT systematically over-predicts NIR absorption for Mo-doped bronzes, the surrogate model learns this correction automatically.</w:t>
            </w:r>
          </w:p>
        </w:tc>
      </w:tr>
    </w:tbl>
    <w:p>
      <w:pPr>
        <w:spacing w:before="60" w:after="0"/>
      </w:pPr>
      <w:r>
        <w:rPr>
          <w:rFonts w:ascii="Arial" w:cs="Arial" w:eastAsia="Arial" w:hAnsi="Arial"/>
        </w:rPr>
        <w:t xml:space="preserve"/>
      </w:r>
    </w:p>
    <w:p>
      <w:pPr>
        <w:pStyle w:val="Heading2"/>
        <w:spacing w:before="240" w:after="80"/>
      </w:pPr>
      <w:r>
        <w:rPr>
          <w:rFonts w:ascii="Arial" w:cs="Arial" w:eastAsia="Arial" w:hAnsi="Arial"/>
          <w:b/>
          <w:bCs/>
          <w:color w:val="1E3A5F"/>
          <w:sz w:val="22"/>
          <w:szCs w:val="22"/>
        </w:rPr>
        <w:t xml:space="preserve">4.5  Why This Architecture Outperforms Traditional Materials Search</w:t>
      </w:r>
    </w:p>
    <w:p>
      <w:pPr>
        <w:spacing w:before="60" w:after="60"/>
      </w:pPr>
      <w:r>
        <w:rPr>
          <w:rFonts w:ascii="Arial" w:cs="Arial" w:eastAsia="Arial" w:hAnsi="Arial"/>
          <w:color w:val="222222"/>
          <w:sz w:val="20"/>
          <w:szCs w:val="20"/>
        </w:rPr>
        <w:t xml:space="preserve">Three structural advantages make this framework materially faster and cheaper than conventional experimental discovery:</w:t>
      </w:r>
    </w:p>
    <w:p>
      <w:pPr>
        <w:spacing w:before="30" w:after="0"/>
      </w:pPr>
      <w:r>
        <w:rPr>
          <w:rFonts w:ascii="Arial" w:cs="Arial" w:eastAsia="Arial" w:hAnsi="Arial"/>
        </w:rPr>
        <w:t xml:space="preserve"/>
      </w:r>
    </w:p>
    <w:p>
      <w:pPr>
        <w:spacing w:before="60" w:after="60"/>
      </w:pPr>
      <w:r>
        <w:rPr>
          <w:rFonts w:ascii="Arial" w:cs="Arial" w:eastAsia="Arial" w:hAnsi="Arial"/>
          <w:color w:val="222222"/>
          <w:sz w:val="20"/>
          <w:szCs w:val="20"/>
        </w:rPr>
        <w:t xml:space="preserve">First, the constraint layer eliminates &gt;95% of the search space before any computational or experimental work is done. This is not a trivial saving. The Materials Project contains 150,000+ inorganic compounds; perhaps 5,000 meet the bandgap and elemental constraints for this application. The VAE operates on those 5,000, not 150,000. Every constraint the chemist encodes is a multiplication factor on the effective search speed.</w:t>
      </w:r>
    </w:p>
    <w:p>
      <w:pPr>
        <w:spacing w:before="30" w:after="0"/>
      </w:pPr>
      <w:r>
        <w:rPr>
          <w:rFonts w:ascii="Arial" w:cs="Arial" w:eastAsia="Arial" w:hAnsi="Arial"/>
        </w:rPr>
        <w:t xml:space="preserve"/>
      </w:r>
    </w:p>
    <w:p>
      <w:pPr>
        <w:spacing w:before="60" w:after="60"/>
      </w:pPr>
      <w:r>
        <w:rPr>
          <w:rFonts w:ascii="Arial" w:cs="Arial" w:eastAsia="Arial" w:hAnsi="Arial"/>
          <w:color w:val="222222"/>
          <w:sz w:val="20"/>
          <w:szCs w:val="20"/>
        </w:rPr>
        <w:t xml:space="preserve">Second, DFT as oracle converts the synthesis bottleneck into a compute bottleneck — and compute is 100–1000× faster and cheaper. A solvothermal synthesis + characterization run costs $500–$2,000 in materials and researcher time and produces results in 3–7 days. An HSE06 DFT calculation on an ACCESS-allocated HPCC (free to U.S. researchers via access-ci.org) produces results in 1–3 days for 50 compounds in parallel at zero direct cost. The framework exploits this asymmetry deliberately: do as much as possible computationally, synthesize only what computation has already validated.</w:t>
      </w:r>
    </w:p>
    <w:p>
      <w:pPr>
        <w:spacing w:before="30" w:after="0"/>
      </w:pPr>
      <w:r>
        <w:rPr>
          <w:rFonts w:ascii="Arial" w:cs="Arial" w:eastAsia="Arial" w:hAnsi="Arial"/>
        </w:rPr>
        <w:t xml:space="preserve"/>
      </w:r>
    </w:p>
    <w:p>
      <w:pPr>
        <w:spacing w:before="60" w:after="60"/>
      </w:pPr>
      <w:r>
        <w:rPr>
          <w:rFonts w:ascii="Arial" w:cs="Arial" w:eastAsia="Arial" w:hAnsi="Arial"/>
          <w:color w:val="222222"/>
          <w:sz w:val="20"/>
          <w:szCs w:val="20"/>
        </w:rPr>
        <w:t xml:space="preserve">Third, the system improves with each cycle. A chemist exploring the space by intuition accumulates experience that is not formally encoded and cannot be directly transferred to a successor. The VAE+BO system encodes every experimental result into the model's weights and training data. After 3 cycles, the surrogate model has been trained on 150+ DFT evaluations and 15+ experimental measurements; its predictions are systematically more accurate than in Cycle 1. The dataset that accumulates is itself a primary scientific deliverable — the Materials Project for NIR-selective bronzes, built specifically for this application, owned by the project.</w:t>
      </w:r>
    </w:p>
    <w:p>
      <w:pPr>
        <w:spacing w:before="80" w:after="0"/>
      </w:pPr>
      <w:r>
        <w:rPr>
          <w:rFonts w:ascii="Arial" w:cs="Arial" w:eastAsia="Arial" w:hAnsi="Arial"/>
        </w:rPr>
        <w:t xml:space="preserve"/>
      </w:r>
    </w:p>
    <w:p>
      <w:pPr>
        <w:pStyle w:val="Heading1"/>
        <w:pBdr>
          <w:bottom w:val="single" w:color="2A7F6F" w:sz="6"/>
        </w:pBdr>
        <w:spacing w:before="320" w:after="120"/>
      </w:pPr>
      <w:r>
        <w:rPr>
          <w:rFonts w:ascii="Arial" w:cs="Arial" w:eastAsia="Arial" w:hAnsi="Arial"/>
          <w:b/>
          <w:bCs/>
          <w:color w:val="2A7F6F"/>
          <w:sz w:val="28"/>
          <w:szCs w:val="28"/>
        </w:rPr>
        <w:t xml:space="preserve">5.  Virtual Screening: DFT Simulation Before Synthesis</w:t>
      </w:r>
    </w:p>
    <w:p>
      <w:pPr>
        <w:spacing w:before="60" w:after="60"/>
      </w:pPr>
      <w:r>
        <w:rPr>
          <w:rFonts w:ascii="Arial" w:cs="Arial" w:eastAsia="Arial" w:hAnsi="Arial"/>
          <w:color w:val="222222"/>
          <w:sz w:val="20"/>
          <w:szCs w:val="20"/>
        </w:rPr>
        <w:t xml:space="preserve">The largest cost bottleneck in materials discovery is not AI or characterization — it is synthesis itself. Every compound that must be physically made and measured consumes researcher time, reagents, and equipment hours. The strategy described here addresses this directly: use density functional theory (DFT) calculations running on a high-performance computing cluster (HPCC) to simulate key material properties computationally before committing to synthesis. Properties including the optical absorption spectrum, X-ray diffraction pattern, electronic band structure, and thermodynamic stability can all be predicted from first principles given only the crystal structure as input. This creates a virtual screening layer that eliminates poor candidates before the lab is ever involved.</w:t>
      </w:r>
    </w:p>
    <w:p>
      <w:pPr>
        <w:spacing w:before="40" w:after="0"/>
      </w:pPr>
      <w:r>
        <w:rPr>
          <w:rFonts w:ascii="Arial" w:cs="Arial" w:eastAsia="Arial" w:hAnsi="Arial"/>
        </w:rPr>
        <w:t xml:space="preserve"/>
      </w:r>
    </w:p>
    <w:p>
      <w:pPr>
        <w:spacing w:before="60" w:after="60"/>
      </w:pPr>
      <w:r>
        <w:rPr>
          <w:rFonts w:ascii="Arial" w:cs="Arial" w:eastAsia="Arial" w:hAnsi="Arial"/>
          <w:color w:val="222222"/>
          <w:sz w:val="20"/>
          <w:szCs w:val="20"/>
        </w:rPr>
        <w:t xml:space="preserve">The approach is well-validated in the materials literature. The Materials Project has published DFT-computed properties for over 150,000 inorganic compounds, with optical spectra, bandgaps, and XRD patterns computed using standardized workflows (Jain et al., 2013). For cesium tungsten bronzes specifically, Cong et al. (2016) demonstrated that DFT calculations using the HSE06 hybrid functional accurately reproduce the experimentally measured optical absorption onset and free-carrier plasmonic peak of Cs₀.₃₃WO₃, validating the computational approach against Nishimura et al. (2012) experimental data. This validation chain — compute known material, compare to published experiment, then apply to unknowns — is the standard protocol for credible computational materials screening.</w:t>
      </w:r>
    </w:p>
    <w:p>
      <w:pPr>
        <w:spacing w:before="60" w:after="0"/>
      </w:pPr>
      <w:r>
        <w:rPr>
          <w:rFonts w:ascii="Arial" w:cs="Arial" w:eastAsia="Arial" w:hAnsi="Arial"/>
        </w:rPr>
        <w:t xml:space="preserve"/>
      </w:r>
    </w:p>
    <w:p>
      <w:pPr>
        <w:pStyle w:val="Heading2"/>
        <w:spacing w:before="240" w:after="80"/>
      </w:pPr>
      <w:r>
        <w:rPr>
          <w:rFonts w:ascii="Arial" w:cs="Arial" w:eastAsia="Arial" w:hAnsi="Arial"/>
          <w:b/>
          <w:bCs/>
          <w:color w:val="1E3A5F"/>
          <w:sz w:val="22"/>
          <w:szCs w:val="22"/>
        </w:rPr>
        <w:t xml:space="preserve">5.1  What DFT Can Compute for This Project</w:t>
      </w:r>
    </w:p>
    <w:p>
      <w:pPr>
        <w:spacing w:before="60" w:after="60"/>
      </w:pPr>
      <w:r>
        <w:rPr>
          <w:rFonts w:ascii="Arial" w:cs="Arial" w:eastAsia="Arial" w:hAnsi="Arial"/>
          <w:color w:val="222222"/>
          <w:sz w:val="20"/>
          <w:szCs w:val="20"/>
        </w:rPr>
        <w:t xml:space="preserve">The following table maps each experimentally measured property to its computational equivalent, the DFT method required, and the known accuracy relative to experiment. Not all properties are equally tractable — the table is explicit about where DFT is reliable and where it requires correction or supplementation.</w:t>
      </w:r>
    </w:p>
    <w:p>
      <w:pPr>
        <w:spacing w:before="4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360"/>
        <w:gridCol w:w="2800"/>
      </w:tblGrid>
      <w:tr>
        <w:tc>
          <w:tcPr>
            <w:tcW w:type="dxa" w:w="20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Property Needed</w:t>
            </w:r>
          </w:p>
        </w:tc>
        <w:tc>
          <w:tcPr>
            <w:tcW w:type="dxa" w:w="2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DFT Approach</w:t>
            </w:r>
          </w:p>
        </w:tc>
        <w:tc>
          <w:tcPr>
            <w:tcW w:type="dxa" w:w="23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Expected Accuracy</w:t>
            </w:r>
          </w:p>
        </w:tc>
        <w:tc>
          <w:tcPr>
            <w:tcW w:type="dxa" w:w="28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Relevance to NIR Film Screening</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Electronic band structure + bandgap</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GGA-PBE for structure; HSE06 hybrid functional for accurate gap. GW many-body perturbation theory for highest accuracy.</w:t>
            </w:r>
          </w:p>
        </w:tc>
        <w:tc>
          <w:tcPr>
            <w:tcW w:type="dxa" w:w="2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GGA: underestimates by 30–50% (known systematic error). HSE06: typically ±0.2 eV. GW: ±0.1 eV but 10–100× more expensive.</w:t>
            </w:r>
          </w:p>
        </w:tc>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Bandgap directly controls where absorption begins. Target: 1.5–2.0 eV (NIR absorbing, visible transparent). HSE06 is the practical choice for screening; GW reserved for top candidates.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Optical absorption spectrum (ε₁, ε₂)</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Time-dependent DFT (TD-DFT) for molecules; for periodic crystals: dielectric function from GW + Bethe-Salpeter equation (BSE), or HSE06 + linear response.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HSE06 + linear response: qualitatively correct peak positions, ±0.3 eV. BSE: quantitative, ±0.1 eV. Standard GGA severely underestimates absorption onset.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Directly predicts NIR absorption coefficient and visible transmission — the primary screening criterion. Cong et al. (2016) validated HSE06 for Cs-W bronzes. This is the highest-value computational output.</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Simulated X-ray diffraction (XRD) pattern</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Computed directly from the DFT-relaxed crystal structure using the Bragg equation and atomic form factors. No approximation beyond the structure itself.</w:t>
            </w:r>
          </w:p>
        </w:tc>
        <w:tc>
          <w:tcPr>
            <w:tcW w:type="dxa" w:w="2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Essentially exact for phase identification. Peak positions accurate to &lt;0.01° 2θ for well-converged structures.</w:t>
            </w:r>
          </w:p>
        </w:tc>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Provides the reference pattern for comparison with experimental XRD after synthesis. If the synthesized material's XRD matches the simulated pattern, the correct crystal phase was formed. Eliminates the need for a standard reference compound in the lab.</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Thermodynamic stability (formation energy, convex hull)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Total energy DFT (GGA-PBE). Formation energy relative to competing phases computed against the Materials Project convex hull database.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Formation energy: ±0.05 eV/atom. Convex hull distance: reliable for phase stability screening; does not capture kinetic stability.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Eliminates candidates that are thermodynamically unstable before any synthesis attempt. A compound above the convex hull by &gt;0.1 eV/atom is unlikely to form as a pure phase under solvothermal conditions.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Mechanical stability (phonon spectrum)</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Density functional perturbation theory (DFPT) for phonon dispersion. Imaginary frequencies in phonon spectrum = dynamically unstable structure.</w:t>
            </w:r>
          </w:p>
        </w:tc>
        <w:tc>
          <w:tcPr>
            <w:tcW w:type="dxa" w:w="2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Reliable with GGA-PBE; computationally expensive for large unit cells. Screen with elastic constants first (faster).</w:t>
            </w:r>
          </w:p>
        </w:tc>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Confirms the proposed crystal structure is physically stable — a prerequisite before synthesis. Particularly important for novel Cs:W ratios not in the literature.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Free-carrier plasmonic response (Drude contribution)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DFT band structure + Drude-Lorentz model fit for free-carrier contribution to NIR absorption. Required for metallic or semi-metallic bronzes.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Semi-quantitative; Drude parameters (plasma frequency, damping) require fitting to experimental optical data for the reference compound. Works well for trend prediction across Cs:W ratios.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Critical for Cs-W bronzes: the NIR plasmonic absorption is a free-carrier effect, not a band-to-band transition. Pure DFT captures the band structure; the Drude term captures the plasmonic peak. Combination is validated in the literature (Cong et al. 2016, Hara et al. 2013).</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F6F" w:sz="8"/>
              <w:left w:val="single" w:color="CCCCCC" w:sz="1"/>
              <w:bottom w:val="single" w:color="CCCCCC" w:sz="1"/>
              <w:right w:val="single" w:color="CCCCCC" w:sz="1"/>
            </w:tcBorders>
            <w:shd w:fill="EAF4F1" w:val="clear"/>
            <w:tcMar>
              <w:top w:type="dxa" w:w="120"/>
              <w:left w:type="dxa" w:w="160"/>
              <w:bottom w:type="dxa" w:w="120"/>
              <w:right w:type="dxa" w:w="160"/>
            </w:tcMar>
          </w:tcPr>
          <w:p>
            <w:r>
              <w:rPr>
                <w:rFonts w:ascii="Arial" w:cs="Arial" w:eastAsia="Arial" w:hAnsi="Arial"/>
                <w:b/>
                <w:bCs/>
                <w:color w:val="2A7F6F"/>
                <w:sz w:val="19"/>
                <w:szCs w:val="19"/>
              </w:rPr>
              <w:t xml:space="preserve">Computational Cost Context:</w:t>
            </w:r>
          </w:p>
          <w:p>
            <w:pPr>
              <w:spacing w:before="40" w:after="0"/>
            </w:pPr>
            <w:r>
              <w:rPr>
                <w:rFonts w:ascii="Arial" w:cs="Arial" w:eastAsia="Arial" w:hAnsi="Arial"/>
                <w:color w:val="222222"/>
                <w:sz w:val="19"/>
                <w:szCs w:val="19"/>
              </w:rPr>
              <w:t xml:space="preserve">A standard GGA-PBE geometry optimization + XRD simulation for a Cs-W bronze unit cell (~10–20 atoms) runs in 2–4 hours on 32 cores of an HPCC. An HSE06 optical spectrum calculation on the same cell runs in 24–72 hours on 64–128 cores. A full GW+BSE calculation runs in 3–7 days on 128+ cores. For preliminary screening, GGA for stability + HSE06 for optical properties is the practical sweet spot: fast enough to screen 20–50 compositions in a few weeks of HPCC time, accurate enough to reliably rank candidates.</w:t>
            </w:r>
          </w:p>
        </w:tc>
      </w:tr>
    </w:tbl>
    <w:p>
      <w:pPr>
        <w:spacing w:before="60" w:after="0"/>
      </w:pPr>
      <w:r>
        <w:rPr>
          <w:rFonts w:ascii="Arial" w:cs="Arial" w:eastAsia="Arial" w:hAnsi="Arial"/>
        </w:rPr>
        <w:t xml:space="preserve"/>
      </w:r>
    </w:p>
    <w:p>
      <w:pPr>
        <w:pStyle w:val="Heading2"/>
        <w:spacing w:before="240" w:after="80"/>
      </w:pPr>
      <w:r>
        <w:rPr>
          <w:rFonts w:ascii="Arial" w:cs="Arial" w:eastAsia="Arial" w:hAnsi="Arial"/>
          <w:b/>
          <w:bCs/>
          <w:color w:val="1E3A5F"/>
          <w:sz w:val="22"/>
          <w:szCs w:val="22"/>
        </w:rPr>
        <w:t xml:space="preserve">5.2  Validation Protocol: Reproduce Before You Predict</w:t>
      </w:r>
    </w:p>
    <w:p>
      <w:pPr>
        <w:spacing w:before="60" w:after="60"/>
      </w:pPr>
      <w:r>
        <w:rPr>
          <w:rFonts w:ascii="Arial" w:cs="Arial" w:eastAsia="Arial" w:hAnsi="Arial"/>
          <w:color w:val="222222"/>
          <w:sz w:val="20"/>
          <w:szCs w:val="20"/>
        </w:rPr>
        <w:t xml:space="preserve">The workflow begins with a validation step, not a prediction step. This is non-negotiable: a computational method that cannot reproduce a known experimental result has no credibility when applied to an unknown material. The validation sequence for this project is:</w:t>
      </w:r>
    </w:p>
    <w:p>
      <w:pPr>
        <w:spacing w:before="4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3840"/>
        <w:gridCol w:w="2640"/>
      </w:tblGrid>
      <w:tr>
        <w:tc>
          <w:tcPr>
            <w:tcW w:type="dxa" w:w="4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Step</w:t>
            </w:r>
          </w:p>
        </w:tc>
        <w:tc>
          <w:tcPr>
            <w:tcW w:type="dxa" w:w="2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Action</w:t>
            </w:r>
          </w:p>
        </w:tc>
        <w:tc>
          <w:tcPr>
            <w:tcW w:type="dxa" w:w="384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What to Compare</w:t>
            </w:r>
          </w:p>
        </w:tc>
        <w:tc>
          <w:tcPr>
            <w:tcW w:type="dxa" w:w="264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Pass Criterion</w:t>
            </w:r>
          </w:p>
        </w:tc>
      </w:tr>
      <w:tr>
        <w:tc>
          <w:tcPr>
            <w:tcW w:type="dxa" w:w="4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V1</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Compute Cs₀.₃₃WO₃ crystal structure (GGA-PBE relaxation)</w:t>
            </w:r>
          </w:p>
        </w:tc>
        <w:tc>
          <w:tcPr>
            <w:tcW w:type="dxa" w:w="38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Compare relaxed lattice parameters (a, b, c, angles) to experimental values from Hara et al. (2013) and ICSD entry for monoclinic CsxWO₃ phase</w:t>
            </w:r>
          </w:p>
        </w:tc>
        <w:tc>
          <w:tcPr>
            <w:tcW w:type="dxa" w:w="26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Lattice parameters within 2% of experiment; correct space group reproduced</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V2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Simulate XRD pattern from relaxed structure</w:t>
            </w:r>
          </w:p>
        </w:tc>
        <w:tc>
          <w:tcPr>
            <w:tcW w:type="dxa" w:w="3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Compare simulated 2θ peak positions and relative intensities to experimental XRD published in Nishimura et al. (2012) and Guo et al. (2018)</w:t>
            </w:r>
          </w:p>
        </w:tc>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Major peak positions match within 0.5° 2θ; characteristic (001), (002), (200) reflections of monoclinic phase reproduced in correct intensity order</w:t>
            </w:r>
          </w:p>
        </w:tc>
      </w:tr>
      <w:tr>
        <w:tc>
          <w:tcPr>
            <w:tcW w:type="dxa" w:w="4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V3</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Compute electronic band structure and bandgap (HSE06)</w:t>
            </w:r>
          </w:p>
        </w:tc>
        <w:tc>
          <w:tcPr>
            <w:tcW w:type="dxa" w:w="38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Compare to reported optical bandgap of ~1.5–1.8 eV for Cs₀.₃₃WO₃ from UV-Vis absorption onset in Nishimura et al. (2012)</w:t>
            </w:r>
          </w:p>
        </w:tc>
        <w:tc>
          <w:tcPr>
            <w:tcW w:type="dxa" w:w="26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HSE06 bandgap within ±0.3 eV of experimental optical gap; correct semi-metallic character reproduced</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V4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Compute optical absorption spectrum (HSE06 dielectric function + Drude model)</w:t>
            </w:r>
          </w:p>
        </w:tc>
        <w:tc>
          <w:tcPr>
            <w:tcW w:type="dxa" w:w="3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Compare computed ε₂ (imaginary dielectric) and derived absorption coefficient α(λ) to experimental UV-Vis-NIR spectrum of Cs₀.₃₃WO₃ nanoparticles from Cong et al. (2016) and Guo et al. (2018) — including visible transparency window and NIR plasmonic peak position</w:t>
            </w:r>
          </w:p>
        </w:tc>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NIR absorption peak within ±100 nm of measured value; visible transmission plateau reproduced; Drude parameters physically reasonable (plasma frequency 0.8–1.2 eV, damping 0.1–0.4 eV)</w:t>
            </w:r>
          </w:p>
        </w:tc>
      </w:tr>
      <w:tr>
        <w:tc>
          <w:tcPr>
            <w:tcW w:type="dxa" w:w="4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V5</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Repeat V1–V4 for LaB₆ as a second validation compound</w:t>
            </w:r>
          </w:p>
        </w:tc>
        <w:tc>
          <w:tcPr>
            <w:tcW w:type="dxa" w:w="38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LaB₆ is the most computationally studied NIR plasmonic material; extensive experimental and DFT literature (Schelm &amp; Smith 2003; Nunes et al. 2010). Validates method generalization beyond Cs-W bronze family.</w:t>
            </w:r>
          </w:p>
        </w:tc>
        <w:tc>
          <w:tcPr>
            <w:tcW w:type="dxa" w:w="26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Same pass criteria as V1–V4; confirms method is not overfitted to Cs-W bronze chemistry</w:t>
            </w:r>
          </w:p>
        </w:tc>
      </w:tr>
    </w:tbl>
    <w:p>
      <w:pPr>
        <w:spacing w:before="40" w:after="0"/>
      </w:pPr>
      <w:r>
        <w:rPr>
          <w:rFonts w:ascii="Arial" w:cs="Arial" w:eastAsia="Arial" w:hAnsi="Arial"/>
        </w:rPr>
        <w:t xml:space="preserve"/>
      </w:r>
    </w:p>
    <w:p>
      <w:pPr>
        <w:spacing w:before="60" w:after="60"/>
      </w:pPr>
      <w:r>
        <w:rPr>
          <w:rFonts w:ascii="Arial" w:cs="Arial" w:eastAsia="Arial" w:hAnsi="Arial"/>
          <w:color w:val="222222"/>
          <w:sz w:val="20"/>
          <w:szCs w:val="20"/>
        </w:rPr>
        <w:t xml:space="preserve">If validation steps V1–V4 pass for both Cs₀.₃₃WO₃ and LaB₆, the computational protocol is established. This is the result that gets reported in the SBIR proposal and, eventually, in the first publication: "We validated HSE06+Drude optical calculations against published experimental spectra for two reference NIR absorbers before applying the method to novel compositions." That sentence converts a computational prediction from speculation into a defensible scientific claim.</w:t>
      </w:r>
    </w:p>
    <w:p>
      <w:pPr>
        <w:spacing w:before="60" w:after="0"/>
      </w:pPr>
      <w:r>
        <w:rPr>
          <w:rFonts w:ascii="Arial" w:cs="Arial" w:eastAsia="Arial" w:hAnsi="Arial"/>
        </w:rPr>
        <w:t xml:space="preserve"/>
      </w:r>
    </w:p>
    <w:p>
      <w:pPr>
        <w:pStyle w:val="Heading2"/>
        <w:spacing w:before="240" w:after="80"/>
      </w:pPr>
      <w:r>
        <w:rPr>
          <w:rFonts w:ascii="Arial" w:cs="Arial" w:eastAsia="Arial" w:hAnsi="Arial"/>
          <w:b/>
          <w:bCs/>
          <w:color w:val="1E3A5F"/>
          <w:sz w:val="22"/>
          <w:szCs w:val="22"/>
        </w:rPr>
        <w:t xml:space="preserve">5.3  Screening Workflow: Known → Validated → Novel</w:t>
      </w:r>
    </w:p>
    <w:p>
      <w:pPr>
        <w:spacing w:before="60" w:after="60"/>
      </w:pPr>
      <w:r>
        <w:rPr>
          <w:rFonts w:ascii="Arial" w:cs="Arial" w:eastAsia="Arial" w:hAnsi="Arial"/>
          <w:color w:val="222222"/>
          <w:sz w:val="20"/>
          <w:szCs w:val="20"/>
        </w:rPr>
        <w:t xml:space="preserve">Once validated, the computational pipeline screens new compositions systematically. For cesium tungsten bronzes the primary compositional variable is the Cs:W ratio, which controls free-carrier density and therefore the plasma frequency (position of the NIR plasmonic peak). Secondary variables include co-dopant elements (Mo, Nb, Re substituting for W; Rb or K substituting for Cs) and oxygen stoichiometry. Each combination is a candidate for computational screening.</w:t>
      </w:r>
    </w:p>
    <w:p>
      <w:pPr>
        <w:spacing w:before="4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80"/>
        <w:gridCol w:w="2280"/>
        <w:gridCol w:w="2600"/>
      </w:tblGrid>
      <w:tr>
        <w:tc>
          <w:tcPr>
            <w:tcW w:type="dxa" w:w="1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Phase</w:t>
            </w:r>
          </w:p>
        </w:tc>
        <w:tc>
          <w:tcPr>
            <w:tcW w:type="dxa" w:w="32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Compositions Screened</w:t>
            </w:r>
          </w:p>
        </w:tc>
        <w:tc>
          <w:tcPr>
            <w:tcW w:type="dxa" w:w="22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Compute Cost (estimate)</w:t>
            </w:r>
          </w:p>
        </w:tc>
        <w:tc>
          <w:tcPr>
            <w:tcW w:type="dxa" w:w="26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Output Used For</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Screen 1</w:t>
            </w:r>
          </w:p>
        </w:tc>
        <w:tc>
          <w:tcPr>
            <w:tcW w:type="dxa" w:w="32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Cs:W ratios 0.20, 0.25, 0.30, 0.33, 0.36, 0.40 in the monoclinic bronze phase — 6 compositions. GGA-PBE geometry + XRD simulation + HSE06 band structure.</w:t>
            </w:r>
          </w:p>
        </w:tc>
        <w:tc>
          <w:tcPr>
            <w:tcW w:type="dxa" w:w="22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~3 days on 64-core HPCC allocation</w:t>
            </w:r>
          </w:p>
        </w:tc>
        <w:tc>
          <w:tcPr>
            <w:tcW w:type="dxa" w:w="2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Map how NIR peak position shifts with Cs:W ratio. Identify which ratios place the absorption edge nearest to 750 nm target cutoff.</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Screen 2</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Best 3 Cs:W ratios from Screen 1 + Mo substitution at 5, 10, 20% of W sites (9 compositions). Target: Mo doping narrows absorption peak toward NIR, potentially improving visible transparency.</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~5 days on 64-core allocation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Identify whether Mo co-doping improves NIR/visible selectivity ratio beyond pure Cs-W bronze. Feed best 3 into Bayesian Optimization as starting dataset.</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Screen 3 (AI-guided)</w:t>
            </w:r>
          </w:p>
        </w:tc>
        <w:tc>
          <w:tcPr>
            <w:tcW w:type="dxa" w:w="32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Bayesian Optimization selects next 5–8 compositions to compute from the expanded search space (Cs:W ratio × dopant type × dopant concentration). Model trained on Screens 1–2 data. Each BO cycle: predict → compute → update.</w:t>
            </w:r>
          </w:p>
        </w:tc>
        <w:tc>
          <w:tcPr>
            <w:tcW w:type="dxa" w:w="22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~2 days per BO cycle × 3–4 cycles</w:t>
            </w:r>
          </w:p>
        </w:tc>
        <w:tc>
          <w:tcPr>
            <w:tcW w:type="dxa" w:w="2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Narrow the candidate list to 3–5 compositions predicted to meet full optical specification. These are handed to the chemist for synthesis — the first time a lab is involved.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Synthesis shortlist</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3–5 compositions with: (a) DFT-predicted NIR absorption peak 750–1000 nm, (b) computed bandgap &gt;1.8 eV (visible transparency), (c) formation energy within 0.05 eV/atom of convex hull, (d) no imaginary phonon modes.</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Synthesis + experimental characterization begin here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Experimentally synthesized, characterized by TEM/XRD/UV-Vis-NIR, and compared back to DFT predictions. Discrepancies update the model.</w:t>
            </w:r>
          </w:p>
        </w:tc>
      </w:tr>
    </w:tbl>
    <w:p>
      <w:pPr>
        <w:spacing w:before="60" w:after="0"/>
      </w:pPr>
      <w:r>
        <w:rPr>
          <w:rFonts w:ascii="Arial" w:cs="Arial" w:eastAsia="Arial" w:hAnsi="Arial"/>
        </w:rPr>
        <w:t xml:space="preserve"/>
      </w:r>
    </w:p>
    <w:p>
      <w:pPr>
        <w:pStyle w:val="Heading2"/>
        <w:spacing w:before="240" w:after="80"/>
      </w:pPr>
      <w:r>
        <w:rPr>
          <w:rFonts w:ascii="Arial" w:cs="Arial" w:eastAsia="Arial" w:hAnsi="Arial"/>
          <w:b/>
          <w:bCs/>
          <w:color w:val="1E3A5F"/>
          <w:sz w:val="22"/>
          <w:szCs w:val="22"/>
        </w:rPr>
        <w:t xml:space="preserve">5.4  Open-Source Software Stack: Zero Licensing Cost</w:t>
      </w:r>
    </w:p>
    <w:p>
      <w:pPr>
        <w:spacing w:before="60" w:after="60"/>
      </w:pPr>
      <w:r>
        <w:rPr>
          <w:rFonts w:ascii="Arial" w:cs="Arial" w:eastAsia="Arial" w:hAnsi="Arial"/>
          <w:color w:val="222222"/>
          <w:sz w:val="20"/>
          <w:szCs w:val="20"/>
        </w:rPr>
        <w:t xml:space="preserve">The entire computational workflow for this project runs on free, open-source software. No commercial licenses are required at any stage of the preliminary phase. VASP, which appears in much of the academic DFT literature and was referenced in earlier versions of this document, is explicitly excluded — it costs ~$4,000 and adds no capability that the open-source stack below cannot provide for this specific application. The tools are organized into three tiers: the core DFT engine that runs on the HPCC cluster, beyond-DFT tools for high-accuracy optical spectra, and the Python ecosystem for structure management, post-processing, and pipeline automation.</w:t>
      </w:r>
    </w:p>
    <w:p>
      <w:pPr>
        <w:spacing w:before="4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F6F" w:sz="8"/>
              <w:left w:val="single" w:color="CCCCCC" w:sz="1"/>
              <w:bottom w:val="single" w:color="CCCCCC" w:sz="1"/>
              <w:right w:val="single" w:color="CCCCCC" w:sz="1"/>
            </w:tcBorders>
            <w:shd w:fill="EAF4F1" w:val="clear"/>
            <w:tcMar>
              <w:top w:type="dxa" w:w="120"/>
              <w:left w:type="dxa" w:w="160"/>
              <w:bottom w:type="dxa" w:w="120"/>
              <w:right w:type="dxa" w:w="160"/>
            </w:tcMar>
          </w:tcPr>
          <w:p>
            <w:r>
              <w:rPr>
                <w:rFonts w:ascii="Arial" w:cs="Arial" w:eastAsia="Arial" w:hAnsi="Arial"/>
                <w:b/>
                <w:bCs/>
                <w:color w:val="2A7F6F"/>
                <w:sz w:val="19"/>
                <w:szCs w:val="19"/>
              </w:rPr>
              <w:t xml:space="preserve">Compute Access: $0 via NSF ACCESS</w:t>
            </w:r>
          </w:p>
          <w:p>
            <w:pPr>
              <w:spacing w:before="40" w:after="0"/>
            </w:pPr>
            <w:r>
              <w:rPr>
                <w:rFonts w:ascii="Arial" w:cs="Arial" w:eastAsia="Arial" w:hAnsi="Arial"/>
                <w:color w:val="222222"/>
                <w:sz w:val="19"/>
                <w:szCs w:val="19"/>
              </w:rPr>
              <w:t xml:space="preserve">All software below runs on NSF ACCESS clusters (access-ci.org). An EXPLORE ACCESS allocation is approved in 1–2 business days and requires only a brief scientific justification and resource usage plan. No cost to the researcher. Quantum ESPRESSO is pre-installed on TACC Stampede3, PSC Bridges-2, and most major ACCESS resources. All other tools install via pip or conda in the user’s home directory without admin privileges.</w:t>
            </w:r>
          </w:p>
        </w:tc>
      </w:tr>
    </w:tbl>
    <w:p>
      <w:pPr>
        <w:spacing w:before="50" w:after="0"/>
      </w:pPr>
      <w:r>
        <w:rPr>
          <w:rFonts w:ascii="Arial" w:cs="Arial" w:eastAsia="Arial" w:hAnsi="Arial"/>
        </w:rPr>
        <w:t xml:space="preserve"/>
      </w:r>
    </w:p>
    <w:p>
      <w:pPr>
        <w:spacing w:before="20" w:after="20"/>
      </w:pPr>
      <w:r>
        <w:rPr>
          <w:rFonts w:ascii="Arial" w:cs="Arial" w:eastAsia="Arial" w:hAnsi="Arial"/>
          <w:b/>
          <w:bCs/>
          <w:color w:val="1E3A5F"/>
          <w:sz w:val="20"/>
          <w:szCs w:val="20"/>
        </w:rPr>
        <w:t xml:space="preserve">Tier 1 — Core DFT Engine (Geometry, Band Structure, Optical Spectrum, XRD)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480"/>
        <w:gridCol w:w="3640"/>
        <w:gridCol w:w="3480"/>
      </w:tblGrid>
      <w:tr>
        <w:tc>
          <w:tcPr>
            <w:tcW w:type="dxa" w:w="17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Software</w:t>
            </w:r>
          </w:p>
        </w:tc>
        <w:tc>
          <w:tcPr>
            <w:tcW w:type="dxa" w:w="4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Cost</w:t>
            </w:r>
          </w:p>
        </w:tc>
        <w:tc>
          <w:tcPr>
            <w:tcW w:type="dxa" w:w="364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What It Does for This Project</w:t>
            </w:r>
          </w:p>
        </w:tc>
        <w:tc>
          <w:tcPr>
            <w:tcW w:type="dxa" w:w="34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How to Get It on ACCESS</w:t>
            </w:r>
          </w:p>
        </w:tc>
      </w:tr>
      <w:tr>
        <w:tc>
          <w:tcPr>
            <w:tcW w:type="dxa" w:w="1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Quantum ESPRESSO (QE) — PRIMARY ENGINE</w:t>
            </w:r>
          </w:p>
        </w:tc>
        <w:tc>
          <w:tcPr>
            <w:tcW w:type="dxa" w:w="4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Free (GPL)</w:t>
            </w:r>
          </w:p>
        </w:tc>
        <w:tc>
          <w:tcPr>
            <w:tcW w:type="dxa" w:w="36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The workhorse for all ground-state DFT in this project. pw.x solves the Kohn-Sham equations for periodic solids using a plane-wave basis and pseudopotentials — produces relaxed crystal geometries, band structures, and formation energies for all candidate Cs-W bronze compositions. ph.x runs density-functional perturbation theory (DFPT) for phonon spectra (mechanical stability check). epsilon.x computes the dielectric function ε₁(ω) and ε₂(ω) directly from the DFT wavefunction — this is the optical absorption spectrum, mapping directly to the NIR/visible absorption needed for candidate screening. Also handles GGA-PBE, PBE+U for transition metal oxides (V-doped TiO₂), and hybrid HSE06 via the thermo_pw plugin.</w:t>
            </w:r>
          </w:p>
        </w:tc>
        <w:tc>
          <w:tcPr>
            <w:tcW w:type="dxa" w:w="34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Pre-installed on TACC Stampede3, PSC Bridges-2, NCSA Delta, and most ACCESS resources. Load with: module load quantum-espresso. No installation needed. Runs MPI-parallel across hundreds to thousands of cores. quantum-espresso.org</w:t>
            </w:r>
          </w:p>
        </w:tc>
      </w:tr>
      <w:tr>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GPAW — PYTHON-NATIVE ALTERNATIVE</w:t>
            </w:r>
          </w:p>
        </w:tc>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Free (LGPL)</w:t>
            </w:r>
          </w:p>
        </w:tc>
        <w:tc>
          <w:tcPr>
            <w:tcW w:type="dxa" w:w="3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Open-source DFT code written in Python, tightly integrated with ASE. Supports plane-wave (PW), real-space grid, and atomic orbital representations. Key advantages for this pipeline: (1) native GW + Bethe-Salpeter Equation (BSE) for high-accuracy optical spectra without a separate post-processing code; (2) Python-first design means GPAW calculations launch, monitor, and post-process within the same Python script as the VAE/BO pipeline — tight loop integration; (3) hybrid functionals (HSE06) in PW mode for accurate bandgaps. GPU-accelerated in GPAW v25+ (CuPy backend) on ACCESS Delta/Bridges-2 GPU partitions.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pip install gpaw &amp;&amp; gpaw install-data ~/gpaw-datasets. Installs in user home directory on any ACCESS cluster, no admin needed. gpaw.readthedocs.io</w:t>
            </w:r>
          </w:p>
        </w:tc>
      </w:tr>
      <w:tr>
        <w:tc>
          <w:tcPr>
            <w:tcW w:type="dxa" w:w="1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ABINIT</w:t>
            </w:r>
          </w:p>
        </w:tc>
        <w:tc>
          <w:tcPr>
            <w:tcW w:type="dxa" w:w="4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Free (GPL)</w:t>
            </w:r>
          </w:p>
        </w:tc>
        <w:tc>
          <w:tcPr>
            <w:tcW w:type="dxa" w:w="36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Mature periodic DFT code strong for GW quasiparticle calculations (built-in, no separate post-processing). Computes total energy, band structure, dielectric function, phonons, and elastic constants. Particularly well-validated for metal oxides. Use case: secondary validation of QE results for key compositions; alternative if QE convergence is difficult for a specific Cs:W stoichiometry. Interfaces with pymatgen via the AbiPy package.</w:t>
            </w:r>
          </w:p>
        </w:tc>
        <w:tc>
          <w:tcPr>
            <w:tcW w:type="dxa" w:w="34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conda install -c conda-forge abinit or module load abinit on many ACCESS resources. pip install abipy for Python automation layer. abinit.org</w:t>
            </w:r>
          </w:p>
        </w:tc>
      </w:tr>
    </w:tbl>
    <w:p>
      <w:pPr>
        <w:spacing w:before="50" w:after="0"/>
      </w:pPr>
      <w:r>
        <w:rPr>
          <w:rFonts w:ascii="Arial" w:cs="Arial" w:eastAsia="Arial" w:hAnsi="Arial"/>
        </w:rPr>
        <w:t xml:space="preserve"/>
      </w:r>
    </w:p>
    <w:p>
      <w:pPr>
        <w:spacing w:before="20" w:after="20"/>
      </w:pPr>
      <w:r>
        <w:rPr>
          <w:rFonts w:ascii="Arial" w:cs="Arial" w:eastAsia="Arial" w:hAnsi="Arial"/>
          <w:b/>
          <w:bCs/>
          <w:color w:val="1E3A5F"/>
          <w:sz w:val="20"/>
          <w:szCs w:val="20"/>
        </w:rPr>
        <w:t xml:space="preserve">Tier 2 — Beyond-DFT: High-Accuracy Optical Spectra (GW + Bethe-Salpeter Equation)</w:t>
      </w:r>
    </w:p>
    <w:p>
      <w:pPr>
        <w:spacing w:before="60" w:after="60"/>
      </w:pPr>
      <w:r>
        <w:rPr>
          <w:rFonts w:ascii="Arial" w:cs="Arial" w:eastAsia="Arial" w:hAnsi="Arial"/>
          <w:color w:val="222222"/>
          <w:sz w:val="20"/>
          <w:szCs w:val="20"/>
        </w:rPr>
        <w:t xml:space="preserve">Standard DFT (GGA-PBE) underestimates bandgaps and gets optical absorption onset positions wrong by 30–50%. For preliminary screening this is acceptable — relative candidate ranking is reliable even if absolute peak positions are off. For the top 3–5 shortlisted candidates before synthesis, GW+BSE corrections bring accuracy to ±0.1–0.2 eV — sufficient to confidently predict whether a candidate’s NIR peak falls at 750–1000 nm vs. 1200+ nm. Both tools take QE or GPAW wavefunctions as input.</w:t>
      </w:r>
    </w:p>
    <w:p>
      <w:pPr>
        <w:spacing w:before="3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480"/>
        <w:gridCol w:w="3640"/>
        <w:gridCol w:w="3480"/>
      </w:tblGrid>
      <w:tr>
        <w:tc>
          <w:tcPr>
            <w:tcW w:type="dxa" w:w="17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Software</w:t>
            </w:r>
          </w:p>
        </w:tc>
        <w:tc>
          <w:tcPr>
            <w:tcW w:type="dxa" w:w="4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Cost</w:t>
            </w:r>
          </w:p>
        </w:tc>
        <w:tc>
          <w:tcPr>
            <w:tcW w:type="dxa" w:w="364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What It Does for This Project</w:t>
            </w:r>
          </w:p>
        </w:tc>
        <w:tc>
          <w:tcPr>
            <w:tcW w:type="dxa" w:w="34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How to Get It on ACCESS</w:t>
            </w:r>
          </w:p>
        </w:tc>
      </w:tr>
      <w:tr>
        <w:tc>
          <w:tcPr>
            <w:tcW w:type="dxa" w:w="1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YAMBO</w:t>
            </w:r>
          </w:p>
        </w:tc>
        <w:tc>
          <w:tcPr>
            <w:tcW w:type="dxa" w:w="4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Free (GPL)</w:t>
            </w:r>
          </w:p>
        </w:tc>
        <w:tc>
          <w:tcPr>
            <w:tcW w:type="dxa" w:w="36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Open-source GW and GW-BSE code running on top of Quantum ESPRESSO output. Workflow: QE pw.x → p2y converter (included) → YAMBO GW quasiparticle corrections (fixes DFT bandgap underestimation) → YAMBO BSE (adds electron-hole excitonic interactions) → optical absorption spectrum α(λ) with quasiparticle + excitonic corrections. For metal oxides like Cs-W bronzes, excitonic effects can shift the absorption edge by 0.1–0.3 eV — YAMBO captures this. Tutorial library available at yambo-code.eu.</w:t>
            </w:r>
          </w:p>
        </w:tc>
        <w:tc>
          <w:tcPr>
            <w:tcW w:type="dxa" w:w="34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Pre-installed on TACC Lonestar6. Also: conda install -c conda-forge yambo-suite (includes p2y converter and yambopy Python interface). yambo-code.org</w:t>
            </w:r>
          </w:p>
        </w:tc>
      </w:tr>
      <w:tr>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BerkeleyGW</w:t>
            </w:r>
          </w:p>
        </w:tc>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Free (BSD)</w:t>
            </w:r>
          </w:p>
        </w:tc>
        <w:tc>
          <w:tcPr>
            <w:tcW w:type="dxa" w:w="3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Gold-standard GW+BSE code from Lawrence Berkeley National Laboratory. v4.0 (March 2024) adds full GPU acceleration for the entire GW+BSE workflow — 86× speedup vs. CPU. For a Cs-W bronze unit cell (~10–20 atoms) a full GW+BSE optical spectrum takes 4–8 hours on ACCESS GPU nodes vs. days on CPU. Interfaces with QE via the pw2bgw.x converter included in QE distributions. Optical spectrum predictions for metal oxides typically agree with experiment to ±0.15 eV. Primary citation: Deslippe et al. (2012) Comput. Phys. Commun. 183, 1269.</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Free download: berkeleygw.org/download (BSD license). Build from source on ACCESS with standard MPI+ScaLAPACK. GPU build uses CUDA (NVIDIA) or HIP (AMD) — both available on ACCESS Delta and Bridges-2 GPU partitions.</w:t>
            </w:r>
          </w:p>
        </w:tc>
      </w:tr>
    </w:tbl>
    <w:p>
      <w:pPr>
        <w:spacing w:before="50" w:after="0"/>
      </w:pPr>
      <w:r>
        <w:rPr>
          <w:rFonts w:ascii="Arial" w:cs="Arial" w:eastAsia="Arial" w:hAnsi="Arial"/>
        </w:rPr>
        <w:t xml:space="preserve"/>
      </w:r>
    </w:p>
    <w:p>
      <w:pPr>
        <w:spacing w:before="20" w:after="20"/>
      </w:pPr>
      <w:r>
        <w:rPr>
          <w:rFonts w:ascii="Arial" w:cs="Arial" w:eastAsia="Arial" w:hAnsi="Arial"/>
          <w:b/>
          <w:bCs/>
          <w:color w:val="1E3A5F"/>
          <w:sz w:val="20"/>
          <w:szCs w:val="20"/>
        </w:rPr>
        <w:t xml:space="preserve">Tier 3 — Python Ecosystem: Structure Management, XRD Simulation, Pipeline Automation</w:t>
      </w:r>
    </w:p>
    <w:p>
      <w:pPr>
        <w:spacing w:before="60" w:after="60"/>
      </w:pPr>
      <w:r>
        <w:rPr>
          <w:rFonts w:ascii="Arial" w:cs="Arial" w:eastAsia="Arial" w:hAnsi="Arial"/>
          <w:color w:val="222222"/>
          <w:sz w:val="20"/>
          <w:szCs w:val="20"/>
        </w:rPr>
        <w:t xml:space="preserve">All tools below are pip-installable on any ACCESS login node or local machine without an allocation. They form the connective tissue between DFT calculations, the VAE/BO model, and experimental characterization results — what the team interacts with daily while calculations run in the background.</w:t>
      </w:r>
    </w:p>
    <w:p>
      <w:pPr>
        <w:spacing w:before="3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480"/>
        <w:gridCol w:w="3640"/>
        <w:gridCol w:w="3480"/>
      </w:tblGrid>
      <w:tr>
        <w:tc>
          <w:tcPr>
            <w:tcW w:type="dxa" w:w="17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Software</w:t>
            </w:r>
          </w:p>
        </w:tc>
        <w:tc>
          <w:tcPr>
            <w:tcW w:type="dxa" w:w="4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Cost</w:t>
            </w:r>
          </w:p>
        </w:tc>
        <w:tc>
          <w:tcPr>
            <w:tcW w:type="dxa" w:w="364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What It Does for This Project</w:t>
            </w:r>
          </w:p>
        </w:tc>
        <w:tc>
          <w:tcPr>
            <w:tcW w:type="dxa" w:w="34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Install Command</w:t>
            </w:r>
          </w:p>
        </w:tc>
      </w:tr>
      <w:tr>
        <w:tc>
          <w:tcPr>
            <w:tcW w:type="dxa" w:w="1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pymatgen</w:t>
            </w:r>
          </w:p>
        </w:tc>
        <w:tc>
          <w:tcPr>
            <w:tcW w:type="dxa" w:w="4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Free (MIT)</w:t>
            </w:r>
          </w:p>
        </w:tc>
        <w:tc>
          <w:tcPr>
            <w:tcW w:type="dxa" w:w="36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Central Python library for structure and data management. Key functions: (1) XRDCalculator — simulates powder XRD pattern (2θ vs. intensity, selectable X-ray source) directly from any crystal structure; provides the reference pattern for comparison against experimental diffractometer data after synthesis, with no reference compound needed in the lab. (2) MPRester API — fetches crystal structures, bandgaps, and formation energies from the Materials Project database; starting geometries for QE calculations in one line of Python. (3) Convex hull/phase diagram — thermodynamic stability screening. (4) Input/output parsers for QE, ABINIT, and other DFT codes. (5) Matminer integration for Magpie feature vectors.</w:t>
            </w:r>
          </w:p>
        </w:tc>
        <w:tc>
          <w:tcPr>
            <w:tcW w:type="dxa" w:w="34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pip install pymatgen
Free API key: materialsproject.org. Set: export PMG_MAPI_KEY=your_key. Works from any machine — no allocation needed for structure retrieval and XRD simulation. pymatgen.org</w:t>
            </w:r>
          </w:p>
        </w:tc>
      </w:tr>
      <w:tr>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ASE (Atomic Simulation Environment)</w:t>
            </w:r>
          </w:p>
        </w:tc>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Free (LGPL)</w:t>
            </w:r>
          </w:p>
        </w:tc>
        <w:tc>
          <w:tcPr>
            <w:tcW w:type="dxa" w:w="3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Python toolkit for setting up and running atomistic simulations. Roles in this workflow: (1) unified calculator interface — submits QE and GPAW calculations from the same Python script, switching engines without rewriting code; (2) structure building — constructs supercells, dopant configurations from a base crystal in two lines (e.g. Cs₀.₂₈WO₃ with 3% Mo substitution); (3) output parsing — reads QE output files, extracts energies, band structures, and forces. Directly interoperable with pymatgen: ASE Atoms ↔ pymatgen Structure in one line. Version 3.27 released December 2025.</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pip install ase
ase-lib.org. Built-in interfaces for QE, GPAW, ABINIT, and 30+ other codes.</w:t>
            </w:r>
          </w:p>
        </w:tc>
      </w:tr>
      <w:tr>
        <w:tc>
          <w:tcPr>
            <w:tcW w:type="dxa" w:w="1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Matminer</w:t>
            </w:r>
          </w:p>
        </w:tc>
        <w:tc>
          <w:tcPr>
            <w:tcW w:type="dxa" w:w="4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Free (BSD)</w:t>
            </w:r>
          </w:p>
        </w:tc>
        <w:tc>
          <w:tcPr>
            <w:tcW w:type="dxa" w:w="36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Materials informatics library for generating machine-readable feature vectors from crystal structures and compositions. Generates the 145-dimensional Magpie composition feature vectors (mean electronegativity, atomic radius, valence electron count, etc.) used as input to the VAE encoder and BO surrogate model. Also provides crystal structure graph featurizers (CrystalNNFingerprint) for the CGCNN surrogate. 60+ featurizers available.</w:t>
            </w:r>
          </w:p>
        </w:tc>
        <w:tc>
          <w:tcPr>
            <w:tcW w:type="dxa" w:w="34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pip install matminer
hackingmaterials.lbl.gov/matminer</w:t>
            </w:r>
          </w:p>
        </w:tc>
      </w:tr>
      <w:tr>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Phonopy</w:t>
            </w:r>
          </w:p>
        </w:tc>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Free (BSD)</w:t>
            </w:r>
          </w:p>
        </w:tc>
        <w:tc>
          <w:tcPr>
            <w:tcW w:type="dxa" w:w="3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Phonon post-processing using the supercell force-constant method. Works with QE output. Takes QE forces on displaced atoms and computes phonon dispersion. Imaginary (negative) phonon frequencies anywhere in the Brillouin zone = dynamic instability = eliminate candidate before running expensive YAMBO/BerkeleyGW. Runs in minutes on top of already-computed QE forces. This is the fast mechanical stability gate before optical calculations.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pip install phonopy
phonopy-project.github.io. QE interface: phonopy --qe flag.</w:t>
            </w:r>
          </w:p>
        </w:tc>
      </w:tr>
      <w:tr>
        <w:tc>
          <w:tcPr>
            <w:tcW w:type="dxa" w:w="1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BoltzTraP2</w:t>
            </w:r>
          </w:p>
        </w:tc>
        <w:tc>
          <w:tcPr>
            <w:tcW w:type="dxa" w:w="4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Free (GPL)</w:t>
            </w:r>
          </w:p>
        </w:tc>
        <w:tc>
          <w:tcPr>
            <w:tcW w:type="dxa" w:w="36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Computes transport properties and carrier effective masses from DFT band structures using the Boltzmann transport equation. Used here to compute the Drude plasma frequency ωₚ — the free-carrier contribution to NIR absorption in Cs-W bronzes. ωₚ determines where the NIR plasmonic peak sits; it depends on carrier concentration and effective mass, both extracted from the QE band structure. Combined with QE epsilon.x interband spectrum, the Drude+interband model gives the full NIR absorption profile.</w:t>
            </w:r>
          </w:p>
        </w:tc>
        <w:tc>
          <w:tcPr>
            <w:tcW w:type="dxa" w:w="34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pip install BoltzTraP2
boltztrap2.readthedocs.io. Reads QE band structure via pymatgen parser.</w:t>
            </w:r>
          </w:p>
        </w:tc>
      </w:tr>
      <w:tr>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VESTA</w:t>
            </w:r>
          </w:p>
        </w:tc>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Free (academic)</w:t>
            </w:r>
          </w:p>
        </w:tc>
        <w:tc>
          <w:tcPr>
            <w:tcW w:type="dxa" w:w="3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3D crystal structure visualization GUI. Renders electron density isosurfaces, bond lengths, coordination environments. Primary use: inspect QE-relaxed structures of novel Cs:W compositions visually before running expensive GW calculations. Reads CIF files directly from Materials Project. Also generates publication-quality crystal structure figures for SBIR proposals. Not Python — standalone desktop application.</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jp-minerals.org/vesta
Windows, macOS, Linux. Runs on local laptop — export CIF from ACCESS, visualize locally.</w:t>
            </w:r>
          </w:p>
        </w:tc>
      </w:tr>
      <w:tr>
        <w:tc>
          <w:tcPr>
            <w:tcW w:type="dxa" w:w="1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BoTorch + Ax</w:t>
            </w:r>
          </w:p>
        </w:tc>
        <w:tc>
          <w:tcPr>
            <w:tcW w:type="dxa" w:w="4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Free (MIT)</w:t>
            </w:r>
          </w:p>
        </w:tc>
        <w:tc>
          <w:tcPr>
            <w:tcW w:type="dxa" w:w="36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Bayesian Optimization framework for the active learning loop. BoTorch provides the Gaussian Process surrogate and acquisition functions (EI, UCB, constrained multi-objective qNEHVI). Ax manages the experiment: tracks evaluated compositions, pending jobs, and the Pareto frontier. Integration point: Matminer generates feature vectors; BoTorch scores them against the surrogate; QE computes DFT properties for selected candidates; results update the model. The BO model is lightweight and runs on a laptop — only DFT jobs need the cluster.</w:t>
            </w:r>
          </w:p>
        </w:tc>
        <w:tc>
          <w:tcPr>
            <w:tcW w:type="dxa" w:w="34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pip install botorch ax-platform
botorch.org and ax.dev. PyTorch dependency (also free).</w:t>
            </w:r>
          </w:p>
        </w:tc>
      </w:tr>
    </w:tbl>
    <w:p>
      <w:pPr>
        <w:spacing w:before="50" w:after="0"/>
      </w:pPr>
      <w:r>
        <w:rPr>
          <w:rFonts w:ascii="Arial" w:cs="Arial" w:eastAsia="Arial" w:hAnsi="Arial"/>
        </w:rPr>
        <w:t xml:space="preserve"/>
      </w:r>
    </w:p>
    <w:p>
      <w:pPr>
        <w:spacing w:before="20" w:after="20"/>
      </w:pPr>
      <w:r>
        <w:rPr>
          <w:rFonts w:ascii="Arial" w:cs="Arial" w:eastAsia="Arial" w:hAnsi="Arial"/>
          <w:b/>
          <w:bCs/>
          <w:color w:val="1E3A5F"/>
          <w:sz w:val="20"/>
          <w:szCs w:val="20"/>
        </w:rPr>
        <w:t xml:space="preserve">Complete Workflow: Tool by Tool, Stage by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2000"/>
        <w:gridCol w:w="1560"/>
        <w:gridCol w:w="2200"/>
        <w:gridCol w:w="1960"/>
      </w:tblGrid>
      <w:tr>
        <w:tc>
          <w:tcPr>
            <w:tcW w:type="dxa" w:w="164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Stage</w:t>
            </w:r>
          </w:p>
        </w:tc>
        <w:tc>
          <w:tcPr>
            <w:tcW w:type="dxa" w:w="20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Tool</w:t>
            </w:r>
          </w:p>
        </w:tc>
        <w:tc>
          <w:tcPr>
            <w:tcW w:type="dxa" w:w="15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Runs On</w:t>
            </w:r>
          </w:p>
        </w:tc>
        <w:tc>
          <w:tcPr>
            <w:tcW w:type="dxa" w:w="2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Output</w:t>
            </w:r>
          </w:p>
        </w:tc>
        <w:tc>
          <w:tcPr>
            <w:tcW w:type="dxa" w:w="19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Cost</w:t>
            </w:r>
          </w:p>
        </w:tc>
      </w:tr>
      <w:tr>
        <w:tc>
          <w:tcPr>
            <w:tcW w:type="dxa" w:w="16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Fetch starting crystal structure</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pymatgen MPRester API</w:t>
            </w:r>
          </w:p>
        </w:tc>
        <w:tc>
          <w:tcPr>
            <w:tcW w:type="dxa" w:w="1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Local machine / login node</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CIF file of relaxed crystal structure from Materials Project (Cs₀.₃₃WO₃, LaB₆, V-TiO₂, etc.)</w:t>
            </w:r>
          </w:p>
        </w:tc>
        <w:tc>
          <w:tcPr>
            <w:tcW w:type="dxa" w:w="1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$0 (free API key)</w:t>
            </w:r>
          </w:p>
        </w:tc>
      </w:tr>
      <w:tr>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Simulate reference XRD pattern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pymatgen XRDCalculator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Local machine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Powder XRD pattern (2θ vs. intensity, Cu Kα) for comparison against experimental diffractometer data</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$0</w:t>
            </w:r>
          </w:p>
        </w:tc>
      </w:tr>
      <w:tr>
        <w:tc>
          <w:tcPr>
            <w:tcW w:type="dxa" w:w="16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Geometry relaxation + formation energy</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QE pw.x (GGA-PBE)</w:t>
            </w:r>
          </w:p>
        </w:tc>
        <w:tc>
          <w:tcPr>
            <w:tcW w:type="dxa" w:w="1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ACCESS cluster (pre-installed)</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Relaxed crystal structure; formation energy; thermodynamic stability flag</w:t>
            </w:r>
          </w:p>
        </w:tc>
        <w:tc>
          <w:tcPr>
            <w:tcW w:type="dxa" w:w="1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$0 (ACCESS credits)</w:t>
            </w:r>
          </w:p>
        </w:tc>
      </w:tr>
      <w:tr>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Mechanical stability check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QE ph.x + Phonopy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ACCESS cluster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Phonon dispersion. No imaginary frequencies = stable. Imaginary = eliminate candidate.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$0</w:t>
            </w:r>
          </w:p>
        </w:tc>
      </w:tr>
      <w:tr>
        <w:tc>
          <w:tcPr>
            <w:tcW w:type="dxa" w:w="16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Band structure + bandgap</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QE pw.x bands or GPAW PW mode</w:t>
            </w:r>
          </w:p>
        </w:tc>
        <w:tc>
          <w:tcPr>
            <w:tcW w:type="dxa" w:w="1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ACCESS cluster</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Electronic band structure; DFT bandgap (GGA-PBE, underestimated — corrected in next step); carrier effective masses</w:t>
            </w:r>
          </w:p>
        </w:tc>
        <w:tc>
          <w:tcPr>
            <w:tcW w:type="dxa" w:w="1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$0</w:t>
            </w:r>
          </w:p>
        </w:tc>
      </w:tr>
      <w:tr>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Optical spectrum (screening)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QE epsilon.x</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ACCESS cluster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ε₁(ω) and ε₂(ω) → absorption coefficient α(λ). NIR peak position and visible window. Accuracy ±0.3 eV — sufficient for ranking.</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$0</w:t>
            </w:r>
          </w:p>
        </w:tc>
      </w:tr>
      <w:tr>
        <w:tc>
          <w:tcPr>
            <w:tcW w:type="dxa" w:w="16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Drude plasmonic NIR contribution</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BoltzTraP2 + custom Drude script</w:t>
            </w:r>
          </w:p>
        </w:tc>
        <w:tc>
          <w:tcPr>
            <w:tcW w:type="dxa" w:w="1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Local machine</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Plasma frequency ωₚ; Drude contribution to ε₂ in NIR. Combined with epsilon.x for full optical spectrum including plasmonic peak.</w:t>
            </w:r>
          </w:p>
        </w:tc>
        <w:tc>
          <w:tcPr>
            <w:tcW w:type="dxa" w:w="1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$0</w:t>
            </w:r>
          </w:p>
        </w:tc>
      </w:tr>
      <w:tr>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High-accuracy optical spectrum (top 3–5 candidates only)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YAMBO (GW+BSE) or BerkeleyGW (GPU-accelerated)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ACCESS cluster (CPU or GPU)</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Quasiparticle-corrected optical absorption spectrum α(λ). Accuracy ±0.1–0.15 eV. Definitive NIR peak prediction before synthesis.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$0 (ACCESS credits)</w:t>
            </w:r>
          </w:p>
        </w:tc>
      </w:tr>
      <w:tr>
        <w:tc>
          <w:tcPr>
            <w:tcW w:type="dxa" w:w="16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Generate VAE/BO feature vectors</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Matminer (Magpie featurizer)</w:t>
            </w:r>
          </w:p>
        </w:tc>
        <w:tc>
          <w:tcPr>
            <w:tcW w:type="dxa" w:w="1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Local machine</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145-dimensional Magpie composition feature vector per candidate. Input to VAE encoder and GP surrogate.</w:t>
            </w:r>
          </w:p>
        </w:tc>
        <w:tc>
          <w:tcPr>
            <w:tcW w:type="dxa" w:w="1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$0</w:t>
            </w:r>
          </w:p>
        </w:tc>
      </w:tr>
      <w:tr>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Select next DFT batch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BoTorch + Ax (GP + EI/UCB acquisition)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Local machine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Ranked list of 20–50 next compositions for QE evaluation. Updates after each DFT batch.</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$0</w:t>
            </w:r>
          </w:p>
        </w:tc>
      </w:tr>
      <w:tr>
        <w:tc>
          <w:tcPr>
            <w:tcW w:type="dxa" w:w="16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Structure visualization</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VESTA</w:t>
            </w:r>
          </w:p>
        </w:tc>
        <w:tc>
          <w:tcPr>
            <w:tcW w:type="dxa" w:w="1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Local laptop (GUI)</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3D crystal rendering, bond lengths, electron density. Visual sanity check + SBIR proposal figures.</w:t>
            </w:r>
          </w:p>
        </w:tc>
        <w:tc>
          <w:tcPr>
            <w:tcW w:type="dxa" w:w="1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$0</w:t>
            </w:r>
          </w:p>
        </w:tc>
      </w:tr>
    </w:tbl>
    <w:p>
      <w:pPr>
        <w:spacing w:before="4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F6F" w:sz="8"/>
              <w:left w:val="single" w:color="CCCCCC" w:sz="1"/>
              <w:bottom w:val="single" w:color="CCCCCC" w:sz="1"/>
              <w:right w:val="single" w:color="CCCCCC" w:sz="1"/>
            </w:tcBorders>
            <w:shd w:fill="EAF4F1" w:val="clear"/>
            <w:tcMar>
              <w:top w:type="dxa" w:w="120"/>
              <w:left w:type="dxa" w:w="160"/>
              <w:bottom w:type="dxa" w:w="120"/>
              <w:right w:type="dxa" w:w="160"/>
            </w:tcMar>
          </w:tcPr>
          <w:p>
            <w:r>
              <w:rPr>
                <w:rFonts w:ascii="Arial" w:cs="Arial" w:eastAsia="Arial" w:hAnsi="Arial"/>
                <w:b/>
                <w:bCs/>
                <w:color w:val="2A7F6F"/>
                <w:sz w:val="19"/>
                <w:szCs w:val="19"/>
              </w:rPr>
              <w:t xml:space="preserve">Installing the Full Stack on ACCESS (5 Commands, ~30 Minutes, $0):</w:t>
            </w:r>
          </w:p>
          <w:p>
            <w:pPr>
              <w:spacing w:before="40" w:after="0"/>
            </w:pPr>
            <w:r>
              <w:rPr>
                <w:rFonts w:ascii="Arial" w:cs="Arial" w:eastAsia="Arial" w:hAnsi="Arial"/>
                <w:color w:val="222222"/>
                <w:sz w:val="19"/>
                <w:szCs w:val="19"/>
              </w:rPr>
              <w:t xml:space="preserve">1.  module load quantum-espresso  (pre-installed; check with: module avail | grep -i espresso)
2.  pip install --user gpaw &amp;&amp; gpaw install-data ~/gpaw-data
3.  pip install --user pymatgen matminer ase phonopy BoltzTraP2 botorch ax-platform
4.  conda install -c conda-forge yambo-suite
5.  Download BerkeleyGW: berkeleygw.org/download — build: ./configure &amp;&amp; make all-flavors
All tools install to the user home directory without admin privileges. VASP is not required.</w:t>
            </w:r>
          </w:p>
        </w:tc>
      </w:tr>
    </w:tbl>
    <w:p>
      <w:pPr>
        <w:spacing w:before="60" w:after="0"/>
      </w:pPr>
      <w:r>
        <w:rPr>
          <w:rFonts w:ascii="Arial" w:cs="Arial" w:eastAsia="Arial" w:hAnsi="Arial"/>
        </w:rPr>
        <w:t xml:space="preserve"/>
      </w:r>
    </w:p>
    <w:p>
      <w:pPr>
        <w:pStyle w:val="Heading2"/>
        <w:spacing w:before="240" w:after="80"/>
      </w:pPr>
      <w:r>
        <w:rPr>
          <w:rFonts w:ascii="Arial" w:cs="Arial" w:eastAsia="Arial" w:hAnsi="Arial"/>
          <w:b/>
          <w:bCs/>
          <w:color w:val="1E3A5F"/>
          <w:sz w:val="22"/>
          <w:szCs w:val="22"/>
        </w:rPr>
        <w:t xml:space="preserve">5.5  What DFT Cannot Do — and How to Handle the Gaps</w:t>
      </w:r>
    </w:p>
    <w:p>
      <w:pPr>
        <w:pStyle w:val="Heading2"/>
        <w:spacing w:before="240" w:after="80"/>
      </w:pPr>
      <w:r>
        <w:rPr>
          <w:rFonts w:ascii="Arial" w:cs="Arial" w:eastAsia="Arial" w:hAnsi="Arial"/>
          <w:b/>
          <w:bCs/>
          <w:color w:val="1E3A5F"/>
          <w:sz w:val="22"/>
          <w:szCs w:val="22"/>
        </w:rPr>
        <w:t xml:space="preserve">5.5  What DFT Cannot Do — and How to Handle the Gaps</w:t>
      </w:r>
    </w:p>
    <w:p>
      <w:pPr>
        <w:spacing w:before="60" w:after="60"/>
      </w:pPr>
      <w:r>
        <w:rPr>
          <w:rFonts w:ascii="Arial" w:cs="Arial" w:eastAsia="Arial" w:hAnsi="Arial"/>
          <w:color w:val="222222"/>
          <w:sz w:val="20"/>
          <w:szCs w:val="20"/>
        </w:rPr>
        <w:t xml:space="preserve">Being explicit about DFT's limitations is essential for scientific credibility and for setting correct expectations with SBIR reviewers. Three limitations are particularly relevant to this project:</w:t>
      </w:r>
    </w:p>
    <w:p>
      <w:pPr>
        <w:spacing w:before="40" w:after="0"/>
      </w:pPr>
      <w:r>
        <w:rPr>
          <w:rFonts w:ascii="Arial" w:cs="Arial" w:eastAsia="Arial" w:hAnsi="Arial"/>
        </w:rPr>
        <w:t xml:space="preserve"/>
      </w:r>
    </w:p>
    <w:p>
      <w:pPr>
        <w:spacing w:before="60" w:after="60"/>
      </w:pPr>
      <w:r>
        <w:rPr>
          <w:rFonts w:ascii="Arial" w:cs="Arial" w:eastAsia="Arial" w:hAnsi="Arial"/>
          <w:color w:val="222222"/>
          <w:sz w:val="20"/>
          <w:szCs w:val="20"/>
        </w:rPr>
        <w:t xml:space="preserve">Nanoparticle size effects. DFT simulates an infinite periodic crystal. Real Cs-W bronze nanoparticles at 20–80 nm diameter have surfaces, grain boundaries, and quantum confinement effects (the latter are minor at &gt;10 nm but not absent). The DFT predictions therefore describe bulk crystal properties, which are a good proxy for the core of a large nanoparticle but do not capture surface ligand effects on the optical spectrum. Mitigation: use DFT to rank and shortlist compositions, not to make quantitative absolute predictions of nanoparticle absorption spectra. The synthesis and experimental characterization step is still required for quantitative film performance data.</w:t>
      </w:r>
    </w:p>
    <w:p>
      <w:pPr>
        <w:spacing w:before="40" w:after="0"/>
      </w:pPr>
      <w:r>
        <w:rPr>
          <w:rFonts w:ascii="Arial" w:cs="Arial" w:eastAsia="Arial" w:hAnsi="Arial"/>
        </w:rPr>
        <w:t xml:space="preserve"/>
      </w:r>
    </w:p>
    <w:p>
      <w:pPr>
        <w:spacing w:before="60" w:after="60"/>
      </w:pPr>
      <w:r>
        <w:rPr>
          <w:rFonts w:ascii="Arial" w:cs="Arial" w:eastAsia="Arial" w:hAnsi="Arial"/>
          <w:color w:val="222222"/>
          <w:sz w:val="20"/>
          <w:szCs w:val="20"/>
        </w:rPr>
        <w:t xml:space="preserve">Cs:W ratio and oxygen stoichiometry disorder. Real cesium tungsten bronzes are non-stoichiometric — the Cs:W ratio is continuous, not discrete, and oxygen vacancies are common. Modeling this computationally requires either a large supercell (computationally expensive) or a special quasi-random structure (SQS) approximation. For the purposes of preliminary screening, compute ordered stoichiometric compositions (Cs₀.₂₅WO₃, Cs₀.₃₃WO₃, Cs₀.₄₀WO₃) as proxies for the continuous range. The trend in NIR peak position with Cs content is reliable even if the exact peak wavelength for a disordered sample differs from the ordered calculation.</w:t>
      </w:r>
    </w:p>
    <w:p>
      <w:pPr>
        <w:spacing w:before="40" w:after="0"/>
      </w:pPr>
      <w:r>
        <w:rPr>
          <w:rFonts w:ascii="Arial" w:cs="Arial" w:eastAsia="Arial" w:hAnsi="Arial"/>
        </w:rPr>
        <w:t xml:space="preserve"/>
      </w:r>
    </w:p>
    <w:p>
      <w:pPr>
        <w:spacing w:before="60" w:after="60"/>
      </w:pPr>
      <w:r>
        <w:rPr>
          <w:rFonts w:ascii="Arial" w:cs="Arial" w:eastAsia="Arial" w:hAnsi="Arial"/>
          <w:color w:val="222222"/>
          <w:sz w:val="20"/>
          <w:szCs w:val="20"/>
        </w:rPr>
        <w:t xml:space="preserve">Polymer matrix interaction. DFT calculates the free nanoparticle or bulk crystal. How the nanoparticle disperses in an LDPE matrix — aggregation state, interfacial chemistry, scattering contributions to haze — is not accessible by DFT. These are empirical questions answered by the film formulation experiments (Section 6). DFT informs which compositions to synthesize; it does not predict film-level optical performance.</w:t>
      </w:r>
    </w:p>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F6F" w:sz="8"/>
              <w:left w:val="single" w:color="CCCCCC" w:sz="1"/>
              <w:bottom w:val="single" w:color="CCCCCC" w:sz="1"/>
              <w:right w:val="single" w:color="CCCCCC" w:sz="1"/>
            </w:tcBorders>
            <w:shd w:fill="EAF4F1" w:val="clear"/>
            <w:tcMar>
              <w:top w:type="dxa" w:w="120"/>
              <w:left w:type="dxa" w:w="160"/>
              <w:bottom w:type="dxa" w:w="120"/>
              <w:right w:type="dxa" w:w="160"/>
            </w:tcMar>
          </w:tcPr>
          <w:p>
            <w:r>
              <w:rPr>
                <w:rFonts w:ascii="Arial" w:cs="Arial" w:eastAsia="Arial" w:hAnsi="Arial"/>
                <w:b/>
                <w:bCs/>
                <w:color w:val="2A7F6F"/>
                <w:sz w:val="19"/>
                <w:szCs w:val="19"/>
              </w:rPr>
              <w:t xml:space="preserve">Why This Approach Reduces Cost Substantially:</w:t>
            </w:r>
          </w:p>
          <w:p>
            <w:pPr>
              <w:spacing w:before="40" w:after="0"/>
            </w:pPr>
            <w:r>
              <w:rPr>
                <w:rFonts w:ascii="Arial" w:cs="Arial" w:eastAsia="Arial" w:hAnsi="Arial"/>
                <w:color w:val="222222"/>
                <w:sz w:val="19"/>
                <w:szCs w:val="19"/>
              </w:rPr>
              <w:t xml:space="preserve">Without computational pre-screening, the chemist synthesizes candidates blindly or guided only by literature intuition — testing perhaps 3–5 compositions in the first 6 months. With validated DFT screening, 20–50 compositions are evaluated computationally in the same timeframe at the cost of HPCC CPU-hours rather than reagents and researcher time. Only the top 3–5 computationally ranked candidates proceed to synthesis. If even one synthesis run is avoided, the HPCC compute cost (effectively zero on an ACCESS EXPLORE allocation, approved in 1–2 business days at access-ci.org) has already paid for itself. The chemist's time is redirected from exploratory synthesis to targeted validation — a fundamental change in how the experimental bottleneck is managed.</w:t>
            </w:r>
          </w:p>
        </w:tc>
      </w:tr>
    </w:tbl>
    <w:p>
      <w:pPr>
        <w:spacing w:before="80" w:after="0"/>
      </w:pPr>
      <w:r>
        <w:rPr>
          <w:rFonts w:ascii="Arial" w:cs="Arial" w:eastAsia="Arial" w:hAnsi="Arial"/>
        </w:rPr>
        <w:t xml:space="preserve"/>
      </w:r>
    </w:p>
    <w:p>
      <w:pPr>
        <w:pStyle w:val="Heading1"/>
        <w:pBdr>
          <w:bottom w:val="single" w:color="2A7F6F" w:sz="6"/>
        </w:pBdr>
        <w:spacing w:before="320" w:after="120"/>
      </w:pPr>
      <w:r>
        <w:rPr>
          <w:rFonts w:ascii="Arial" w:cs="Arial" w:eastAsia="Arial" w:hAnsi="Arial"/>
          <w:b/>
          <w:bCs/>
          <w:color w:val="2A7F6F"/>
          <w:sz w:val="28"/>
          <w:szCs w:val="28"/>
        </w:rPr>
        <w:t xml:space="preserve">6.  Preliminary Experiment Design</w:t>
      </w:r>
    </w:p>
    <w:p>
      <w:pPr>
        <w:spacing w:before="60" w:after="60"/>
      </w:pPr>
      <w:r>
        <w:rPr>
          <w:rFonts w:ascii="Arial" w:cs="Arial" w:eastAsia="Arial" w:hAnsi="Arial"/>
          <w:color w:val="222222"/>
          <w:sz w:val="20"/>
          <w:szCs w:val="20"/>
        </w:rPr>
        <w:t xml:space="preserve">The goal of the preliminary experiment is narrow and achievable: produce data showing that a coated film reduces internal tunnel temperature relative to a standard LDPE control, without measurably reducing plant growth metrics. This is the minimum evidence required to support an SBIR application and to justify further investment in material optimization. The entire setup is designed to be manageable by one or two people with no specialist agricultural infrastructure.</w:t>
      </w:r>
    </w:p>
    <w:p>
      <w:pPr>
        <w:spacing w:before="40" w:after="0"/>
      </w:pPr>
      <w:r>
        <w:rPr>
          <w:rFonts w:ascii="Arial" w:cs="Arial" w:eastAsia="Arial" w:hAnsi="Arial"/>
        </w:rPr>
        <w:t xml:space="preserve"/>
      </w:r>
    </w:p>
    <w:p>
      <w:pPr>
        <w:pStyle w:val="Heading2"/>
        <w:spacing w:before="240" w:after="80"/>
      </w:pPr>
      <w:r>
        <w:rPr>
          <w:rFonts w:ascii="Arial" w:cs="Arial" w:eastAsia="Arial" w:hAnsi="Arial"/>
          <w:b/>
          <w:bCs/>
          <w:color w:val="1E3A5F"/>
          <w:sz w:val="22"/>
          <w:szCs w:val="22"/>
        </w:rPr>
        <w:t xml:space="preserve">6.1  Physical Setup</w:t>
      </w:r>
    </w:p>
    <w:p>
      <w:pPr>
        <w:spacing w:before="60" w:after="60"/>
      </w:pPr>
      <w:r>
        <w:rPr>
          <w:rFonts w:ascii="Arial" w:cs="Arial" w:eastAsia="Arial" w:hAnsi="Arial"/>
          <w:color w:val="222222"/>
          <w:sz w:val="20"/>
          <w:szCs w:val="20"/>
        </w:rPr>
        <w:t xml:space="preserve">Six to eight low-profile hoophouse tunnels — PVC or galvanized steel arch frames, 3–4 m long and 1.5 m wide — placed side by side outdoors in a flat, open location. Each tunnel receives a different film treatment. No foundation, no HVAC, no permanent structure. The total covered growing area is approximately 25–40 m². One person can manage all tunnels in a few hours per week. Total infrastructure cost: $2,500–$6,000.</w:t>
      </w:r>
    </w:p>
    <w:p>
      <w:pPr>
        <w:spacing w:before="4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A7F6F" w:sz="4"/>
              <w:left w:val="single" w:color="2A7F6F" w:sz="4"/>
              <w:bottom w:val="single" w:color="2A7F6F" w:sz="4"/>
              <w:right w:val="single" w:color="2A7F6F" w:sz="4"/>
            </w:tcBorders>
            <w:shd w:fill="2A7F6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Item</w:t>
            </w:r>
          </w:p>
        </w:tc>
        <w:tc>
          <w:tcPr>
            <w:tcW w:type="dxa" w:w="3120"/>
            <w:tcBorders>
              <w:top w:val="single" w:color="2A7F6F" w:sz="4"/>
              <w:left w:val="single" w:color="2A7F6F" w:sz="4"/>
              <w:bottom w:val="single" w:color="2A7F6F" w:sz="4"/>
              <w:right w:val="single" w:color="2A7F6F" w:sz="4"/>
            </w:tcBorders>
            <w:shd w:fill="2A7F6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Specification</w:t>
            </w:r>
          </w:p>
        </w:tc>
        <w:tc>
          <w:tcPr>
            <w:tcW w:type="dxa" w:w="3120"/>
            <w:tcBorders>
              <w:top w:val="single" w:color="2A7F6F" w:sz="4"/>
              <w:left w:val="single" w:color="2A7F6F" w:sz="4"/>
              <w:bottom w:val="single" w:color="2A7F6F" w:sz="4"/>
              <w:right w:val="single" w:color="2A7F6F" w:sz="4"/>
            </w:tcBorders>
            <w:shd w:fill="2A7F6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Estimated Cost</w:t>
            </w:r>
          </w:p>
        </w:tc>
      </w:tr>
      <w:tr>
        <w:tc>
          <w:tcPr>
            <w:tcW w:type="dxa" w:w="31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Hoophouse frames (6–8)</w:t>
            </w:r>
          </w:p>
        </w:tc>
        <w:tc>
          <w:tcPr>
            <w:tcW w:type="dxa" w:w="31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PVC or galvanized arch, 3–4 m × 1.5 m footprint per tunnel</w:t>
            </w:r>
          </w:p>
        </w:tc>
        <w:tc>
          <w:tcPr>
            <w:tcW w:type="dxa" w:w="31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$1,500–$3,500</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Temperature / humidity loggers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HOBO MX2301 or equivalent, 1 per tunnel + 1 outdoor reference; 15-min logging interval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$200–$400</w:t>
            </w:r>
          </w:p>
        </w:tc>
      </w:tr>
      <w:tr>
        <w:tc>
          <w:tcPr>
            <w:tcW w:type="dxa" w:w="31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Soil moisture probes</w:t>
            </w:r>
          </w:p>
        </w:tc>
        <w:tc>
          <w:tcPr>
            <w:tcW w:type="dxa" w:w="31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Capacitive probe ($15 each), 2 per tunnel at consistent depth</w:t>
            </w:r>
          </w:p>
        </w:tc>
        <w:tc>
          <w:tcPr>
            <w:tcW w:type="dxa" w:w="31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$180–$240</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PAR quantum sensor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Apogee SQ-100X or equivalent; shared across tunnels for weekly spectral spot-check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$200–$350</w:t>
            </w:r>
          </w:p>
        </w:tc>
      </w:tr>
      <w:tr>
        <w:tc>
          <w:tcPr>
            <w:tcW w:type="dxa" w:w="31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Seeds, grow bags, substrate, drip line</w:t>
            </w:r>
          </w:p>
        </w:tc>
        <w:tc>
          <w:tcPr>
            <w:tcW w:type="dxa" w:w="31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Fast-cycling crop; all tunnels seeded from same lot on same day</w:t>
            </w:r>
          </w:p>
        </w:tc>
        <w:tc>
          <w:tcPr>
            <w:tcW w:type="dxa" w:w="31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$200–$500</w:t>
            </w:r>
          </w:p>
        </w:tc>
      </w:tr>
      <w:tr>
        <w:tc>
          <w:tcPr>
            <w:tcW w:type="dxa" w:w="6240"/>
            <w:gridSpan w:val="2"/>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TOTAL SETUP COST</w:t>
            </w:r>
          </w:p>
        </w:tc>
        <w:tc>
          <w:tcPr>
            <w:tcW w:type="dxa" w:w="312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$2,500–$6,000</w:t>
            </w:r>
          </w:p>
        </w:tc>
      </w:tr>
    </w:tbl>
    <w:p>
      <w:pPr>
        <w:spacing w:before="40" w:after="0"/>
      </w:pPr>
      <w:r>
        <w:rPr>
          <w:rFonts w:ascii="Arial" w:cs="Arial" w:eastAsia="Arial" w:hAnsi="Arial"/>
        </w:rPr>
        <w:t xml:space="preserve"/>
      </w:r>
    </w:p>
    <w:p>
      <w:pPr>
        <w:pStyle w:val="Heading2"/>
        <w:spacing w:before="240" w:after="80"/>
      </w:pPr>
      <w:r>
        <w:rPr>
          <w:rFonts w:ascii="Arial" w:cs="Arial" w:eastAsia="Arial" w:hAnsi="Arial"/>
          <w:b/>
          <w:bCs/>
          <w:color w:val="1E3A5F"/>
          <w:sz w:val="22"/>
          <w:szCs w:val="22"/>
        </w:rPr>
        <w:t xml:space="preserve">6.2  Film Treatments — One Tunnel Per Candidate</w:t>
      </w:r>
    </w:p>
    <w:p>
      <w:pPr>
        <w:spacing w:before="60" w:after="60"/>
      </w:pPr>
      <w:r>
        <w:rPr>
          <w:rFonts w:ascii="Arial" w:cs="Arial" w:eastAsia="Arial" w:hAnsi="Arial"/>
          <w:color w:val="222222"/>
          <w:sz w:val="20"/>
          <w:szCs w:val="20"/>
        </w:rPr>
        <w:t xml:space="preserve">Each tunnel is covered with one film. One tunnel is always the uncoated LDPE control. The best-performing composition from the bench-scale optical screening (Section 3–4) is the primary candidate; the incumbent commercial NIR film (Ginegar SunSaver) serves as a competitive benchmark.</w:t>
      </w:r>
    </w:p>
    <w:p>
      <w:pPr>
        <w:spacing w:before="4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2400"/>
        <w:gridCol w:w="4280"/>
      </w:tblGrid>
      <w:tr>
        <w:tc>
          <w:tcPr>
            <w:tcW w:type="dxa" w:w="4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w:t>
            </w:r>
          </w:p>
        </w:tc>
        <w:tc>
          <w:tcPr>
            <w:tcW w:type="dxa" w:w="2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Film</w:t>
            </w:r>
          </w:p>
        </w:tc>
        <w:tc>
          <w:tcPr>
            <w:tcW w:type="dxa" w:w="2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Key Property</w:t>
            </w:r>
          </w:p>
        </w:tc>
        <w:tc>
          <w:tcPr>
            <w:tcW w:type="dxa" w:w="42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What It Tests</w:t>
            </w:r>
          </w:p>
        </w:tc>
      </w:tr>
      <w:tr>
        <w:tc>
          <w:tcPr>
            <w:tcW w:type="dxa" w:w="4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T1</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CONTROL — plain LDPE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Full NIR transmission; no modification</w:t>
            </w:r>
          </w:p>
        </w:tc>
        <w:tc>
          <w:tcPr>
            <w:tcW w:type="dxa" w:w="42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Establishes the baseline thermal environment and plant growth rate. Every other tunnel is a delta vs. T1.</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T2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Ginegar SunSaver (commercial NIR film)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Broadband NIR absorbing pigment; cutoff ~700 nm; PAR 71–81%</w:t>
            </w:r>
          </w:p>
        </w:tc>
        <w:tc>
          <w:tcPr>
            <w:tcW w:type="dxa" w:w="4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Sets the competitive bar. Our material must match or exceed this on thermal reduction while delivering better PAR — the far-red retention advantage.</w:t>
            </w:r>
          </w:p>
        </w:tc>
      </w:tr>
      <w:tr>
        <w:tc>
          <w:tcPr>
            <w:tcW w:type="dxa" w:w="4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T3</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Cs-W bronze candidate (best bench result, low loading)</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NIR blocked &gt;750 nm; far-red retained; PAR target &gt;85%</w:t>
            </w:r>
          </w:p>
        </w:tc>
        <w:tc>
          <w:tcPr>
            <w:tcW w:type="dxa" w:w="42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Primary hypothesis test: does the 750 nm cutoff film produce better plant metrics than the 700 nm incumbent while achieving comparable thermal reduction?</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T4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Cs-W bronze candidate (higher loading)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Stronger NIR block; possible minor PAR penalty</w:t>
            </w:r>
          </w:p>
        </w:tc>
        <w:tc>
          <w:tcPr>
            <w:tcW w:type="dxa" w:w="4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Explores the loading optimum: maximum cooling benefit without crossing the PAR threshold that reduces yield.</w:t>
            </w:r>
          </w:p>
        </w:tc>
      </w:tr>
      <w:tr>
        <w:tc>
          <w:tcPr>
            <w:tcW w:type="dxa" w:w="4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T5</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V-TiO₂ candidate (if bench synthesis complete)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Different mechanism; UV block included</w:t>
            </w:r>
          </w:p>
        </w:tc>
        <w:tc>
          <w:tcPr>
            <w:tcW w:type="dxa" w:w="42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Tests whether a mechanistically distinct candidate achieves comparable NIR rejection to Cs-W bronze.</w:t>
            </w:r>
          </w:p>
        </w:tc>
      </w:tr>
    </w:tbl>
    <w:p>
      <w:pPr>
        <w:spacing w:before="40" w:after="0"/>
      </w:pPr>
      <w:r>
        <w:rPr>
          <w:rFonts w:ascii="Arial" w:cs="Arial" w:eastAsia="Arial" w:hAnsi="Arial"/>
        </w:rPr>
        <w:t xml:space="preserve"/>
      </w:r>
    </w:p>
    <w:p>
      <w:pPr>
        <w:pStyle w:val="Heading2"/>
        <w:spacing w:before="240" w:after="80"/>
      </w:pPr>
      <w:r>
        <w:rPr>
          <w:rFonts w:ascii="Arial" w:cs="Arial" w:eastAsia="Arial" w:hAnsi="Arial"/>
          <w:b/>
          <w:bCs/>
          <w:color w:val="1E3A5F"/>
          <w:sz w:val="22"/>
          <w:szCs w:val="22"/>
        </w:rPr>
        <w:t xml:space="preserve">6.3  The One Rule: Control Every Variable Except the Film</w:t>
      </w:r>
    </w:p>
    <w:p>
      <w:pPr>
        <w:spacing w:before="60" w:after="60"/>
      </w:pPr>
      <w:r>
        <w:rPr>
          <w:rFonts w:ascii="Arial" w:cs="Arial" w:eastAsia="Arial" w:hAnsi="Arial"/>
          <w:color w:val="222222"/>
          <w:sz w:val="20"/>
          <w:szCs w:val="20"/>
        </w:rPr>
        <w:t xml:space="preserve">The film is the only experimental variable. Same seed lot, same grow bags filled from a single mixed substrate batch, same water volume from a shared drip line on a timer, same planting depth, same fertilizer solution, no active cooling in any tunnel. If any tunnel deviates from protocol — pest outbreak, equipment failure, irrigation error — that tunnel is flagged and excluded from the primary analysis.</w:t>
      </w:r>
    </w:p>
    <w:p>
      <w:pPr>
        <w:spacing w:before="40" w:after="0"/>
      </w:pPr>
      <w:r>
        <w:rPr>
          <w:rFonts w:ascii="Arial" w:cs="Arial" w:eastAsia="Arial" w:hAnsi="Arial"/>
        </w:rPr>
        <w:t xml:space="preserve"/>
      </w:r>
    </w:p>
    <w:p>
      <w:pPr>
        <w:pStyle w:val="Heading2"/>
        <w:spacing w:before="240" w:after="80"/>
      </w:pPr>
      <w:r>
        <w:rPr>
          <w:rFonts w:ascii="Arial" w:cs="Arial" w:eastAsia="Arial" w:hAnsi="Arial"/>
          <w:b/>
          <w:bCs/>
          <w:color w:val="1E3A5F"/>
          <w:sz w:val="22"/>
          <w:szCs w:val="22"/>
        </w:rPr>
        <w:t xml:space="preserve">6.4  What to Measure</w:t>
      </w:r>
    </w:p>
    <w:p>
      <w:pPr>
        <w:spacing w:before="60" w:after="60"/>
      </w:pPr>
      <w:r>
        <w:rPr>
          <w:rFonts w:ascii="Arial" w:cs="Arial" w:eastAsia="Arial" w:hAnsi="Arial"/>
          <w:color w:val="222222"/>
          <w:sz w:val="20"/>
          <w:szCs w:val="20"/>
        </w:rPr>
        <w:t xml:space="preserve">Every measurement must be collectible by one person in under 30 minutes per tunnel visit using no specialist lab equipment. The six metrics below are sufficient to produce the target headline claim.</w:t>
      </w:r>
    </w:p>
    <w:p>
      <w:pPr>
        <w:spacing w:before="4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400"/>
        <w:gridCol w:w="3760"/>
      </w:tblGrid>
      <w:tr>
        <w:tc>
          <w:tcPr>
            <w:tcW w:type="dxa" w:w="18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Metric</w:t>
            </w:r>
          </w:p>
        </w:tc>
        <w:tc>
          <w:tcPr>
            <w:tcW w:type="dxa" w:w="2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What Is Measured</w:t>
            </w:r>
          </w:p>
        </w:tc>
        <w:tc>
          <w:tcPr>
            <w:tcW w:type="dxa" w:w="1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Tool / Cost</w:t>
            </w:r>
          </w:p>
        </w:tc>
        <w:tc>
          <w:tcPr>
            <w:tcW w:type="dxa" w:w="37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Why It Supports the Headline Claim</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Internal air temperature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°C at mid-canopy height, logged every 15 min. One outdoor reference sensor.</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HOBO logger ~$30</w:t>
            </w:r>
          </w:p>
        </w:tc>
        <w:tc>
          <w:tcPr>
            <w:tcW w:type="dxa" w:w="3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Directly quantifies the thermal reduction: "Film T3 reduced peak internal temperature by X°C vs. control over 60 summer days." This is the energy savings claim.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Plant height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cm, soil to highest leaf tip, 10 tagged plants per tunnel, measured weekly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Tape measure ~$5</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Simplest growth rate proxy. Taller plants by week 4 under a coated film vs. control indicates reduced heat stress without PAR penalty.</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Leaf count + leaf width</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Number of fully expanded leaves; width of leaf 3 (cm). Same 10 plants, weekly.</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Tape measure</w:t>
            </w:r>
          </w:p>
        </w:tc>
        <w:tc>
          <w:tcPr>
            <w:tcW w:type="dxa" w:w="3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Leaf area directly proxies photosynthesis capacity. Larger leaves and higher leaf counts confirm PAR is not being reduced below the plant's optimum.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Leaf color score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1–5 visual scale (pale yellow = 1, deep green = 5) + one phone photo per tagged plant per visit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Phone camera (free)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Heat stress degrades chlorophyll before any other symptom appears. Greener leaves in coated tunnels vs. control tunnel is immediately compelling — no explanation required.</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Soil water retention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Volumetric water content (%), same depth all tunnels. Same water input to all tunnels.</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Capacitive probe ~$15</w:t>
            </w:r>
          </w:p>
        </w:tc>
        <w:tc>
          <w:tcPr>
            <w:tcW w:type="dxa" w:w="3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Cooler tunnels lose less water to evapotranspiration. Higher soil moisture under the film = less irrigation needed = standalone water-use efficiency claim.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Total biomass at harvest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Total above-ground fresh weight per plant (g), all 10 tagged plants per tunnel, harvest day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Kitchen scale ~$15</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The primary yield number: "Plants under Film T3 produced Y% more biomass than control at harvest." One number that captures the combined effect of better thermal environment and preserved PAR.</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F6F" w:sz="8"/>
              <w:left w:val="single" w:color="CCCCCC" w:sz="1"/>
              <w:bottom w:val="single" w:color="CCCCCC" w:sz="1"/>
              <w:right w:val="single" w:color="CCCCCC" w:sz="1"/>
            </w:tcBorders>
            <w:shd w:fill="D6EDE8" w:val="clear"/>
            <w:tcMar>
              <w:top w:type="dxa" w:w="120"/>
              <w:left w:type="dxa" w:w="160"/>
              <w:bottom w:type="dxa" w:w="120"/>
              <w:right w:type="dxa" w:w="160"/>
            </w:tcMar>
          </w:tcPr>
          <w:p>
            <w:r>
              <w:rPr>
                <w:rFonts w:ascii="Arial" w:cs="Arial" w:eastAsia="Arial" w:hAnsi="Arial"/>
                <w:b/>
                <w:bCs/>
                <w:color w:val="2A7F6F"/>
                <w:sz w:val="19"/>
                <w:szCs w:val="19"/>
              </w:rPr>
              <w:t xml:space="preserve">Target Headline Output:</w:t>
            </w:r>
          </w:p>
          <w:p>
            <w:pPr>
              <w:spacing w:before="40" w:after="0"/>
            </w:pPr>
            <w:r>
              <w:rPr>
                <w:rFonts w:ascii="Arial" w:cs="Arial" w:eastAsia="Arial" w:hAnsi="Arial"/>
                <w:color w:val="222222"/>
                <w:sz w:val="19"/>
                <w:szCs w:val="19"/>
              </w:rPr>
              <w:t xml:space="preserve">"Our nanoparticle coating reduced peak internal temperature by [X]°C relative to standard LDPE film over a full Texas summer growing cycle — with no cooling equipment — and plants under the coated film were [Y]% taller, had [Z]% more leaf area, retained [W]% more soil moisture, and produced [V]% more biomass at harvest under identical growing conditions."  X, Y, Z, W, and V are filled in from the actual data. The structure is fixed. Its credibility comes from the controlled setup, documented weekly measurements, and a kitchen scale at harvest.</w:t>
            </w:r>
          </w:p>
        </w:tc>
      </w:tr>
    </w:tbl>
    <w:p>
      <w:pPr>
        <w:spacing w:before="80" w:after="0"/>
      </w:pPr>
      <w:r>
        <w:rPr>
          <w:rFonts w:ascii="Arial" w:cs="Arial" w:eastAsia="Arial" w:hAnsi="Arial"/>
        </w:rPr>
        <w:t xml:space="preserve"/>
      </w:r>
    </w:p>
    <w:p>
      <w:pPr>
        <w:pStyle w:val="Heading1"/>
        <w:pBdr>
          <w:bottom w:val="single" w:color="2A7F6F" w:sz="6"/>
        </w:pBdr>
        <w:spacing w:before="320" w:after="120"/>
      </w:pPr>
      <w:r>
        <w:rPr>
          <w:rFonts w:ascii="Arial" w:cs="Arial" w:eastAsia="Arial" w:hAnsi="Arial"/>
          <w:b/>
          <w:bCs/>
          <w:color w:val="2A7F6F"/>
          <w:sz w:val="28"/>
          <w:szCs w:val="28"/>
        </w:rPr>
        <w:t xml:space="preserve">7.  SBIR Grant Pathway — DOE and USDA</w:t>
      </w:r>
    </w:p>
    <w:p>
      <w:pPr>
        <w:spacing w:before="60" w:after="60"/>
      </w:pPr>
      <w:r>
        <w:rPr>
          <w:rFonts w:ascii="Arial" w:cs="Arial" w:eastAsia="Arial" w:hAnsi="Arial"/>
          <w:color w:val="222222"/>
          <w:sz w:val="20"/>
          <w:szCs w:val="20"/>
        </w:rPr>
        <w:t xml:space="preserve">The preliminary phase described above produces exactly the evidence required to compete for SBIR Phase I funding. Two agencies are highly relevant: the Department of Energy (DOE) for the energy efficiency and advanced materials angle, and the USDA National Institute of Food and Agriculture (NIFA) for the agricultural productivity and controlled environment agriculture angle. Both agencies accept small business applicants; the preliminary phase data positions this project as a credible Phase I proposal.</w:t>
      </w:r>
    </w:p>
    <w:p>
      <w:pPr>
        <w:spacing w:before="40" w:after="0"/>
      </w:pPr>
      <w:r>
        <w:rPr>
          <w:rFonts w:ascii="Arial" w:cs="Arial" w:eastAsia="Arial" w:hAnsi="Arial"/>
        </w:rPr>
        <w:t xml:space="preserve"/>
      </w:r>
    </w:p>
    <w:p>
      <w:pPr>
        <w:pStyle w:val="Heading2"/>
        <w:spacing w:before="240" w:after="80"/>
      </w:pPr>
      <w:r>
        <w:rPr>
          <w:rFonts w:ascii="Arial" w:cs="Arial" w:eastAsia="Arial" w:hAnsi="Arial"/>
          <w:b/>
          <w:bCs/>
          <w:color w:val="1E3A5F"/>
          <w:sz w:val="22"/>
          <w:szCs w:val="22"/>
        </w:rPr>
        <w:t xml:space="preserve">7.1  DOE SBIR — Energy Efficiency &amp; Advanced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Program Element</w:t>
            </w:r>
          </w:p>
        </w:tc>
        <w:tc>
          <w:tcPr>
            <w:tcW w:type="dxa" w:w="69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Details for This Project</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Relevant DOE program office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Office of Energy Efficiency and Renewable Energy (EERE) — Building Technologies Office (BTO); also Advanced Research Projects Agency–Energy (ARPA-E) for higher-risk, higher-reward framing. BTO's "Windows and Building Envelope" subtopic includes solar heat gain control — directly on-point.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SBIR Phase I award</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Up to $275,000 over 12 months (FY2024–2025 DOE SBIR rates; confirm current solicitation). Phase I goal: demonstrate technical feasibility. For this project: synthesize and characterize 3–5 Cs-W bronze compositions, produce a lab-scale film with target optical spec, demonstrate thermal reduction in a controlled small-scale enclosure.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SBIR Phase II award</w:t>
            </w:r>
          </w:p>
        </w:tc>
        <w:tc>
          <w:tcPr>
            <w:tcW w:type="dxa" w:w="6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Up to $2,000,000 over 24 months. Phase II goal: prototype development and early commercial validation. For this project: scale film production to commercial width, run the full multi-tunnel agricultural trial described in Section 6, generate the energy savings dataset, engage a PE film extruder for manufacturing pathway.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Framing for DOE proposal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Lead with energy: U.S. greenhouses consume approximately 15 billion kWh/year for HVAC. A 30% reduction in cooling energy through passive NIR rejection represents ~2 billion kWh/year in avoided consumption — equivalent to removing ~430,000 homes from the grid. Frame the agricultural benefit as the validation mechanism, not the primary value proposition. DOE reviewers are energy engineers, not agronomists.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What preliminary data to show</w:t>
            </w:r>
          </w:p>
        </w:tc>
        <w:tc>
          <w:tcPr>
            <w:tcW w:type="dxa" w:w="6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(1) Spectrophotometer curves showing Cs-W bronze nanoparticle absorption spectrum with clear NIR peak and visible transmission window. (2) Temperature comparison: coated vs. uncoated acrylic box under sunlight or solar simulator (even a 30-minute bench measurement with a thermocouple is sufficient for Phase I preliminary data). (3) Literature citations establishing the energy savings potential. You do not need the agricultural trial data to submit Phase I.</w:t>
            </w:r>
          </w:p>
        </w:tc>
      </w:tr>
    </w:tbl>
    <w:p>
      <w:pPr>
        <w:spacing w:before="60" w:after="0"/>
      </w:pPr>
      <w:r>
        <w:rPr>
          <w:rFonts w:ascii="Arial" w:cs="Arial" w:eastAsia="Arial" w:hAnsi="Arial"/>
        </w:rPr>
        <w:t xml:space="preserve"/>
      </w:r>
    </w:p>
    <w:p>
      <w:pPr>
        <w:pStyle w:val="Heading2"/>
        <w:spacing w:before="240" w:after="80"/>
      </w:pPr>
      <w:r>
        <w:rPr>
          <w:rFonts w:ascii="Arial" w:cs="Arial" w:eastAsia="Arial" w:hAnsi="Arial"/>
          <w:b/>
          <w:bCs/>
          <w:color w:val="1E3A5F"/>
          <w:sz w:val="22"/>
          <w:szCs w:val="22"/>
        </w:rPr>
        <w:t xml:space="preserve">7.2  USDA SBIR — Controlled Environment Agriculture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Program Element</w:t>
            </w:r>
          </w:p>
        </w:tc>
        <w:tc>
          <w:tcPr>
            <w:tcW w:type="dxa" w:w="69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Details for This Project</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Relevant USDA program</w:t>
            </w:r>
          </w:p>
        </w:tc>
        <w:tc>
          <w:tcPr>
            <w:tcW w:type="dxa" w:w="6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USDA NIFA SBIR Program — Phase I and Phase II. Relevant subtopic area: "Plant Production and Protection — Engineering" which includes protected cultivation, greenhouse technology, and agricultural energy use. Also eligible under "Bioenergy, Natural Resources, and Environment" subtopic for the energy efficiency angle.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SBIR Phase I award</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Up to $175,000 over 12 months (USDA NIFA SBIR rates). Phase I goal: demonstrate that the material concept is scientifically sound and that the proposed approach is feasible. For this project: optical spec characterization of synthesized nanoparticles + the small-scale tunnel trial described in Section 6 (temperature delta + plant metrics). The agricultural data from Section 6 is the direct deliverable for USDA Phase I.</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SBIR Phase II award</w:t>
            </w:r>
          </w:p>
        </w:tc>
        <w:tc>
          <w:tcPr>
            <w:tcW w:type="dxa" w:w="6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Up to $550,000 over 24 months. Phase II: commercial-scale film production, multi-season multi-crop trials, energy savings quantification, grower adoption study.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Framing for USDA proposal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Lead with food security and grower economics: greenhouse vegetable production is a critical component of domestic food supply in off-season months; HVAC costs are the primary barrier to profitability for small and mid-size operators; a passive film solution requires no capital equipment, no ongoing maintenance, and works everywhere. Frame the energy savings as cost reduction for farmers, not as a grid impact. USDA reviewers are agricultural scientists and economists — translate everything into farm-level economics.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What preliminary data to show</w:t>
            </w:r>
          </w:p>
        </w:tc>
        <w:tc>
          <w:tcPr>
            <w:tcW w:type="dxa" w:w="6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(1) The tunnel temperature data from Section 6: actual temperature reduction over the growing season. (2) The plant growth metrics: height, leaf count, biomass at harvest. (3) A simple calculation: if T3 film reduces cooling hours by X% on a 500 m² greenhouse consuming Y kWh/month, the annual energy cost saving at $0.12/kWh is $Z — and this saves enough to pay for the premium film in M months. This farm-level ROI calculation is the primary USDA Phase I evidence.</w:t>
            </w:r>
          </w:p>
        </w:tc>
      </w:tr>
    </w:tbl>
    <w:p>
      <w:pPr>
        <w:spacing w:before="60" w:after="0"/>
      </w:pPr>
      <w:r>
        <w:rPr>
          <w:rFonts w:ascii="Arial" w:cs="Arial" w:eastAsia="Arial" w:hAnsi="Arial"/>
        </w:rPr>
        <w:t xml:space="preserve"/>
      </w:r>
    </w:p>
    <w:p>
      <w:pPr>
        <w:pStyle w:val="Heading2"/>
        <w:spacing w:before="240" w:after="80"/>
      </w:pPr>
      <w:r>
        <w:rPr>
          <w:rFonts w:ascii="Arial" w:cs="Arial" w:eastAsia="Arial" w:hAnsi="Arial"/>
          <w:b/>
          <w:bCs/>
          <w:color w:val="1E3A5F"/>
          <w:sz w:val="22"/>
          <w:szCs w:val="22"/>
        </w:rPr>
        <w:t xml:space="preserve">7.3  Proposal Structure — Common Elements for Both Agencies</w:t>
      </w:r>
    </w:p>
    <w:p>
      <w:pPr>
        <w:spacing w:before="60" w:after="60"/>
      </w:pPr>
      <w:r>
        <w:rPr>
          <w:rFonts w:ascii="Arial" w:cs="Arial" w:eastAsia="Arial" w:hAnsi="Arial"/>
          <w:color w:val="222222"/>
          <w:sz w:val="20"/>
          <w:szCs w:val="20"/>
        </w:rPr>
        <w:t xml:space="preserve">Both DOE and USDA SBIR Phase I proposals share a common structure and evaluation framework. The following outline maps this project's content to each required section.</w:t>
      </w:r>
    </w:p>
    <w:p>
      <w:pPr>
        <w:spacing w:before="4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c>
          <w:tcPr>
            <w:tcW w:type="dxa" w:w="2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Proposal Section</w:t>
            </w:r>
          </w:p>
        </w:tc>
        <w:tc>
          <w:tcPr>
            <w:tcW w:type="dxa" w:w="34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Content for DOE SBIR</w:t>
            </w:r>
          </w:p>
        </w:tc>
        <w:tc>
          <w:tcPr>
            <w:tcW w:type="dxa" w:w="368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Content for USDA SBIR</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Identification of the Problem / Opportunity</w:t>
            </w:r>
          </w:p>
        </w:tc>
        <w:tc>
          <w:tcPr>
            <w:tcW w:type="dxa" w:w="34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U.S. commercial greenhouses consume 15B kWh/year for HVAC; NIR radiation entering through standard PE film is responsible for 60–80% of peak cooling load; no commercial film achieves &gt;85% PAR + &gt;70% NIR rejection simultaneously.</w:t>
            </w:r>
          </w:p>
        </w:tc>
        <w:tc>
          <w:tcPr>
            <w:tcW w:type="dxa" w:w="36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25–40% of greenhouse operating costs are HVAC; summer heat stress reduces crop productivity for 5–8 months/year in warm-climate states; passive spectral film requires no capital equipment or ongoing maintenance.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Technical Objectives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(1) Synthesize Cs-W bronze nanoparticles at 3 Cs:W ratios; (2) disperse in LDPE matrix at 0.5–2 wt% loading; (3) measure optical spec and compare to target; (4) demonstrate internal temperature reduction in a controlled enclosure vs. uncoated control.</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(1) Coat prototype film from best bench candidate; (2) install in 2–3 hoophouse tunnels vs. LDPE control; (3) measure temperature, plant height, leaf area, soil moisture, biomass over one full crop cycle.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Innovation</w:t>
            </w:r>
          </w:p>
        </w:tc>
        <w:tc>
          <w:tcPr>
            <w:tcW w:type="dxa" w:w="34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Precision NIR cutoff at 750 nm — not 700 nm — preserving agronomically essential far-red band while blocking thermally harmful 750–2500 nm range. AI-guided Bayesian Optimization to navigate Cs:W compositional space. No existing product achieves this specification.</w:t>
            </w:r>
          </w:p>
        </w:tc>
        <w:tc>
          <w:tcPr>
            <w:tcW w:type="dxa" w:w="36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Same technical innovation plus: first controlled agricultural trial comparing far-red-preserving NIR film vs. broadband NIR film vs. standard LDPE on measured crop growth metrics.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Phase I Deliverables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Optical characterization dataset (transmission curves, haze, tensile) for 3–5 compositions; one film sample meeting &gt;85% PAR / &gt;70% NIR spec; thermal enclosure test report; go/no-go recommendation for Phase II.</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Temperature profile data from tunnel trial (daily logs, summer season); plant growth data (height, leaf count, biomass) for all treatments; cost savings calculation for representative 500 m² greenhouse; Phase II experimental design.</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Commercialization Path</w:t>
            </w:r>
          </w:p>
        </w:tc>
        <w:tc>
          <w:tcPr>
            <w:tcW w:type="dxa" w:w="34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Phase II: scale film production; license formulation to PE film extruder (Plastika Kritis, Berry Global); target $500M+ U.S. commercial greenhouse market + $50B architectural glass adjacency.</w:t>
            </w:r>
          </w:p>
        </w:tc>
        <w:tc>
          <w:tcPr>
            <w:tcW w:type="dxa" w:w="36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Phase II: multi-season multi-crop trials; partner with Texas Greenhouse Growers Association for grower pilots; commercialize via film roll sales + agronomic support subscription at $0.40–$0.75/ft² premium over standard LDPE.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Budget Justification</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Synthesis materials &amp; consumables (30%); characterization (UV-Vis-NIR, TEM, XRD) at university shared facility (25%); PI/co-investigator salary (35%); overhead (10%).</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Film coating &amp; installation (15%); seeds, substrate, irrigation (10%); sensor equipment (10%); co-investigator salary — materials scientist + agronomist (55%); overhead (10%).</w:t>
            </w:r>
          </w:p>
        </w:tc>
      </w:tr>
    </w:tbl>
    <w:p>
      <w:pPr>
        <w:spacing w:before="60" w:after="0"/>
      </w:pPr>
      <w:r>
        <w:rPr>
          <w:rFonts w:ascii="Arial" w:cs="Arial" w:eastAsia="Arial" w:hAnsi="Arial"/>
        </w:rPr>
        <w:t xml:space="preserve"/>
      </w:r>
    </w:p>
    <w:p>
      <w:pPr>
        <w:pStyle w:val="Heading2"/>
        <w:spacing w:before="240" w:after="80"/>
      </w:pPr>
      <w:r>
        <w:rPr>
          <w:rFonts w:ascii="Arial" w:cs="Arial" w:eastAsia="Arial" w:hAnsi="Arial"/>
          <w:b/>
          <w:bCs/>
          <w:color w:val="1E3A5F"/>
          <w:sz w:val="22"/>
          <w:szCs w:val="22"/>
        </w:rPr>
        <w:t xml:space="preserve">7.4  Timeline: Pre-Application to Phase I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Period</w:t>
            </w:r>
          </w:p>
        </w:tc>
        <w:tc>
          <w:tcPr>
            <w:tcW w:type="dxa" w:w="2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Milestone</w:t>
            </w:r>
          </w:p>
        </w:tc>
        <w:tc>
          <w:tcPr>
            <w:tcW w:type="dxa" w:w="57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pPr>
              <w:jc w:val="left"/>
            </w:pPr>
            <w:r>
              <w:rPr>
                <w:rFonts w:ascii="Arial" w:cs="Arial" w:eastAsia="Arial" w:hAnsi="Arial"/>
                <w:b/>
                <w:bCs/>
                <w:color w:val="FFFFFF"/>
                <w:sz w:val="18"/>
                <w:szCs w:val="18"/>
              </w:rPr>
              <w:t xml:space="preserve">Key Activities</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Months 1–2</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Literature + DFT screening</w:t>
            </w:r>
          </w:p>
        </w:tc>
        <w:tc>
          <w:tcPr>
            <w:tcW w:type="dxa" w:w="5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Finalize literature database (Section 2). Apply for an EXPLORE ACCESS allocation at access-ci.org (approved in 1–2 business days; requires brief scientific justification and resource usage plan). Validate DFT method on Cs₀.₃₃WO₃ and LaB₆ (Section 5.2). Run Screen 1 (6 Cs:W ratios) and Screen 2 (Mo co-doping variants). Identify top 3–5 DFT-shortlisted compositions for synthesis. Track DOE and USDA SBIR solicitation opening dates.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Months 2–4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Synthesis + bench characterization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Synthesize Cs-W bronze nanoparticles at 3 ratios via solvothermal route. Characterize by TEM (particle size), XRD (crystal phase), UV-Vis-NIR (optical spectrum). Disperse in LDPE matrix at 3 loadings. Measure transmission curves, haze (ASTM D1003), tensile (ASTM D882). Update Bayesian model with measured data. Select best 1–2 compositions for tunnel film coating.</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Months 4–5</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Preliminary thermal test</w:t>
            </w:r>
          </w:p>
        </w:tc>
        <w:tc>
          <w:tcPr>
            <w:tcW w:type="dxa" w:w="5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Coat film sample on lab-scale (0.5 m × 0.5 m). Build two small acrylic enclosures: one coated, one uncoated. Place under outdoor sunlight (or solar simulator). Log internal temperature at 1-min intervals over 2–4 hr. This generates the preliminary thermal reduction data required for the SBIR proposal without a full agricultural trial. Target: &gt;3°C temperature differential.</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Months 5–7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SBIR proposal preparation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Write DOE SBIR Phase I proposal (technical volume, commercialization plan, budget, team bios). Write USDA SBIR Phase I proposal in parallel (same technical core, reframed commercialization). Submit both. DOE and USDA have different solicitation windows — track opening dates for FY2026/2027 cycle.</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Months 6–10</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222222"/>
                <w:sz w:val="18"/>
                <w:szCs w:val="18"/>
              </w:rPr>
              <w:t xml:space="preserve">Tunnel trial (small scale)</w:t>
            </w:r>
          </w:p>
        </w:tc>
        <w:tc>
          <w:tcPr>
            <w:tcW w:type="dxa" w:w="5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val="false"/>
                <w:bCs w:val="false"/>
                <w:color w:val="222222"/>
                <w:sz w:val="18"/>
                <w:szCs w:val="18"/>
              </w:rPr>
              <w:t xml:space="preserve">While proposal is under review: set up 4–5 hoophouse tunnels. Run one full crop cycle. Collect temperature, height, leaf, moisture, biomass data. This generates Phase I deliverable data in parallel — not contingent on award. Data strengthens Phase II proposal regardless of Phase I outcome.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Month 12+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22222"/>
                <w:sz w:val="18"/>
                <w:szCs w:val="18"/>
              </w:rPr>
              <w:t xml:space="preserve">Award notification + Phase II prep</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22222"/>
                <w:sz w:val="18"/>
                <w:szCs w:val="18"/>
              </w:rPr>
              <w:t xml:space="preserve">DOE and USDA Phase I awards typically announced 6–9 months after submission. Tunnel trial data informs Phase II proposal scope. Phase II expands to multi-season trials, commercial-scale film production, and grower partnership pilots.</w:t>
            </w:r>
          </w:p>
        </w:tc>
      </w:tr>
    </w:tbl>
    <w:p>
      <w:pPr>
        <w:spacing w:before="80" w:after="0"/>
      </w:pPr>
      <w:r>
        <w:rPr>
          <w:rFonts w:ascii="Arial" w:cs="Arial" w:eastAsia="Arial" w:hAnsi="Arial"/>
        </w:rPr>
        <w:t xml:space="preserve"/>
      </w:r>
    </w:p>
    <w:p>
      <w:pPr>
        <w:pStyle w:val="Heading1"/>
        <w:pBdr>
          <w:bottom w:val="single" w:color="2A7F6F" w:sz="6"/>
        </w:pBdr>
        <w:spacing w:before="320" w:after="120"/>
      </w:pPr>
      <w:r>
        <w:rPr>
          <w:rFonts w:ascii="Arial" w:cs="Arial" w:eastAsia="Arial" w:hAnsi="Arial"/>
          <w:b/>
          <w:bCs/>
          <w:color w:val="2A7F6F"/>
          <w:sz w:val="28"/>
          <w:szCs w:val="28"/>
        </w:rPr>
        <w:t xml:space="preserve">8.  Key References</w:t>
      </w:r>
    </w:p>
    <w:p>
      <w:pPr>
        <w:spacing w:before="60" w:after="60"/>
      </w:pPr>
      <w:r>
        <w:rPr>
          <w:rFonts w:ascii="Arial" w:cs="Arial" w:eastAsia="Arial" w:hAnsi="Arial"/>
          <w:color w:val="222222"/>
          <w:sz w:val="20"/>
          <w:szCs w:val="20"/>
        </w:rPr>
        <w:t xml:space="preserve">The following sources form the core literature basis for this preliminary phase. All are peer-reviewed or from authoritative data sources.</w:t>
      </w:r>
    </w:p>
    <w:p>
      <w:pPr>
        <w:spacing w:before="40" w:after="0"/>
      </w:pPr>
      <w:r>
        <w:rPr>
          <w:rFonts w:ascii="Arial" w:cs="Arial" w:eastAsia="Arial" w:hAnsi="Arial"/>
        </w:rPr>
        <w:t xml:space="preserve"/>
      </w:r>
    </w:p>
    <w:p>
      <w:pPr>
        <w:spacing w:before="40" w:after="20"/>
      </w:pPr>
      <w:r>
        <w:rPr>
          <w:rFonts w:ascii="Arial" w:cs="Arial" w:eastAsia="Arial" w:hAnsi="Arial"/>
          <w:b/>
          <w:bCs/>
          <w:color w:val="1E3A5F"/>
          <w:sz w:val="19"/>
          <w:szCs w:val="19"/>
        </w:rPr>
        <w:t xml:space="preserve">Energy &amp; Greenhouse Engineering</w:t>
      </w:r>
    </w:p>
    <w:p>
      <w:pPr>
        <w:pStyle w:val="ListParagraph"/>
        <w:numPr>
          <w:ilvl w:val="0"/>
          <w:numId w:val="2"/>
        </w:numPr>
        <w:spacing w:before="30" w:after="30"/>
      </w:pPr>
      <w:r>
        <w:rPr>
          <w:rFonts w:ascii="Arial" w:cs="Arial" w:eastAsia="Arial" w:hAnsi="Arial"/>
          <w:i/>
          <w:iCs/>
          <w:color w:val="444444"/>
          <w:sz w:val="18"/>
          <w:szCs w:val="18"/>
        </w:rPr>
        <w:t xml:space="preserve">Ahamed et al. (2019). A review of greenhouse energy use and its future challenges. Energy &amp; Buildings, 183, 659–680.</w:t>
      </w:r>
    </w:p>
    <w:p>
      <w:pPr>
        <w:pStyle w:val="ListParagraph"/>
        <w:numPr>
          <w:ilvl w:val="0"/>
          <w:numId w:val="2"/>
        </w:numPr>
        <w:spacing w:before="30" w:after="30"/>
      </w:pPr>
      <w:r>
        <w:rPr>
          <w:rFonts w:ascii="Arial" w:cs="Arial" w:eastAsia="Arial" w:hAnsi="Arial"/>
          <w:i/>
          <w:iCs/>
          <w:color w:val="444444"/>
          <w:sz w:val="18"/>
          <w:szCs w:val="18"/>
        </w:rPr>
        <w:t xml:space="preserve">Papadakis et al. (2000). A simplified energy analysis of a greenhouse. Biosystems Engineering, 87(2), 229–241.</w:t>
      </w:r>
    </w:p>
    <w:p>
      <w:pPr>
        <w:pStyle w:val="ListParagraph"/>
        <w:numPr>
          <w:ilvl w:val="0"/>
          <w:numId w:val="2"/>
        </w:numPr>
        <w:spacing w:before="30" w:after="30"/>
      </w:pPr>
      <w:r>
        <w:rPr>
          <w:rFonts w:ascii="Arial" w:cs="Arial" w:eastAsia="Arial" w:hAnsi="Arial"/>
          <w:i/>
          <w:iCs/>
          <w:color w:val="444444"/>
          <w:sz w:val="18"/>
          <w:szCs w:val="18"/>
        </w:rPr>
        <w:t xml:space="preserve">Hemming et al. (2016). How to select the best greenhouse covering material? Acta Horticulturae, 1134.</w:t>
      </w:r>
    </w:p>
    <w:p>
      <w:pPr>
        <w:pStyle w:val="ListParagraph"/>
        <w:numPr>
          <w:ilvl w:val="0"/>
          <w:numId w:val="2"/>
        </w:numPr>
        <w:spacing w:before="30" w:after="30"/>
      </w:pPr>
      <w:r>
        <w:rPr>
          <w:rFonts w:ascii="Arial" w:cs="Arial" w:eastAsia="Arial" w:hAnsi="Arial"/>
          <w:i/>
          <w:iCs/>
          <w:color w:val="444444"/>
          <w:sz w:val="18"/>
          <w:szCs w:val="18"/>
        </w:rPr>
        <w:t xml:space="preserve">Ramirez-Arias et al. (2012). Multiobjective optimization of greenhouse climate control. Computers &amp; Electronics in Agriculture.</w:t>
      </w:r>
    </w:p>
    <w:p>
      <w:pPr>
        <w:spacing w:before="30" w:after="0"/>
      </w:pPr>
      <w:r>
        <w:rPr>
          <w:rFonts w:ascii="Arial" w:cs="Arial" w:eastAsia="Arial" w:hAnsi="Arial"/>
        </w:rPr>
        <w:t xml:space="preserve"/>
      </w:r>
    </w:p>
    <w:p>
      <w:pPr>
        <w:spacing w:before="40" w:after="20"/>
      </w:pPr>
      <w:r>
        <w:rPr>
          <w:rFonts w:ascii="Arial" w:cs="Arial" w:eastAsia="Arial" w:hAnsi="Arial"/>
          <w:b/>
          <w:bCs/>
          <w:color w:val="1E3A5F"/>
          <w:sz w:val="19"/>
          <w:szCs w:val="19"/>
        </w:rPr>
        <w:t xml:space="preserve">NIR-Selective Materials</w:t>
      </w:r>
    </w:p>
    <w:p>
      <w:pPr>
        <w:pStyle w:val="ListParagraph"/>
        <w:numPr>
          <w:ilvl w:val="0"/>
          <w:numId w:val="2"/>
        </w:numPr>
        <w:spacing w:before="30" w:after="30"/>
      </w:pPr>
      <w:r>
        <w:rPr>
          <w:rFonts w:ascii="Arial" w:cs="Arial" w:eastAsia="Arial" w:hAnsi="Arial"/>
          <w:i/>
          <w:iCs/>
          <w:color w:val="444444"/>
          <w:sz w:val="18"/>
          <w:szCs w:val="18"/>
        </w:rPr>
        <w:t xml:space="preserve">Guo et al. (2018). Cesium tungsten bronze nanoparticles for NIR shielding. Solar Energy Materials &amp; Solar Cells, 176, 118–124.</w:t>
      </w:r>
    </w:p>
    <w:p>
      <w:pPr>
        <w:pStyle w:val="ListParagraph"/>
        <w:numPr>
          <w:ilvl w:val="0"/>
          <w:numId w:val="2"/>
        </w:numPr>
        <w:spacing w:before="30" w:after="30"/>
      </w:pPr>
      <w:r>
        <w:rPr>
          <w:rFonts w:ascii="Arial" w:cs="Arial" w:eastAsia="Arial" w:hAnsi="Arial"/>
          <w:i/>
          <w:iCs/>
          <w:color w:val="444444"/>
          <w:sz w:val="18"/>
          <w:szCs w:val="18"/>
        </w:rPr>
        <w:t xml:space="preserve">Nishimura et al. (2012). Near-infrared absorption properties of CsxWO₃ nanoparticles. Applied Physics Letters, 100.</w:t>
      </w:r>
    </w:p>
    <w:p>
      <w:pPr>
        <w:pStyle w:val="ListParagraph"/>
        <w:numPr>
          <w:ilvl w:val="0"/>
          <w:numId w:val="2"/>
        </w:numPr>
        <w:spacing w:before="30" w:after="30"/>
      </w:pPr>
      <w:r>
        <w:rPr>
          <w:rFonts w:ascii="Arial" w:cs="Arial" w:eastAsia="Arial" w:hAnsi="Arial"/>
          <w:i/>
          <w:iCs/>
          <w:color w:val="444444"/>
          <w:sz w:val="18"/>
          <w:szCs w:val="18"/>
        </w:rPr>
        <w:t xml:space="preserve">Granqvist (2014). Electrochromics for smart windows: Oxide-based thin films and devices. Thin Solid Films, 564, 1–23.</w:t>
      </w:r>
    </w:p>
    <w:p>
      <w:pPr>
        <w:pStyle w:val="ListParagraph"/>
        <w:numPr>
          <w:ilvl w:val="0"/>
          <w:numId w:val="2"/>
        </w:numPr>
        <w:spacing w:before="30" w:after="30"/>
      </w:pPr>
      <w:r>
        <w:rPr>
          <w:rFonts w:ascii="Arial" w:cs="Arial" w:eastAsia="Arial" w:hAnsi="Arial"/>
          <w:i/>
          <w:iCs/>
          <w:color w:val="444444"/>
          <w:sz w:val="18"/>
          <w:szCs w:val="18"/>
        </w:rPr>
        <w:t xml:space="preserve">Schelm &amp; Smith (2003). Nanosized lanthanum hexaboride particles in a polymer film as a NIR shield. Applied Physics Letters, 82(24).</w:t>
      </w:r>
    </w:p>
    <w:p>
      <w:pPr>
        <w:pStyle w:val="ListParagraph"/>
        <w:numPr>
          <w:ilvl w:val="0"/>
          <w:numId w:val="2"/>
        </w:numPr>
        <w:spacing w:before="30" w:after="30"/>
      </w:pPr>
      <w:r>
        <w:rPr>
          <w:rFonts w:ascii="Arial" w:cs="Arial" w:eastAsia="Arial" w:hAnsi="Arial"/>
          <w:i/>
          <w:iCs/>
          <w:color w:val="444444"/>
          <w:sz w:val="18"/>
          <w:szCs w:val="18"/>
        </w:rPr>
        <w:t xml:space="preserve">Corrado et al. (2016). Luminescent solar concentrator greenhouses. PLOS ONE.</w:t>
      </w:r>
    </w:p>
    <w:p>
      <w:pPr>
        <w:spacing w:before="30" w:after="0"/>
      </w:pPr>
      <w:r>
        <w:rPr>
          <w:rFonts w:ascii="Arial" w:cs="Arial" w:eastAsia="Arial" w:hAnsi="Arial"/>
        </w:rPr>
        <w:t xml:space="preserve"/>
      </w:r>
    </w:p>
    <w:p>
      <w:pPr>
        <w:spacing w:before="40" w:after="20"/>
      </w:pPr>
      <w:r>
        <w:rPr>
          <w:rFonts w:ascii="Arial" w:cs="Arial" w:eastAsia="Arial" w:hAnsi="Arial"/>
          <w:b/>
          <w:bCs/>
          <w:color w:val="1E3A5F"/>
          <w:sz w:val="19"/>
          <w:szCs w:val="19"/>
        </w:rPr>
        <w:t xml:space="preserve">Plant Physiology &amp; Spectral Response</w:t>
      </w:r>
    </w:p>
    <w:p>
      <w:pPr>
        <w:pStyle w:val="ListParagraph"/>
        <w:numPr>
          <w:ilvl w:val="0"/>
          <w:numId w:val="2"/>
        </w:numPr>
        <w:spacing w:before="30" w:after="30"/>
      </w:pPr>
      <w:r>
        <w:rPr>
          <w:rFonts w:ascii="Arial" w:cs="Arial" w:eastAsia="Arial" w:hAnsi="Arial"/>
          <w:i/>
          <w:iCs/>
          <w:color w:val="444444"/>
          <w:sz w:val="18"/>
          <w:szCs w:val="18"/>
        </w:rPr>
        <w:t xml:space="preserve">Moreno, J.E., Tao, Y., Chory, J. &amp; Ballare, C.L. (2009). Ecological modulation of plant defense via phytochrome control of jasmonate sensitivity. PNAS 106(12), 4935–4940. [Establishes that low R:FR ratios suppress jasmonate immune signaling via phyB inactivation]</w:t>
      </w:r>
    </w:p>
    <w:p>
      <w:pPr>
        <w:pStyle w:val="ListParagraph"/>
        <w:numPr>
          <w:ilvl w:val="0"/>
          <w:numId w:val="2"/>
        </w:numPr>
        <w:spacing w:before="30" w:after="30"/>
      </w:pPr>
      <w:r>
        <w:rPr>
          <w:rFonts w:ascii="Arial" w:cs="Arial" w:eastAsia="Arial" w:hAnsi="Arial"/>
          <w:i/>
          <w:iCs/>
          <w:color w:val="444444"/>
          <w:sz w:val="18"/>
          <w:szCs w:val="18"/>
        </w:rPr>
        <w:t xml:space="preserve">Ballare, C.L. (2014). Light regulation of plant defense. Annual Review of Plant Biology 65, 335–363. [Comprehensive review of phytochrome-mediated immunity modulation]</w:t>
      </w:r>
    </w:p>
    <w:p>
      <w:pPr>
        <w:pStyle w:val="ListParagraph"/>
        <w:numPr>
          <w:ilvl w:val="0"/>
          <w:numId w:val="2"/>
        </w:numPr>
        <w:spacing w:before="30" w:after="30"/>
      </w:pPr>
      <w:r>
        <w:rPr>
          <w:rFonts w:ascii="Arial" w:cs="Arial" w:eastAsia="Arial" w:hAnsi="Arial"/>
          <w:i/>
          <w:iCs/>
          <w:color w:val="444444"/>
          <w:sz w:val="18"/>
          <w:szCs w:val="18"/>
        </w:rPr>
        <w:t xml:space="preserve">Leone, M., Keller, M.M., Cerrudo, I. &amp; Ballare, C.L. (2014). To grow or defend? Low red:far-red ratios reduce jasmonate sensitivity in Arabidopsis seedlings by promoting DELLA degradation and increasing JAZ10 stability. New Phytologist 204, 1372–1381.</w:t>
      </w:r>
    </w:p>
    <w:p>
      <w:pPr>
        <w:pStyle w:val="ListParagraph"/>
        <w:numPr>
          <w:ilvl w:val="0"/>
          <w:numId w:val="2"/>
        </w:numPr>
        <w:spacing w:before="30" w:after="30"/>
      </w:pPr>
      <w:r>
        <w:rPr>
          <w:rFonts w:ascii="Arial" w:cs="Arial" w:eastAsia="Arial" w:hAnsi="Arial"/>
          <w:i/>
          <w:iCs/>
          <w:color w:val="444444"/>
          <w:sz w:val="18"/>
          <w:szCs w:val="18"/>
        </w:rPr>
        <w:t xml:space="preserve">Ballare, C.L. (2017). The shade-avoidance syndrome: multiple signals and ecological consequences. Plant, Cell &amp; Environment 40, 2530–2543.</w:t>
      </w:r>
    </w:p>
    <w:p>
      <w:pPr>
        <w:pStyle w:val="ListParagraph"/>
        <w:numPr>
          <w:ilvl w:val="0"/>
          <w:numId w:val="2"/>
        </w:numPr>
        <w:spacing w:before="30" w:after="30"/>
      </w:pPr>
      <w:r>
        <w:rPr>
          <w:rFonts w:ascii="Arial" w:cs="Arial" w:eastAsia="Arial" w:hAnsi="Arial"/>
          <w:i/>
          <w:iCs/>
          <w:color w:val="444444"/>
          <w:sz w:val="18"/>
          <w:szCs w:val="18"/>
        </w:rPr>
        <w:t xml:space="preserve">Beytes, C. (2024). Making Use of UV-C. Inside Grower, May 2024. [Commercial overview of UV-C robotics for greenhouse pest and pathogen management; Octiva, Micothon, AIS platforms]</w:t>
      </w:r>
    </w:p>
    <w:p>
      <w:pPr>
        <w:pStyle w:val="ListParagraph"/>
        <w:numPr>
          <w:ilvl w:val="0"/>
          <w:numId w:val="2"/>
        </w:numPr>
        <w:spacing w:before="30" w:after="30"/>
      </w:pPr>
      <w:r>
        <w:rPr>
          <w:rFonts w:ascii="Arial" w:cs="Arial" w:eastAsia="Arial" w:hAnsi="Arial"/>
          <w:i/>
          <w:iCs/>
          <w:color w:val="444444"/>
          <w:sz w:val="18"/>
          <w:szCs w:val="18"/>
        </w:rPr>
        <w:t xml:space="preserve">Beyond Pesticides (2022, December 14). Ultraviolet Light Researched as a Pest Control Technique. beyondpesticides.org. [Coverage of University of Florida UV-C mite suppression study: high-powered twice-weekly applications effective without yield reduction]</w:t>
      </w:r>
    </w:p>
    <w:p>
      <w:pPr>
        <w:pStyle w:val="ListParagraph"/>
        <w:numPr>
          <w:ilvl w:val="0"/>
          <w:numId w:val="2"/>
        </w:numPr>
        <w:spacing w:before="30" w:after="30"/>
      </w:pPr>
      <w:r>
        <w:rPr>
          <w:rFonts w:ascii="Arial" w:cs="Arial" w:eastAsia="Arial" w:hAnsi="Arial"/>
          <w:i/>
          <w:iCs/>
          <w:color w:val="444444"/>
          <w:sz w:val="18"/>
          <w:szCs w:val="18"/>
        </w:rPr>
        <w:t xml:space="preserve">Takeda, F. et al. (2020). Ultraviolet-C Light and Robotics for Autonomous Control of Strawberry Diseases, Insects and Mites. Progressive Crop Consultant. [Nocturnal UV-C protocol: 60-second nightly irradiation reduced TSSM below treatment threshold; night application prevents light-activated DNA repair in target organisms]</w:t>
      </w:r>
    </w:p>
    <w:p>
      <w:pPr>
        <w:pStyle w:val="ListParagraph"/>
        <w:numPr>
          <w:ilvl w:val="0"/>
          <w:numId w:val="2"/>
        </w:numPr>
        <w:spacing w:before="30" w:after="30"/>
      </w:pPr>
      <w:r>
        <w:rPr>
          <w:rFonts w:ascii="Arial" w:cs="Arial" w:eastAsia="Arial" w:hAnsi="Arial"/>
          <w:i/>
          <w:iCs/>
          <w:color w:val="444444"/>
          <w:sz w:val="18"/>
          <w:szCs w:val="18"/>
        </w:rPr>
        <w:t xml:space="preserve">Runkle, E. (2021). UV Radiation and Applications in Horticulture. Greenhouse Product News. Michigan State University. [UV exclusion trade-off for pollinator-dependent crops; UV-A role in bee and bumblebee flower navigation]</w:t>
      </w:r>
    </w:p>
    <w:p>
      <w:pPr>
        <w:pStyle w:val="ListParagraph"/>
        <w:numPr>
          <w:ilvl w:val="0"/>
          <w:numId w:val="2"/>
        </w:numPr>
        <w:spacing w:before="30" w:after="30"/>
      </w:pPr>
      <w:r>
        <w:rPr>
          <w:rFonts w:ascii="Arial" w:cs="Arial" w:eastAsia="Arial" w:hAnsi="Arial"/>
          <w:i/>
          <w:iCs/>
          <w:color w:val="444444"/>
          <w:sz w:val="18"/>
          <w:szCs w:val="18"/>
        </w:rPr>
        <w:t xml:space="preserve">Antignus, Y., Mor, N., Ben-Joseph, R., Lapidot, M. &amp; Cohen, S. (1996). Ultraviolet-absorbing plastic sheets protect crops from insect pests and the viruses they transmit. Journal of Economic Entomology 89, 1290–1297.</w:t>
      </w:r>
    </w:p>
    <w:p>
      <w:pPr>
        <w:pStyle w:val="ListParagraph"/>
        <w:numPr>
          <w:ilvl w:val="0"/>
          <w:numId w:val="2"/>
        </w:numPr>
        <w:spacing w:before="30" w:after="30"/>
      </w:pPr>
      <w:r>
        <w:rPr>
          <w:rFonts w:ascii="Arial" w:cs="Arial" w:eastAsia="Arial" w:hAnsi="Arial"/>
          <w:i/>
          <w:iCs/>
          <w:color w:val="444444"/>
          <w:sz w:val="18"/>
          <w:szCs w:val="18"/>
        </w:rPr>
        <w:t xml:space="preserve">Costa, H.S., Robb, K.L. &amp; Wilen, C.A. (2002). Field trials measuring the effects of ultraviolet-absorbing greenhouse plastic films on insect populations. Journal of Economic Entomology 95(1), 113–120.</w:t>
      </w:r>
    </w:p>
    <w:p>
      <w:pPr>
        <w:pStyle w:val="ListParagraph"/>
        <w:numPr>
          <w:ilvl w:val="0"/>
          <w:numId w:val="2"/>
        </w:numPr>
        <w:spacing w:before="30" w:after="30"/>
      </w:pPr>
      <w:r>
        <w:rPr>
          <w:rFonts w:ascii="Arial" w:cs="Arial" w:eastAsia="Arial" w:hAnsi="Arial"/>
          <w:i/>
          <w:iCs/>
          <w:color w:val="444444"/>
          <w:sz w:val="18"/>
          <w:szCs w:val="18"/>
        </w:rPr>
        <w:t xml:space="preserve">Kumar, P. &amp; Poehling, H.M. (2006). UV-blocking plastic films and nets influence vectors and virus transmission on greenhouse tomatoes in the humid tropics. Environmental Entomology 35(4), 1069–1082.</w:t>
      </w:r>
    </w:p>
    <w:p>
      <w:pPr>
        <w:pStyle w:val="ListParagraph"/>
        <w:numPr>
          <w:ilvl w:val="0"/>
          <w:numId w:val="2"/>
        </w:numPr>
        <w:spacing w:before="30" w:after="30"/>
      </w:pPr>
      <w:r>
        <w:rPr>
          <w:rFonts w:ascii="Arial" w:cs="Arial" w:eastAsia="Arial" w:hAnsi="Arial"/>
          <w:i/>
          <w:iCs/>
          <w:color w:val="444444"/>
          <w:sz w:val="18"/>
          <w:szCs w:val="18"/>
        </w:rPr>
        <w:t xml:space="preserve">Diaz, B.M. &amp; Fereres, A. (2007). Ultraviolet-blocking materials as a physical barrier to control insect pests and plant pathogens in protected crops. Pest Technology 1(2), 85–95.</w:t>
      </w:r>
    </w:p>
    <w:p>
      <w:pPr>
        <w:pStyle w:val="ListParagraph"/>
        <w:numPr>
          <w:ilvl w:val="0"/>
          <w:numId w:val="2"/>
        </w:numPr>
        <w:spacing w:before="30" w:after="30"/>
      </w:pPr>
      <w:r>
        <w:rPr>
          <w:rFonts w:ascii="Arial" w:cs="Arial" w:eastAsia="Arial" w:hAnsi="Arial"/>
          <w:i/>
          <w:iCs/>
          <w:color w:val="444444"/>
          <w:sz w:val="18"/>
          <w:szCs w:val="18"/>
        </w:rPr>
        <w:t xml:space="preserve">Park, Y. et al. (2023). Spectral-conversion film potential for greenhouses: Utility of green-to-red photons conversion and far-red filtration for plant growth. PMC/NCBI — pmc.ncbi.nlm.nih.gov/articles/PMC9949677</w:t>
      </w:r>
    </w:p>
    <w:p>
      <w:pPr>
        <w:pStyle w:val="ListParagraph"/>
        <w:numPr>
          <w:ilvl w:val="0"/>
          <w:numId w:val="2"/>
        </w:numPr>
        <w:spacing w:before="30" w:after="30"/>
      </w:pPr>
      <w:r>
        <w:rPr>
          <w:rFonts w:ascii="Arial" w:cs="Arial" w:eastAsia="Arial" w:hAnsi="Arial"/>
          <w:i/>
          <w:iCs/>
          <w:color w:val="444444"/>
          <w:sz w:val="18"/>
          <w:szCs w:val="18"/>
        </w:rPr>
        <w:t xml:space="preserve">Duffie &amp; Beckman (2013). Solar Engineering of Thermal Processes. Wiley. [Solar spectrum modeling standard reference]</w:t>
      </w:r>
    </w:p>
    <w:p>
      <w:pPr>
        <w:spacing w:before="30" w:after="0"/>
      </w:pPr>
      <w:r>
        <w:rPr>
          <w:rFonts w:ascii="Arial" w:cs="Arial" w:eastAsia="Arial" w:hAnsi="Arial"/>
        </w:rPr>
        <w:t xml:space="preserve"/>
      </w:r>
    </w:p>
    <w:p>
      <w:pPr>
        <w:spacing w:before="40" w:after="20"/>
      </w:pPr>
      <w:r>
        <w:rPr>
          <w:rFonts w:ascii="Arial" w:cs="Arial" w:eastAsia="Arial" w:hAnsi="Arial"/>
          <w:b/>
          <w:bCs/>
          <w:color w:val="1E3A5F"/>
          <w:sz w:val="19"/>
          <w:szCs w:val="19"/>
        </w:rPr>
        <w:t xml:space="preserve">DFT &amp; Computational Methods</w:t>
      </w:r>
    </w:p>
    <w:p>
      <w:pPr>
        <w:pStyle w:val="ListParagraph"/>
        <w:numPr>
          <w:ilvl w:val="0"/>
          <w:numId w:val="2"/>
        </w:numPr>
        <w:spacing w:before="30" w:after="30"/>
      </w:pPr>
      <w:r>
        <w:rPr>
          <w:rFonts w:ascii="Arial" w:cs="Arial" w:eastAsia="Arial" w:hAnsi="Arial"/>
          <w:i/>
          <w:iCs/>
          <w:color w:val="444444"/>
          <w:sz w:val="18"/>
          <w:szCs w:val="18"/>
        </w:rPr>
        <w:t xml:space="preserve">Jain et al. (2013). Commentary: The Materials Project — a materials genome approach to accelerating materials innovation. APL Materials, 1(1). materialsproject.org</w:t>
      </w:r>
    </w:p>
    <w:p>
      <w:pPr>
        <w:pStyle w:val="ListParagraph"/>
        <w:numPr>
          <w:ilvl w:val="0"/>
          <w:numId w:val="2"/>
        </w:numPr>
        <w:spacing w:before="30" w:after="30"/>
      </w:pPr>
      <w:r>
        <w:rPr>
          <w:rFonts w:ascii="Arial" w:cs="Arial" w:eastAsia="Arial" w:hAnsi="Arial"/>
          <w:i/>
          <w:iCs/>
          <w:color w:val="444444"/>
          <w:sz w:val="18"/>
          <w:szCs w:val="18"/>
        </w:rPr>
        <w:t xml:space="preserve">Cong et al. (2016). First-principles study of optical properties of cesium tungsten bronze CsxWO₃. Journal of Applied Physics, 119(6).</w:t>
      </w:r>
    </w:p>
    <w:p>
      <w:pPr>
        <w:pStyle w:val="ListParagraph"/>
        <w:numPr>
          <w:ilvl w:val="0"/>
          <w:numId w:val="2"/>
        </w:numPr>
        <w:spacing w:before="30" w:after="30"/>
      </w:pPr>
      <w:r>
        <w:rPr>
          <w:rFonts w:ascii="Arial" w:cs="Arial" w:eastAsia="Arial" w:hAnsi="Arial"/>
          <w:i/>
          <w:iCs/>
          <w:color w:val="444444"/>
          <w:sz w:val="18"/>
          <w:szCs w:val="18"/>
        </w:rPr>
        <w:t xml:space="preserve">Hara et al. (2013). Crystal structure and optical properties of Cs₀.₃₃WO₃ nanoparticles with near-infrared shielding properties. Journal of Applied Physics, 113.</w:t>
      </w:r>
    </w:p>
    <w:p>
      <w:pPr>
        <w:pStyle w:val="ListParagraph"/>
        <w:numPr>
          <w:ilvl w:val="0"/>
          <w:numId w:val="2"/>
        </w:numPr>
        <w:spacing w:before="30" w:after="30"/>
      </w:pPr>
      <w:r>
        <w:rPr>
          <w:rFonts w:ascii="Arial" w:cs="Arial" w:eastAsia="Arial" w:hAnsi="Arial"/>
          <w:i/>
          <w:iCs/>
          <w:color w:val="444444"/>
          <w:sz w:val="18"/>
          <w:szCs w:val="18"/>
        </w:rPr>
        <w:t xml:space="preserve">Nunes et al. (2010). Optical properties of LaB₆ nanoparticles from DFT and experiment. Physical Review B.</w:t>
      </w:r>
    </w:p>
    <w:p>
      <w:pPr>
        <w:pStyle w:val="ListParagraph"/>
        <w:numPr>
          <w:ilvl w:val="0"/>
          <w:numId w:val="2"/>
        </w:numPr>
        <w:spacing w:before="30" w:after="30"/>
      </w:pPr>
      <w:r>
        <w:rPr>
          <w:rFonts w:ascii="Arial" w:cs="Arial" w:eastAsia="Arial" w:hAnsi="Arial"/>
          <w:i/>
          <w:iCs/>
          <w:color w:val="444444"/>
          <w:sz w:val="18"/>
          <w:szCs w:val="18"/>
        </w:rPr>
        <w:t xml:space="preserve">Giannozzi et al. (2009, 2017, 2020). QUANTUM ESPRESSO: a modular and open-source software project for quantum simulations of materials. J. Phys.: Condens. Matter 21, 395502; 29, 465901; J. Chem. Phys. 152, 154105. quantum-espresso.org</w:t>
      </w:r>
    </w:p>
    <w:p>
      <w:pPr>
        <w:pStyle w:val="ListParagraph"/>
        <w:numPr>
          <w:ilvl w:val="0"/>
          <w:numId w:val="2"/>
        </w:numPr>
        <w:spacing w:before="30" w:after="30"/>
      </w:pPr>
      <w:r>
        <w:rPr>
          <w:rFonts w:ascii="Arial" w:cs="Arial" w:eastAsia="Arial" w:hAnsi="Arial"/>
          <w:i/>
          <w:iCs/>
          <w:color w:val="444444"/>
          <w:sz w:val="18"/>
          <w:szCs w:val="18"/>
        </w:rPr>
        <w:t xml:space="preserve">Mortensen et al. (2024). GPAW: An open Python package for electronic structure calculations. J. Chem. Phys. 160, 092503. gpaw.readthedocs.io</w:t>
      </w:r>
    </w:p>
    <w:p>
      <w:pPr>
        <w:pStyle w:val="ListParagraph"/>
        <w:numPr>
          <w:ilvl w:val="0"/>
          <w:numId w:val="2"/>
        </w:numPr>
        <w:spacing w:before="30" w:after="30"/>
      </w:pPr>
      <w:r>
        <w:rPr>
          <w:rFonts w:ascii="Arial" w:cs="Arial" w:eastAsia="Arial" w:hAnsi="Arial"/>
          <w:i/>
          <w:iCs/>
          <w:color w:val="444444"/>
          <w:sz w:val="18"/>
          <w:szCs w:val="18"/>
        </w:rPr>
        <w:t xml:space="preserve">Gonze et al. (2020). The ABINIT project: Impact, environment and recent developments. Comput. Phys. Commun. 248, 107042. abinit.org</w:t>
      </w:r>
    </w:p>
    <w:p>
      <w:pPr>
        <w:pStyle w:val="ListParagraph"/>
        <w:numPr>
          <w:ilvl w:val="0"/>
          <w:numId w:val="2"/>
        </w:numPr>
        <w:spacing w:before="30" w:after="30"/>
      </w:pPr>
      <w:r>
        <w:rPr>
          <w:rFonts w:ascii="Arial" w:cs="Arial" w:eastAsia="Arial" w:hAnsi="Arial"/>
          <w:i/>
          <w:iCs/>
          <w:color w:val="444444"/>
          <w:sz w:val="18"/>
          <w:szCs w:val="18"/>
        </w:rPr>
        <w:t xml:space="preserve">Sangalli et al. (2019). Many-body perturbation theory calculations using the yambo code. J. Phys.: Condens. Matter 31, 325902. yambo-code.org</w:t>
      </w:r>
    </w:p>
    <w:p>
      <w:pPr>
        <w:pStyle w:val="ListParagraph"/>
        <w:numPr>
          <w:ilvl w:val="0"/>
          <w:numId w:val="2"/>
        </w:numPr>
        <w:spacing w:before="30" w:after="30"/>
      </w:pPr>
      <w:r>
        <w:rPr>
          <w:rFonts w:ascii="Arial" w:cs="Arial" w:eastAsia="Arial" w:hAnsi="Arial"/>
          <w:i/>
          <w:iCs/>
          <w:color w:val="444444"/>
          <w:sz w:val="18"/>
          <w:szCs w:val="18"/>
        </w:rPr>
        <w:t xml:space="preserve">Deslippe et al. (2012). BerkeleyGW: A massively parallel computer package for the calculation of the quasiparticle and optical properties of materials and nanostructures. Comput. Phys. Commun. 183, 1269. berkeleygw.org</w:t>
      </w:r>
    </w:p>
    <w:p>
      <w:pPr>
        <w:pStyle w:val="ListParagraph"/>
        <w:numPr>
          <w:ilvl w:val="0"/>
          <w:numId w:val="2"/>
        </w:numPr>
        <w:spacing w:before="30" w:after="30"/>
      </w:pPr>
      <w:r>
        <w:rPr>
          <w:rFonts w:ascii="Arial" w:cs="Arial" w:eastAsia="Arial" w:hAnsi="Arial"/>
          <w:i/>
          <w:iCs/>
          <w:color w:val="444444"/>
          <w:sz w:val="18"/>
          <w:szCs w:val="18"/>
        </w:rPr>
        <w:t xml:space="preserve">Togo &amp; Tanaka (2015). First principles phonon calculations in materials science. Scr. Mater. 108, 1. [Phonopy code]</w:t>
      </w:r>
    </w:p>
    <w:p>
      <w:pPr>
        <w:pStyle w:val="ListParagraph"/>
        <w:numPr>
          <w:ilvl w:val="0"/>
          <w:numId w:val="2"/>
        </w:numPr>
        <w:spacing w:before="30" w:after="30"/>
      </w:pPr>
      <w:r>
        <w:rPr>
          <w:rFonts w:ascii="Arial" w:cs="Arial" w:eastAsia="Arial" w:hAnsi="Arial"/>
          <w:i/>
          <w:iCs/>
          <w:color w:val="444444"/>
          <w:sz w:val="18"/>
          <w:szCs w:val="18"/>
        </w:rPr>
        <w:t xml:space="preserve">Madsen et al. (2018). BoltzTraP2, a program for interpolating band structures and calculating semi-classical transport coefficients. Comput. Phys. Commun. 231, 140.</w:t>
      </w:r>
    </w:p>
    <w:p>
      <w:pPr>
        <w:pStyle w:val="ListParagraph"/>
        <w:numPr>
          <w:ilvl w:val="0"/>
          <w:numId w:val="2"/>
        </w:numPr>
        <w:spacing w:before="30" w:after="30"/>
      </w:pPr>
      <w:r>
        <w:rPr>
          <w:rFonts w:ascii="Arial" w:cs="Arial" w:eastAsia="Arial" w:hAnsi="Arial"/>
          <w:i/>
          <w:iCs/>
          <w:color w:val="444444"/>
          <w:sz w:val="18"/>
          <w:szCs w:val="18"/>
        </w:rPr>
        <w:t xml:space="preserve">Hjorth Larsen et al. (2017). The atomic simulation environment — a Python library for working with atoms. J. Phys.: Condens. Matter 29, 273002. ase-lib.org</w:t>
      </w:r>
    </w:p>
    <w:p>
      <w:pPr>
        <w:pStyle w:val="ListParagraph"/>
        <w:numPr>
          <w:ilvl w:val="0"/>
          <w:numId w:val="2"/>
        </w:numPr>
        <w:spacing w:before="30" w:after="30"/>
      </w:pPr>
      <w:r>
        <w:rPr>
          <w:rFonts w:ascii="Arial" w:cs="Arial" w:eastAsia="Arial" w:hAnsi="Arial"/>
          <w:i/>
          <w:iCs/>
          <w:color w:val="444444"/>
          <w:sz w:val="18"/>
          <w:szCs w:val="18"/>
        </w:rPr>
        <w:t xml:space="preserve">Heyd, Scuseria &amp; Ernzerhof (2003). Hybrid functionals based on a screened Coulomb potential (HSE06). Journal of Chemical Physics, 118(18).</w:t>
      </w:r>
    </w:p>
    <w:p>
      <w:pPr>
        <w:pStyle w:val="ListParagraph"/>
        <w:numPr>
          <w:ilvl w:val="0"/>
          <w:numId w:val="2"/>
        </w:numPr>
        <w:spacing w:before="30" w:after="30"/>
      </w:pPr>
      <w:r>
        <w:rPr>
          <w:rFonts w:ascii="Arial" w:cs="Arial" w:eastAsia="Arial" w:hAnsi="Arial"/>
          <w:i/>
          <w:iCs/>
          <w:color w:val="444444"/>
          <w:sz w:val="18"/>
          <w:szCs w:val="18"/>
        </w:rPr>
        <w:t xml:space="preserve">Giannozzi et al. (2009). QUANTUM ESPRESSO: a modular and open-source software project for quantum simulations of materials. Journal of Physics: Condensed Matter, 21.</w:t>
      </w:r>
    </w:p>
    <w:p>
      <w:pPr>
        <w:pStyle w:val="ListParagraph"/>
        <w:numPr>
          <w:ilvl w:val="0"/>
          <w:numId w:val="2"/>
        </w:numPr>
        <w:spacing w:before="30" w:after="30"/>
      </w:pPr>
      <w:r>
        <w:rPr>
          <w:rFonts w:ascii="Arial" w:cs="Arial" w:eastAsia="Arial" w:hAnsi="Arial"/>
          <w:i/>
          <w:iCs/>
          <w:color w:val="444444"/>
          <w:sz w:val="18"/>
          <w:szCs w:val="18"/>
        </w:rPr>
        <w:t xml:space="preserve">Ong et al. (2013). Python Materials Genomics (pymatgen): A robust, open-source python library for materials analysis. Computational Materials Science, 68.</w:t>
      </w:r>
    </w:p>
    <w:p>
      <w:pPr>
        <w:spacing w:before="30" w:after="0"/>
      </w:pPr>
      <w:r>
        <w:rPr>
          <w:rFonts w:ascii="Arial" w:cs="Arial" w:eastAsia="Arial" w:hAnsi="Arial"/>
        </w:rPr>
        <w:t xml:space="preserve"/>
      </w:r>
    </w:p>
    <w:p>
      <w:pPr>
        <w:spacing w:before="40" w:after="20"/>
      </w:pPr>
      <w:r>
        <w:rPr>
          <w:rFonts w:ascii="Arial" w:cs="Arial" w:eastAsia="Arial" w:hAnsi="Arial"/>
          <w:b/>
          <w:bCs/>
          <w:color w:val="1E3A5F"/>
          <w:sz w:val="19"/>
          <w:szCs w:val="19"/>
        </w:rPr>
        <w:t xml:space="preserve">AI-Guided Materials Discovery &amp; VAE Framework</w:t>
      </w:r>
    </w:p>
    <w:p>
      <w:pPr>
        <w:pStyle w:val="ListParagraph"/>
        <w:numPr>
          <w:ilvl w:val="0"/>
          <w:numId w:val="2"/>
        </w:numPr>
        <w:spacing w:before="30" w:after="30"/>
      </w:pPr>
      <w:r>
        <w:rPr>
          <w:rFonts w:ascii="Arial" w:cs="Arial" w:eastAsia="Arial" w:hAnsi="Arial"/>
          <w:i/>
          <w:iCs/>
          <w:color w:val="444444"/>
          <w:sz w:val="18"/>
          <w:szCs w:val="18"/>
        </w:rPr>
        <w:t xml:space="preserve">Zunger, A. (2018). Inverse design in search of materials with target functionalities. Nature Reviews Chemistry, 2, 0121. — Foundational inverse design principle.</w:t>
      </w:r>
    </w:p>
    <w:p>
      <w:pPr>
        <w:pStyle w:val="ListParagraph"/>
        <w:numPr>
          <w:ilvl w:val="0"/>
          <w:numId w:val="2"/>
        </w:numPr>
        <w:spacing w:before="30" w:after="30"/>
      </w:pPr>
      <w:r>
        <w:rPr>
          <w:rFonts w:ascii="Arial" w:cs="Arial" w:eastAsia="Arial" w:hAnsi="Arial"/>
          <w:i/>
          <w:iCs/>
          <w:color w:val="444444"/>
          <w:sz w:val="18"/>
          <w:szCs w:val="18"/>
        </w:rPr>
        <w:t xml:space="preserve">Noh, J. et al. (2019). Inverse design of solid-state materials via a continuous representation. Matter, 1(5), 1370–1384. — Crystal VAE for novel material generation with DFT validation oracle.</w:t>
      </w:r>
    </w:p>
    <w:p>
      <w:pPr>
        <w:pStyle w:val="ListParagraph"/>
        <w:numPr>
          <w:ilvl w:val="0"/>
          <w:numId w:val="2"/>
        </w:numPr>
        <w:spacing w:before="30" w:after="30"/>
      </w:pPr>
      <w:r>
        <w:rPr>
          <w:rFonts w:ascii="Arial" w:cs="Arial" w:eastAsia="Arial" w:hAnsi="Arial"/>
          <w:i/>
          <w:iCs/>
          <w:color w:val="444444"/>
          <w:sz w:val="18"/>
          <w:szCs w:val="18"/>
        </w:rPr>
        <w:t xml:space="preserve">Griffiths, R.-R. &amp; Hernández-Lobato, J.M. (2020). Constrained Bayesian Optimization for Automatic Chemical Design using Variational Autoencoders. Chemical Science, 11, 577. — Constraint encoding in VAE latent space for materials discovery.</w:t>
      </w:r>
    </w:p>
    <w:p>
      <w:pPr>
        <w:pStyle w:val="ListParagraph"/>
        <w:numPr>
          <w:ilvl w:val="0"/>
          <w:numId w:val="2"/>
        </w:numPr>
        <w:spacing w:before="30" w:after="30"/>
      </w:pPr>
      <w:r>
        <w:rPr>
          <w:rFonts w:ascii="Arial" w:cs="Arial" w:eastAsia="Arial" w:hAnsi="Arial"/>
          <w:i/>
          <w:iCs/>
          <w:color w:val="444444"/>
          <w:sz w:val="18"/>
          <w:szCs w:val="18"/>
        </w:rPr>
        <w:t xml:space="preserve">Luo, Y. et al. (2021). A self-consistent variational autoencoder for inverse design of solid electrolytes. Chemistry of Materials. — Demonstrates 40% property improvement in 3 discovery cycles using constrained VAE + DFT.</w:t>
      </w:r>
    </w:p>
    <w:p>
      <w:pPr>
        <w:pStyle w:val="ListParagraph"/>
        <w:numPr>
          <w:ilvl w:val="0"/>
          <w:numId w:val="2"/>
        </w:numPr>
        <w:spacing w:before="30" w:after="30"/>
      </w:pPr>
      <w:r>
        <w:rPr>
          <w:rFonts w:ascii="Arial" w:cs="Arial" w:eastAsia="Arial" w:hAnsi="Arial"/>
          <w:i/>
          <w:iCs/>
          <w:color w:val="444444"/>
          <w:sz w:val="18"/>
          <w:szCs w:val="18"/>
        </w:rPr>
        <w:t xml:space="preserve">Baird, S.G. et al. (2022). Compositionally restricted attention-based network (CrabNet) for materials property predictions. npj Computational Materials. — Attention-based surrogate for composition-property models.</w:t>
      </w:r>
    </w:p>
    <w:p>
      <w:pPr>
        <w:pStyle w:val="ListParagraph"/>
        <w:numPr>
          <w:ilvl w:val="0"/>
          <w:numId w:val="2"/>
        </w:numPr>
        <w:spacing w:before="30" w:after="30"/>
      </w:pPr>
      <w:r>
        <w:rPr>
          <w:rFonts w:ascii="Arial" w:cs="Arial" w:eastAsia="Arial" w:hAnsi="Arial"/>
          <w:i/>
          <w:iCs/>
          <w:color w:val="444444"/>
          <w:sz w:val="18"/>
          <w:szCs w:val="18"/>
        </w:rPr>
        <w:t xml:space="preserve">Radical AI (2026). Bayesian Optimization Augmented with Text (2026). Bayesian Optimization Augmented with Text — LLM embeddings for BO in alloy discovery. radical-ai.com</w:t>
      </w:r>
    </w:p>
    <w:p>
      <w:pPr>
        <w:pStyle w:val="ListParagraph"/>
        <w:numPr>
          <w:ilvl w:val="0"/>
          <w:numId w:val="2"/>
        </w:numPr>
        <w:spacing w:before="30" w:after="30"/>
      </w:pPr>
      <w:r>
        <w:rPr>
          <w:rFonts w:ascii="Arial" w:cs="Arial" w:eastAsia="Arial" w:hAnsi="Arial"/>
          <w:i/>
          <w:iCs/>
          <w:color w:val="444444"/>
          <w:sz w:val="18"/>
          <w:szCs w:val="18"/>
        </w:rPr>
        <w:t xml:space="preserve">Ranković &amp; Schwaller (2023). Bochemian: LLM embeddings for Bayesian optimization of chemical reactions. NeurIPS Workshop.</w:t>
      </w:r>
    </w:p>
    <w:p>
      <w:pPr>
        <w:pStyle w:val="ListParagraph"/>
        <w:numPr>
          <w:ilvl w:val="0"/>
          <w:numId w:val="2"/>
        </w:numPr>
        <w:spacing w:before="30" w:after="30"/>
      </w:pPr>
      <w:r>
        <w:rPr>
          <w:rFonts w:ascii="Arial" w:cs="Arial" w:eastAsia="Arial" w:hAnsi="Arial"/>
          <w:i/>
          <w:iCs/>
          <w:color w:val="444444"/>
          <w:sz w:val="18"/>
          <w:szCs w:val="18"/>
        </w:rPr>
        <w:t xml:space="preserve">Kristiadi et al. (2024). A sober look at LLMs for material discovery. ICML.</w:t>
      </w:r>
    </w:p>
    <w:p>
      <w:pPr>
        <w:pStyle w:val="ListParagraph"/>
        <w:numPr>
          <w:ilvl w:val="0"/>
          <w:numId w:val="2"/>
        </w:numPr>
        <w:spacing w:before="30" w:after="30"/>
      </w:pPr>
      <w:r>
        <w:rPr>
          <w:rFonts w:ascii="Arial" w:cs="Arial" w:eastAsia="Arial" w:hAnsi="Arial"/>
          <w:i/>
          <w:iCs/>
          <w:color w:val="444444"/>
          <w:sz w:val="18"/>
          <w:szCs w:val="18"/>
        </w:rPr>
        <w:t xml:space="preserve">Gupta et al. (2022). MatSciBERT: A materials domain language model. npj Computational Materials.</w:t>
      </w:r>
    </w:p>
    <w:p>
      <w:pPr>
        <w:spacing w:before="30" w:after="0"/>
      </w:pPr>
      <w:r>
        <w:rPr>
          <w:rFonts w:ascii="Arial" w:cs="Arial" w:eastAsia="Arial" w:hAnsi="Arial"/>
        </w:rPr>
        <w:t xml:space="preserve"/>
      </w:r>
    </w:p>
    <w:p>
      <w:pPr>
        <w:spacing w:before="40" w:after="20"/>
      </w:pPr>
      <w:r>
        <w:rPr>
          <w:rFonts w:ascii="Arial" w:cs="Arial" w:eastAsia="Arial" w:hAnsi="Arial"/>
          <w:b/>
          <w:bCs/>
          <w:color w:val="1E3A5F"/>
          <w:sz w:val="19"/>
          <w:szCs w:val="19"/>
        </w:rPr>
        <w:t xml:space="preserve">Market &amp; Commercial Landscape</w:t>
      </w:r>
    </w:p>
    <w:p>
      <w:pPr>
        <w:pStyle w:val="ListParagraph"/>
        <w:numPr>
          <w:ilvl w:val="0"/>
          <w:numId w:val="2"/>
        </w:numPr>
        <w:spacing w:before="30" w:after="30"/>
      </w:pPr>
      <w:r>
        <w:rPr>
          <w:rFonts w:ascii="Arial" w:cs="Arial" w:eastAsia="Arial" w:hAnsi="Arial"/>
          <w:i/>
          <w:iCs/>
          <w:color w:val="444444"/>
          <w:sz w:val="18"/>
          <w:szCs w:val="18"/>
        </w:rPr>
        <w:t xml:space="preserve">SkyQuest (2025). Greenhouse Film Market Report. USD 6.93B in 2023, projected USD 16.68B by 2032 at 10.3% CAGR.</w:t>
      </w:r>
    </w:p>
    <w:p>
      <w:pPr>
        <w:pStyle w:val="ListParagraph"/>
        <w:numPr>
          <w:ilvl w:val="0"/>
          <w:numId w:val="2"/>
        </w:numPr>
        <w:spacing w:before="30" w:after="30"/>
      </w:pPr>
      <w:r>
        <w:rPr>
          <w:rFonts w:ascii="Arial" w:cs="Arial" w:eastAsia="Arial" w:hAnsi="Arial"/>
          <w:i/>
          <w:iCs/>
          <w:color w:val="444444"/>
          <w:sz w:val="18"/>
          <w:szCs w:val="18"/>
        </w:rPr>
        <w:t xml:space="preserve">USDA NASS Greenhouse &amp; Nursery Survey (2023) — acreage and energy expenditure data.</w:t>
      </w:r>
    </w:p>
    <w:p>
      <w:pPr>
        <w:pStyle w:val="ListParagraph"/>
        <w:numPr>
          <w:ilvl w:val="0"/>
          <w:numId w:val="2"/>
        </w:numPr>
        <w:spacing w:before="30" w:after="30"/>
      </w:pPr>
      <w:r>
        <w:rPr>
          <w:rFonts w:ascii="Arial" w:cs="Arial" w:eastAsia="Arial" w:hAnsi="Arial"/>
          <w:i/>
          <w:iCs/>
          <w:color w:val="444444"/>
          <w:sz w:val="18"/>
          <w:szCs w:val="18"/>
        </w:rPr>
        <w:t xml:space="preserve">USDA Economic Research Service — Controlled Environment Agriculture cost benchmarks (2022).</w:t>
      </w:r>
    </w:p>
    <w:p>
      <w:pPr>
        <w:spacing w:before="4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none" w:color="FFFFFF" w:sz="0"/>
              <w:bottom w:val="single" w:color="CCCCCC" w:sz="2"/>
              <w:right w:val="none" w:color="FFFFFF" w:sz="0"/>
            </w:tcBorders>
            <w:shd w:fill="F8F9FA" w:val="clear"/>
            <w:tcMar>
              <w:top w:type="dxa" w:w="100"/>
              <w:left w:type="dxa" w:w="160"/>
              <w:bottom w:type="dxa" w:w="100"/>
              <w:right w:type="dxa" w:w="160"/>
            </w:tcMar>
          </w:tcPr>
          <w:p>
            <w:pPr>
              <w:jc w:val="center"/>
            </w:pPr>
            <w:r>
              <w:rPr>
                <w:rFonts w:ascii="Arial" w:cs="Arial" w:eastAsia="Arial" w:hAnsi="Arial"/>
                <w:i/>
                <w:iCs/>
                <w:color w:val="888888"/>
                <w:sz w:val="17"/>
                <w:szCs w:val="17"/>
              </w:rPr>
              <w:t xml:space="preserve">Preliminary Research Brief  ·  February 2026  ·  Internal Working Document  ·  For SBIR Pre-Application Planning</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2A7F6F"/>
      <w:sz w:val="28"/>
      <w:szCs w:val="28"/>
    </w:rPr>
  </w:style>
  <w:style w:type="paragraph" w:styleId="Heading2">
    <w:name w:val="Heading 2"/>
    <w:basedOn w:val="Normal"/>
    <w:next w:val="Normal"/>
    <w:qFormat/>
    <w:pPr>
      <w:spacing w:before="220" w:after="80"/>
      <w:outlineLvl w:val="1"/>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2026-02-26T16:58:45.183Z</dcterms:created>
  <dcterms:modified xsi:type="dcterms:W3CDTF">2026-02-26T16:58:45.184Z</dcterms:modified>
</cp:coreProperties>
</file>

<file path=docProps/custom.xml><?xml version="1.0" encoding="utf-8"?>
<Properties xmlns="http://schemas.openxmlformats.org/officeDocument/2006/custom-properties" xmlns:vt="http://schemas.openxmlformats.org/officeDocument/2006/docPropsVTypes"/>
</file>