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E3A5F"/>
          <w:sz w:val="44"/>
          <w:szCs w:val="44"/>
        </w:rPr>
        <w:t xml:space="preserve">Spectral-Selective Greenhouse Films</w:t>
      </w:r>
    </w:p>
    <w:p>
      <w:pPr>
        <w:spacing w:before="0" w:after="240"/>
      </w:pPr>
      <w:r>
        <w:rPr>
          <w:rFonts w:ascii="Arial" w:cs="Arial" w:eastAsia="Arial" w:hAnsi="Arial"/>
          <w:i/>
          <w:iCs/>
          <w:color w:val="2A7F6F"/>
          <w:sz w:val="22"/>
          <w:szCs w:val="22"/>
        </w:rPr>
        <w:t xml:space="preserve">Market Opportunity · Material Target · Design of Experiment</w:t>
      </w:r>
    </w:p>
    <w:p>
      <w:pPr>
        <w:pBdr>
          <w:left w:val="single" w:color="2A7F6F" w:sz="18" w:space="10"/>
        </w:pBdr>
        <w:spacing w:before="160" w:after="80"/>
        <w:ind w:left="240"/>
      </w:pPr>
      <w:r>
        <w:rPr>
          <w:rFonts w:ascii="Arial" w:cs="Arial" w:eastAsia="Arial" w:hAnsi="Arial"/>
          <w:color w:val="222222"/>
          <w:sz w:val="20"/>
          <w:szCs w:val="20"/>
        </w:rPr>
        <w:t xml:space="preserve">Plants use only a narrow slice of sunlight — roughly 400–700nm (photosynthetically active radiation, or PAR) — for photosynthesis. Everything outside that window, particularly near-infrared radiation (NIR, 700–2500nm), which carries nearly 50% of total solar energy, passes straight through conventional greenhouse films and converts to heat inside the structure. That heat must be mechanically removed, making HVAC one of the largest operating costs in controlled environment agriculture, often 25–40% of total energy spend. Despite this, virtually no commercial greenhouse film is engineered to selectively filter the solar spectrum: most are commodity polyethylene designed for UV stability and mechanical durability, not optical performance. The opportunity is to develop a film that transmits PAR with high fidelity while rejecting NIR before it enters the structure — reducing thermal load, cutting energy costs, and potentially improving the light quality that reaches the crop. No well-funded startup owns this problem today.</w:t>
      </w:r>
    </w:p>
    <w:p>
      <w:pPr>
        <w:spacing w:before="0" w:after="160"/>
      </w:pPr>
      <w:r>
        <w:rPr>
          <w:sz w:val="18"/>
        </w:rPr>
        <w:t/>
      </w:r>
    </w:p>
    <w:p>
      <w:pPr>
        <w:pStyle w:val="Heading2"/>
        <w:pBdr>
          <w:bottom w:val="single" w:color="2A7F6F" w:sz="4" w:space="4"/>
        </w:pBdr>
        <w:spacing w:before="240" w:after="100"/>
      </w:pPr>
      <w:r>
        <w:rPr>
          <w:rFonts w:ascii="Arial" w:cs="Arial" w:eastAsia="Arial" w:hAnsi="Arial"/>
          <w:b/>
          <w:bCs/>
          <w:color w:val="2A7F6F"/>
          <w:sz w:val="24"/>
          <w:szCs w:val="24"/>
        </w:rPr>
        <w:t xml:space="preserve">1. Market Opportunity</w:t>
      </w:r>
    </w:p>
    <w:p>
      <w:r>
        <w:rPr>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Scale</w:t>
            </w:r>
          </w:p>
        </w:tc>
        <w:tc>
          <w:tcPr>
            <w:tcW w:type="dxa" w:w="45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Energy Cost Context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Global Greenhouse Area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~500,000 ha</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HVAC = 25–40% of operating cost</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sz w:val="19"/>
                <w:szCs w:val="19"/>
              </w:rPr>
              <w:t xml:space="preserve">Vertical Farming (CEA)</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~$4B market, 25% CAGR</w:t>
            </w:r>
          </w:p>
        </w:tc>
        <w:tc>
          <w:tcPr>
            <w:tcW w:type="dxa" w:w="4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Lighting + cooling = 60–70% of opex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Commercial Glazing (adjacency)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~$50B global</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Solar heat gain = major HVAC driver</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sz w:val="19"/>
                <w:szCs w:val="19"/>
              </w:rPr>
              <w:t xml:space="preserve">Automotive Glass (adjacency)</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~$20B global</w:t>
            </w:r>
          </w:p>
        </w:tc>
        <w:tc>
          <w:tcPr>
            <w:tcW w:type="dxa" w:w="4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Cabin cooling drains EV battery 10–15%</w:t>
            </w:r>
          </w:p>
        </w:tc>
      </w:tr>
    </w:tbl>
    <w:p>
      <w:r>
        <w:rPr>
          <w:sz w:val="18"/>
          <w:szCs w:val="18"/>
        </w:rPr>
        <w:t xml:space="preserve"/>
      </w:r>
    </w:p>
    <w:p>
      <w:pPr>
        <w:spacing w:before="60" w:after="60"/>
      </w:pPr>
      <w:r>
        <w:rPr>
          <w:rFonts w:ascii="Arial" w:cs="Arial" w:eastAsia="Arial" w:hAnsi="Arial"/>
          <w:i w:val="false"/>
          <w:iCs w:val="false"/>
          <w:color w:val="222222"/>
          <w:sz w:val="20"/>
          <w:szCs w:val="20"/>
        </w:rPr>
        <w:t xml:space="preserve">A 30% reduction in greenhouse cooling energy for a 50 ha operator saving $2–4M/year in HVAC costs creates ROI in under 3 years at a $0.75/ft² film premium over standard polyethylene.</w:t>
      </w:r>
    </w:p>
    <w:p>
      <w:r>
        <w:rPr>
          <w:sz w:val="18"/>
          <w:szCs w:val="18"/>
        </w:rPr>
        <w:t xml:space="preserve"/>
      </w:r>
    </w:p>
    <w:p>
      <w:pPr>
        <w:spacing w:before="60" w:after="60"/>
      </w:pPr>
      <w:r>
        <w:rPr>
          <w:rFonts w:ascii="Arial" w:cs="Arial" w:eastAsia="Arial" w:hAnsi="Arial"/>
          <w:i w:val="false"/>
          <w:iCs w:val="false"/>
          <w:color w:val="666666"/>
          <w:sz w:val="20"/>
          <w:szCs w:val="20"/>
        </w:rPr>
        <w:t xml:space="preserve">Key references:</w:t>
      </w:r>
    </w:p>
    <w:p>
      <w:pPr>
        <w:spacing w:before="40" w:after="40"/>
      </w:pPr>
      <w:r>
        <w:rPr>
          <w:rFonts w:ascii="Arial" w:cs="Arial" w:eastAsia="Arial" w:hAnsi="Arial"/>
          <w:i/>
          <w:iCs/>
          <w:color w:val="666666"/>
          <w:sz w:val="17"/>
          <w:szCs w:val="17"/>
        </w:rPr>
        <w:t xml:space="preserve">• Ahamed et al. (2019). A review of greenhouse energy use and its future challenges. Energy &amp; Buildings, 183, 659–680.</w:t>
      </w:r>
    </w:p>
    <w:p>
      <w:pPr>
        <w:spacing w:before="40" w:after="40"/>
      </w:pPr>
      <w:r>
        <w:rPr>
          <w:rFonts w:ascii="Arial" w:cs="Arial" w:eastAsia="Arial" w:hAnsi="Arial"/>
          <w:i/>
          <w:iCs/>
          <w:color w:val="666666"/>
          <w:sz w:val="17"/>
          <w:szCs w:val="17"/>
        </w:rPr>
        <w:t xml:space="preserve">• USDA NASS Greenhouse &amp; Nursery Survey (2023) — acreage and energy expenditure data.</w:t>
      </w:r>
    </w:p>
    <w:p>
      <w:pPr>
        <w:spacing w:before="40" w:after="40"/>
      </w:pPr>
      <w:r>
        <w:rPr>
          <w:rFonts w:ascii="Arial" w:cs="Arial" w:eastAsia="Arial" w:hAnsi="Arial"/>
          <w:i/>
          <w:iCs/>
          <w:color w:val="666666"/>
          <w:sz w:val="17"/>
          <w:szCs w:val="17"/>
        </w:rPr>
        <w:t xml:space="preserve">• Ramirez-Arias et al. (2012). Multiobjective optimization of greenhouse climate control. Computers &amp; Electronics in Agriculture.</w:t>
      </w:r>
    </w:p>
    <w:p>
      <w:r>
        <w:rPr>
          <w:sz w:val="18"/>
          <w:szCs w:val="18"/>
        </w:rPr>
        <w:t xml:space="preserve"/>
      </w:r>
    </w:p>
    <w:p>
      <w:pPr>
        <w:pStyle w:val="Heading2"/>
        <w:pBdr>
          <w:bottom w:val="single" w:color="2A7F6F" w:sz="4" w:space="4"/>
        </w:pBdr>
        <w:spacing w:before="240" w:after="100"/>
      </w:pPr>
      <w:r>
        <w:rPr>
          <w:rFonts w:ascii="Arial" w:cs="Arial" w:eastAsia="Arial" w:hAnsi="Arial"/>
          <w:b/>
          <w:bCs/>
          <w:color w:val="2A7F6F"/>
          <w:sz w:val="24"/>
          <w:szCs w:val="24"/>
        </w:rPr>
        <w:t xml:space="preserve">2. What a Successful Material Looks Like</w:t>
      </w:r>
    </w:p>
    <w:p>
      <w:r>
        <w:rPr>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8F0" w:val="clear"/>
            <w:tcMar>
              <w:top w:type="dxa" w:w="120"/>
              <w:left w:type="dxa" w:w="200"/>
              <w:bottom w:type="dxa" w:w="120"/>
              <w:right w:type="dxa" w:w="200"/>
            </w:tcMar>
          </w:tcPr>
          <w:p>
            <w:r>
              <w:rPr>
                <w:rFonts w:ascii="Arial" w:cs="Arial" w:eastAsia="Arial" w:hAnsi="Arial"/>
                <w:b/>
                <w:bCs/>
                <w:color w:val="1E3A5F"/>
                <w:sz w:val="20"/>
                <w:szCs w:val="20"/>
              </w:rPr>
              <w:t xml:space="preserve">Target Optical Specification</w:t>
            </w:r>
          </w:p>
          <w:p>
            <w:r>
              <w:rPr>
                <w:rFonts w:ascii="Arial" w:cs="Arial" w:eastAsia="Arial" w:hAnsi="Arial"/>
                <w:color w:val="333333"/>
                <w:sz w:val="19"/>
                <w:szCs w:val="19"/>
              </w:rPr>
              <w:t xml:space="preserve">Visible transmission (400–700 nm): &gt;85% | Far-Red transmission (700–750 nm): retain &gt;50% (see Far-Red note below) | NIR block (750–2500 nm): &gt;70% | UV block (&lt;380 nm): &gt;90% | Haze: &lt;5%</w:t>
            </w:r>
          </w:p>
        </w:tc>
      </w:tr>
    </w:tbl>
    <w:p>
      <w:r>
        <w:rPr>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PAR Transmission (400–700nm)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&gt;85%</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Direct plant productivity impact</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NIR Block (750–2500nm)</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&gt;70% absorbed or reflected</w:t>
            </w:r>
          </w:p>
        </w:tc>
        <w:tc>
          <w:tcPr>
            <w:tcW w:type="dxa" w:w="3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Reduces heat load inside structure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Red:Far-Red Ratio (660/730nm)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&gt;1.2 (favors morphogenesis)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Controls plant stretch and flowering</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Photostability</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&lt;5% NIR performance loss over 5 yrs UV</w:t>
            </w:r>
          </w:p>
        </w:tc>
        <w:tc>
          <w:tcPr>
            <w:tcW w:type="dxa" w:w="3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Commercial replacement cycle = 5–7 years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Tensile Strength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&gt;20 MPa (match standard LDPE film)</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Survives installation and wind loads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Haze</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&lt;5%</w:t>
            </w:r>
          </w:p>
        </w:tc>
        <w:tc>
          <w:tcPr>
            <w:tcW w:type="dxa" w:w="3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Diffuse light is actually preferred — slight haze acceptable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Cost Target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&lt;$0.40/ft² additive cost over base film</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Must clear ROI threshold for operators</w:t>
            </w:r>
          </w:p>
        </w:tc>
      </w:tr>
    </w:tbl>
    <w:p>
      <w:r>
        <w:rPr>
          <w:sz w:val="18"/>
          <w:szCs w:val="18"/>
        </w:rPr>
        <w:t xml:space="preserve"/>
      </w:r>
    </w:p>
    <w:p>
      <w:pPr>
        <w:spacing w:before="60" w:after="60"/>
      </w:pPr>
      <w:r>
        <w:rPr>
          <w:rFonts w:ascii="Arial" w:cs="Arial" w:eastAsia="Arial" w:hAnsi="Arial"/>
          <w:i w:val="false"/>
          <w:iCs w:val="false"/>
          <w:color w:val="222222"/>
          <w:sz w:val="20"/>
          <w:szCs w:val="20"/>
        </w:rPr>
        <w:t xml:space="preserve">Leading candidate material classes:</w:t>
      </w:r>
    </w:p>
    <w:p>
      <w:pPr>
        <w:pStyle w:val="ListParagraph"/>
        <w:numPr>
          <w:ilvl w:val="0"/>
          <w:numId w:val="2"/>
        </w:numPr>
        <w:spacing w:before="40" w:after="40"/>
      </w:pPr>
      <w:r>
        <w:rPr>
          <w:rFonts w:ascii="Arial" w:cs="Arial" w:eastAsia="Arial" w:hAnsi="Arial"/>
          <w:color w:val="222222"/>
          <w:sz w:val="20"/>
          <w:szCs w:val="20"/>
        </w:rPr>
        <w:t xml:space="preserve">Cesium Tungsten Bronze (Cs₀.₃₃WO₃) nanoparticles — strong NIR absorption, tunable via Cs:W ratio, earth-abundant, no indium</w:t>
      </w:r>
    </w:p>
    <w:p>
      <w:pPr>
        <w:pStyle w:val="ListParagraph"/>
        <w:numPr>
          <w:ilvl w:val="0"/>
          <w:numId w:val="2"/>
        </w:numPr>
        <w:spacing w:before="40" w:after="40"/>
      </w:pPr>
      <w:r>
        <w:rPr>
          <w:rFonts w:ascii="Arial" w:cs="Arial" w:eastAsia="Arial" w:hAnsi="Arial"/>
          <w:color w:val="222222"/>
          <w:sz w:val="20"/>
          <w:szCs w:val="20"/>
        </w:rPr>
        <w:t xml:space="preserve">Vanadium-doped TiO₂ — dual UV-block and NIR absorption, photocatalytic self-cleaning bonus</w:t>
      </w:r>
    </w:p>
    <w:p>
      <w:pPr>
        <w:pStyle w:val="ListParagraph"/>
        <w:numPr>
          <w:ilvl w:val="0"/>
          <w:numId w:val="2"/>
        </w:numPr>
        <w:spacing w:before="40" w:after="40"/>
      </w:pPr>
      <w:r>
        <w:rPr>
          <w:rFonts w:ascii="Arial" w:cs="Arial" w:eastAsia="Arial" w:hAnsi="Arial"/>
          <w:color w:val="222222"/>
          <w:sz w:val="20"/>
          <w:szCs w:val="20"/>
        </w:rPr>
        <w:t xml:space="preserve">Lanthanum Hexaboride (LaB₆) — excellent NIR selectivity but higher cost; best for rigid glass applications</w:t>
      </w:r>
    </w:p>
    <w:p>
      <w:pPr>
        <w:pStyle w:val="ListParagraph"/>
        <w:numPr>
          <w:ilvl w:val="0"/>
          <w:numId w:val="2"/>
        </w:numPr>
        <w:spacing w:before="40" w:after="40"/>
      </w:pPr>
      <w:r>
        <w:rPr>
          <w:rFonts w:ascii="Arial" w:cs="Arial" w:eastAsia="Arial" w:hAnsi="Arial"/>
          <w:color w:val="222222"/>
          <w:sz w:val="20"/>
          <w:szCs w:val="20"/>
        </w:rPr>
        <w:t xml:space="preserve">Luminescent dye / quantum dot LSC films — converts green light to red PAR; photobleaching is key challenge</w:t>
      </w:r>
    </w:p>
    <w:p>
      <w:pPr>
        <w:numPr>
          <w:ilvl w:val="0"/>
          <w:numId w:val="1"/>
        </w:numPr>
        <w:spacing w:before="40" w:after="40"/>
      </w:pPr>
      <w:r>
        <w:rPr>
          <w:rFonts w:ascii="Arial" w:cs="Arial" w:eastAsia="Arial" w:hAnsi="Arial"/>
          <w:sz w:val="20"/>
          <w:szCs w:val="20"/>
        </w:rPr>
        <w:t xml:space="preserve">UbiQD quantum dot films (UbiGro) — semiconductor quantum dots convert UV and blue light into red/orange PAR; commercial partnership with Solvay; claimed 20% productivity increase. Different mechanism to NIR blocking — additive rather than subtractive approach. Photobleaching and cost remain open challenges.</w:t>
      </w:r>
    </w:p>
    <w:p>
      <w:r>
        <w:rPr>
          <w:sz w:val="18"/>
          <w:szCs w:val="18"/>
        </w:rPr>
        <w:t xml:space="preserve"/>
      </w:r>
    </w:p>
    <w:tbl>
      <w:tblPr>
        <w:tblW w:w="10080" w:type="dxa"/>
        <w:tblBorders>
          <w:top w:val="single" w:color="C0392B" w:sz="4"/>
          <w:left w:val="single" w:color="C0392B" w:sz="4"/>
          <w:bottom w:val="single" w:color="C0392B" w:sz="4"/>
          <w:right w:val="single" w:color="C0392B" w:sz="4"/>
          <w:insideH w:val="single" w:color="CCCCCC" w:sz="1"/>
          <w:insideV w:val="single" w:color="CCCCCC" w:sz="1"/>
        </w:tblBorders>
      </w:tblPr>
      <w:tblGrid>
        <w:gridCol w:w="10080"/>
      </w:tblGrid>
      <w:tr>
        <w:tc>
          <w:tcPr>
            <w:tcW w:w="10080" w:type="dxa"/>
            <w:shd w:val="clear" w:color="auto" w:fill="FDECEA"/>
            <w:tcMar>
              <w:top w:w="120" w:type="dxa"/>
              <w:left w:w="200" w:type="dxa"/>
              <w:bottom w:w="120" w:type="dxa"/>
              <w:right w:w="200" w:type="dxa"/>
            </w:tcMar>
          </w:tcPr>
          <w:p>
            <w:pPr>
              <w:spacing w:before="40" w:after="40"/>
            </w:pPr>
            <w:r>
              <w:rPr>
                <w:rFonts w:ascii="Arial" w:cs="Arial" w:eastAsia="Arial" w:hAnsi="Arial"/>
                <w:b/>
                <w:bCs/>
                <w:color w:val="C0392B"/>
                <w:sz w:val="20"/>
                <w:szCs w:val="20"/>
              </w:rPr>
              <w:t xml:space="preserve">⚠ Critical nuance — the Far-Red problem: </w:t>
            </w:r>
            <w:r>
              <w:rPr>
                <w:rFonts w:ascii="Arial" w:cs="Arial" w:eastAsia="Arial" w:hAnsi="Arial"/>
                <w:color w:val="333333"/>
                <w:sz w:val="19"/>
                <w:szCs w:val="19"/>
              </w:rPr>
              <w:t xml:space="preserve">A peer-reviewed PMC study (Park et al., 2023) found that far-red light at 700–750nm has measurable photosynthetic activity and strongly influences plant morphology via phytochrome. Current NIR-blocking films that cut off at 700nm inadvertently block this far-red band, reducing PAR transmittance to 62–81% and potentially suppressing yield. The implication: the NIR cutoff wavelength should be tuned to ~750nm, not 700nm — transmitting the photosynthetically active far-red band while blocking the thermally harmful 750–2500nm range. This is a more demanding optical specification than incumbents are achieving, and is the key point of differentiation for an AI-designed material. Existing NIR films from Ginegar (SunSaver) and Harnois (Suncooler) use broadband NIR-absorbing pigments that do not achieve this precision.</w:t>
            </w:r>
          </w:p>
        </w:tc>
      </w:tr>
    </w:tbl>
    <w:p>
      <w:r>
        <w:rPr>
          <w:sz w:val="18"/>
          <w:szCs w:val="18"/>
        </w:rPr>
        <w:t xml:space="preserve"/>
      </w:r>
    </w:p>
    <w:p>
      <w:pPr>
        <w:spacing w:before="60" w:after="60"/>
      </w:pPr>
      <w:r>
        <w:rPr>
          <w:rFonts w:ascii="Arial" w:cs="Arial" w:eastAsia="Arial" w:hAnsi="Arial"/>
          <w:i w:val="false"/>
          <w:iCs w:val="false"/>
          <w:color w:val="666666"/>
          <w:sz w:val="20"/>
          <w:szCs w:val="20"/>
        </w:rPr>
        <w:t xml:space="preserve">Key references:</w:t>
      </w:r>
    </w:p>
    <w:p>
      <w:pPr>
        <w:spacing w:before="40" w:after="40"/>
      </w:pPr>
      <w:r>
        <w:rPr>
          <w:rFonts w:ascii="Arial" w:cs="Arial" w:eastAsia="Arial" w:hAnsi="Arial"/>
          <w:i/>
          <w:iCs/>
          <w:color w:val="666666"/>
          <w:sz w:val="17"/>
          <w:szCs w:val="17"/>
        </w:rPr>
        <w:t xml:space="preserve">• Guo et al. (2018). Cesium tungsten bronze nanoparticles for NIR shielding. Solar Energy Materials &amp; Solar Cells, 176, 118–124.</w:t>
      </w:r>
    </w:p>
    <w:p>
      <w:pPr>
        <w:spacing w:before="40" w:after="40"/>
      </w:pPr>
      <w:r>
        <w:rPr>
          <w:rFonts w:ascii="Arial" w:cs="Arial" w:eastAsia="Arial" w:hAnsi="Arial"/>
          <w:i/>
          <w:iCs/>
          <w:color w:val="666666"/>
          <w:sz w:val="17"/>
          <w:szCs w:val="17"/>
        </w:rPr>
        <w:t xml:space="preserve">• Granqvist (2014). Electrochromics for smart windows: Oxide-based thin films and devices. Thin Solid Films, 564, 1–23.</w:t>
      </w:r>
    </w:p>
    <w:p>
      <w:pPr>
        <w:spacing w:before="40" w:after="40"/>
      </w:pPr>
      <w:r>
        <w:rPr>
          <w:rFonts w:ascii="Arial" w:cs="Arial" w:eastAsia="Arial" w:hAnsi="Arial"/>
          <w:i/>
          <w:iCs/>
          <w:color w:val="666666"/>
          <w:sz w:val="17"/>
          <w:szCs w:val="17"/>
        </w:rPr>
        <w:t xml:space="preserve">• Corrado et al. (2016). Luminescent solar concentrator greenhouses. PLOS ONE.</w:t>
      </w:r>
    </w:p>
    <w:p>
      <w:r>
        <w:rPr>
          <w:sz w:val="18"/>
          <w:szCs w:val="18"/>
        </w:rPr>
        <w:t xml:space="preserve"/>
      </w:r>
    </w:p>
    <w:p>
      <w:pPr>
        <w:pStyle w:val="Heading2"/>
        <w:pBdr>
          <w:bottom w:val="single" w:color="2A7F6F" w:sz="4" w:space="4"/>
        </w:pBdr>
        <w:spacing w:before="240" w:after="100"/>
      </w:pPr>
      <w:r>
        <w:rPr>
          <w:rFonts w:ascii="Arial" w:cs="Arial" w:eastAsia="Arial" w:hAnsi="Arial"/>
          <w:b/>
          <w:bCs/>
          <w:color w:val="2A7F6F"/>
          <w:sz w:val="24"/>
          <w:szCs w:val="24"/>
        </w:rPr>
        <w:t xml:space="preserve">3. Current Startup &amp; Company Landscape</w:t>
      </w:r>
    </w:p>
    <w:p>
      <w:r>
        <w:rPr>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348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Company</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Target Market</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Status / Gap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Ubiquitous Energy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Transparent organic PV — absorbs UV+NIR, transmits visible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Architectural glass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Series B funded; not targeting greenhouses specifically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Soliculture / LUMO</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Luminescent dye film (magenta) — converts green → red light</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Greenhouses</w:t>
            </w:r>
          </w:p>
        </w:tc>
        <w:tc>
          <w:tcPr>
            <w:tcW w:type="dxa" w:w="3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Acquired; photobleaching &amp; cost issues unresolved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Eastman Chemical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NIR-absorbing polymer additives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Automotive, building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No greenhouse-specific product; large incumbent moving slowly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Heliotrope Scientific</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Electrochromic NIR coatings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Smart windows</w:t>
            </w:r>
          </w:p>
        </w:tc>
        <w:tc>
          <w:tcPr>
            <w:tcW w:type="dxa" w:w="3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Early stage; dynamic switching adds cost &amp; complexity</w:t>
            </w:r>
          </w:p>
        </w:tc>
      </w:tr>
      <w:tr>
        <w:tc>
          <w:tcPr>
            <w:tcW w:type="dxa" w:w="2200"/>
            <w:tcBorders>
              <w:top w:val="single" w:color="CCCCCC" w:sz="1"/>
              <w:left w:val="single" w:color="CCCCCC" w:sz="1"/>
              <w:bottom w:val="single" w:color="CCCCCC" w:sz="1"/>
              <w:right w:val="single" w:color="CCCCCC" w:sz="1"/>
            </w:tcBorders>
            <w:shd w:fill="F0F4F8" w:val="clear"/>
            <w:tcMar>
              <w:top w:w="60" w:type="dxa"/>
              <w:left w:w="120" w:type="dxa"/>
              <w:bottom w:w="60" w:type="dxa"/>
              <w:right w:w="120" w:type="dxa"/>
            </w:tcMar>
          </w:tcPr>
          <w:p>
            <w:r>
              <w:rPr>
                <w:rFonts w:ascii="Arial" w:cs="Arial" w:eastAsia="Arial" w:hAnsi="Arial"/>
                <w:sz w:val="19"/>
                <w:szCs w:val="19"/>
              </w:rPr>
              <w:t>Ginegar (SunSaver)</w:t>
            </w:r>
          </w:p>
        </w:tc>
        <w:tc>
          <w:tcPr>
            <w:tcW w:type="dxa" w:w="2400"/>
            <w:tcBorders>
              <w:top w:val="single" w:color="CCCCCC" w:sz="1"/>
              <w:left w:val="single" w:color="CCCCCC" w:sz="1"/>
              <w:bottom w:val="single" w:color="CCCCCC" w:sz="1"/>
              <w:right w:val="single" w:color="CCCCCC" w:sz="1"/>
            </w:tcBorders>
            <w:shd w:fill="F0F4F8" w:val="clear"/>
            <w:tcMar>
              <w:top w:w="60" w:type="dxa"/>
              <w:left w:w="120" w:type="dxa"/>
              <w:bottom w:w="60" w:type="dxa"/>
              <w:right w:w="120" w:type="dxa"/>
            </w:tcMar>
          </w:tcPr>
          <w:p>
            <w:r>
              <w:rPr>
                <w:rFonts w:ascii="Arial" w:cs="Arial" w:eastAsia="Arial" w:hAnsi="Arial"/>
                <w:sz w:val="19"/>
                <w:szCs w:val="19"/>
              </w:rPr>
              <w:t>Broadband NIR-absorbing pigment additive in PE film; blocks NIR but without spectral precision</w:t>
            </w:r>
          </w:p>
        </w:tc>
        <w:tc>
          <w:tcPr>
            <w:tcW w:type="dxa" w:w="2000"/>
            <w:tcBorders>
              <w:top w:val="single" w:color="CCCCCC" w:sz="1"/>
              <w:left w:val="single" w:color="CCCCCC" w:sz="1"/>
              <w:bottom w:val="single" w:color="CCCCCC" w:sz="1"/>
              <w:right w:val="single" w:color="CCCCCC" w:sz="1"/>
            </w:tcBorders>
            <w:shd w:fill="F0F4F8" w:val="clear"/>
            <w:tcMar>
              <w:top w:w="60" w:type="dxa"/>
              <w:left w:w="120" w:type="dxa"/>
              <w:bottom w:w="60" w:type="dxa"/>
              <w:right w:w="120" w:type="dxa"/>
            </w:tcMar>
          </w:tcPr>
          <w:p>
            <w:r>
              <w:rPr>
                <w:rFonts w:ascii="Arial" w:cs="Arial" w:eastAsia="Arial" w:hAnsi="Arial"/>
                <w:sz w:val="19"/>
                <w:szCs w:val="19"/>
              </w:rPr>
              <w:t>Greenhouses (hot climates)</w:t>
            </w:r>
          </w:p>
        </w:tc>
        <w:tc>
          <w:tcPr>
            <w:tcW w:type="dxa" w:w="3480"/>
            <w:tcBorders>
              <w:top w:val="single" w:color="CCCCCC" w:sz="1"/>
              <w:left w:val="single" w:color="CCCCCC" w:sz="1"/>
              <w:bottom w:val="single" w:color="CCCCCC" w:sz="1"/>
              <w:right w:val="single" w:color="CCCCCC" w:sz="1"/>
            </w:tcBorders>
            <w:shd w:fill="F0F4F8" w:val="clear"/>
            <w:tcMar>
              <w:top w:w="60" w:type="dxa"/>
              <w:left w:w="120" w:type="dxa"/>
              <w:bottom w:w="60" w:type="dxa"/>
              <w:right w:w="120" w:type="dxa"/>
            </w:tcMar>
          </w:tcPr>
          <w:p>
            <w:r>
              <w:rPr>
                <w:rFonts w:ascii="Arial" w:cs="Arial" w:eastAsia="Arial" w:hAnsi="Arial"/>
                <w:sz w:val="19"/>
                <w:szCs w:val="19"/>
              </w:rPr>
              <w:t xml:space="preserve">Launched Jan 2024; market validated. Cuts off at ~700nm — blocks far-red band, reducing PAR transmittance to 71–81%. Precision gap is the differentiation opportunity.</w:t>
            </w:r>
          </w:p>
        </w:tc>
      </w:tr>
      <w:tr>
        <w:tc>
          <w:tcPr>
            <w:tcW w:type="dxa" w:w="2200"/>
            <w:tcBorders>
              <w:top w:val="single" w:color="CCCCCC" w:sz="1"/>
              <w:left w:val="single" w:color="CCCCCC" w:sz="1"/>
              <w:bottom w:val="single" w:color="CCCCCC" w:sz="1"/>
              <w:right w:val="single" w:color="CCCCCC" w:sz="1"/>
            </w:tcBorders>
            <w:shd w:fill="FFFFFF" w:val="clear"/>
            <w:tcMar>
              <w:top w:w="60" w:type="dxa"/>
              <w:left w:w="120" w:type="dxa"/>
              <w:bottom w:w="60" w:type="dxa"/>
              <w:right w:w="120" w:type="dxa"/>
            </w:tcMar>
          </w:tcPr>
          <w:p>
            <w:r>
              <w:rPr>
                <w:rFonts w:ascii="Arial" w:cs="Arial" w:eastAsia="Arial" w:hAnsi="Arial"/>
                <w:sz w:val="19"/>
                <w:szCs w:val="19"/>
              </w:rPr>
              <w:t>UbiQD (UbiGro)</w:t>
            </w:r>
          </w:p>
        </w:tc>
        <w:tc>
          <w:tcPr>
            <w:tcW w:type="dxa" w:w="2400"/>
            <w:tcBorders>
              <w:top w:val="single" w:color="CCCCCC" w:sz="1"/>
              <w:left w:val="single" w:color="CCCCCC" w:sz="1"/>
              <w:bottom w:val="single" w:color="CCCCCC" w:sz="1"/>
              <w:right w:val="single" w:color="CCCCCC" w:sz="1"/>
            </w:tcBorders>
            <w:shd w:fill="FFFFFF" w:val="clear"/>
            <w:tcMar>
              <w:top w:w="60" w:type="dxa"/>
              <w:left w:w="120" w:type="dxa"/>
              <w:bottom w:w="60" w:type="dxa"/>
              <w:right w:w="120" w:type="dxa"/>
            </w:tcMar>
          </w:tcPr>
          <w:p>
            <w:r>
              <w:rPr>
                <w:rFonts w:ascii="Arial" w:cs="Arial" w:eastAsia="Arial" w:hAnsi="Arial"/>
                <w:sz w:val="19"/>
                <w:szCs w:val="19"/>
              </w:rPr>
              <w:t>Quantum dot film converts UV+blue → red/orange PAR; additive spectral conversion not NIR blocking</w:t>
            </w:r>
          </w:p>
        </w:tc>
        <w:tc>
          <w:tcPr>
            <w:tcW w:type="dxa" w:w="2000"/>
            <w:tcBorders>
              <w:top w:val="single" w:color="CCCCCC" w:sz="1"/>
              <w:left w:val="single" w:color="CCCCCC" w:sz="1"/>
              <w:bottom w:val="single" w:color="CCCCCC" w:sz="1"/>
              <w:right w:val="single" w:color="CCCCCC" w:sz="1"/>
            </w:tcBorders>
            <w:shd w:fill="FFFFFF" w:val="clear"/>
            <w:tcMar>
              <w:top w:w="60" w:type="dxa"/>
              <w:left w:w="120" w:type="dxa"/>
              <w:bottom w:w="60" w:type="dxa"/>
              <w:right w:w="120" w:type="dxa"/>
            </w:tcMar>
          </w:tcPr>
          <w:p>
            <w:r>
              <w:rPr>
                <w:rFonts w:ascii="Arial" w:cs="Arial" w:eastAsia="Arial" w:hAnsi="Arial"/>
                <w:sz w:val="19"/>
                <w:szCs w:val="19"/>
              </w:rPr>
              <w:t>Greenhouses</w:t>
            </w:r>
          </w:p>
        </w:tc>
        <w:tc>
          <w:tcPr>
            <w:tcW w:type="dxa" w:w="3480"/>
            <w:tcBorders>
              <w:top w:val="single" w:color="CCCCCC" w:sz="1"/>
              <w:left w:val="single" w:color="CCCCCC" w:sz="1"/>
              <w:bottom w:val="single" w:color="CCCCCC" w:sz="1"/>
              <w:right w:val="single" w:color="CCCCCC" w:sz="1"/>
            </w:tcBorders>
            <w:shd w:fill="FFFFFF" w:val="clear"/>
            <w:tcMar>
              <w:top w:w="60" w:type="dxa"/>
              <w:left w:w="120" w:type="dxa"/>
              <w:bottom w:w="60" w:type="dxa"/>
              <w:right w:w="120" w:type="dxa"/>
            </w:tcMar>
          </w:tcPr>
          <w:p>
            <w:r>
              <w:rPr>
                <w:rFonts w:ascii="Arial" w:cs="Arial" w:eastAsia="Arial" w:hAnsi="Arial"/>
                <w:sz w:val="19"/>
                <w:szCs w:val="19"/>
              </w:rPr>
              <w:t xml:space="preserve">Commercial partnership with Solvay; claims 20% yield increase. Complementary approach — could be combined with NIR blocking film. Photobleaching and cost unresolved.</w:t>
            </w:r>
          </w:p>
        </w:tc>
      </w:tr>
      <w:tr>
        <w:tc>
          <w:tcPr>
            <w:tcW w:type="dxa" w:w="2200"/>
            <w:tcBorders>
              <w:top w:val="single" w:color="CCCCCC" w:sz="1"/>
              <w:left w:val="single" w:color="CCCCCC" w:sz="1"/>
              <w:bottom w:val="single" w:color="CCCCCC" w:sz="1"/>
              <w:right w:val="single" w:color="CCCCCC" w:sz="1"/>
            </w:tcBorders>
            <w:shd w:fill="D6EDE8" w:val="clear"/>
            <w:tcMar>
              <w:top w:type="dxa" w:w="60"/>
              <w:left w:type="dxa" w:w="120"/>
              <w:bottom w:type="dxa" w:w="60"/>
              <w:right w:type="dxa" w:w="120"/>
            </w:tcMar>
          </w:tcPr>
          <w:p>
            <w:r>
              <w:rPr>
                <w:rFonts w:ascii="Arial" w:cs="Arial" w:eastAsia="Arial" w:hAnsi="Arial"/>
                <w:sz w:val="19"/>
                <w:szCs w:val="19"/>
              </w:rPr>
              <w:t xml:space="preserve">WHITESPACE</w:t>
            </w:r>
          </w:p>
        </w:tc>
        <w:tc>
          <w:tcPr>
            <w:tcW w:type="dxa" w:w="2400"/>
            <w:tcBorders>
              <w:top w:val="single" w:color="CCCCCC" w:sz="1"/>
              <w:left w:val="single" w:color="CCCCCC" w:sz="1"/>
              <w:bottom w:val="single" w:color="CCCCCC" w:sz="1"/>
              <w:right w:val="single" w:color="CCCCCC" w:sz="1"/>
            </w:tcBorders>
            <w:shd w:fill="D6EDE8" w:val="clear"/>
            <w:tcMar>
              <w:top w:type="dxa" w:w="60"/>
              <w:left w:type="dxa" w:w="120"/>
              <w:bottom w:type="dxa" w:w="60"/>
              <w:right w:type="dxa" w:w="120"/>
            </w:tcMar>
          </w:tcPr>
          <w:p>
            <w:r>
              <w:rPr>
                <w:rFonts w:ascii="Arial" w:cs="Arial" w:eastAsia="Arial" w:hAnsi="Arial"/>
                <w:sz w:val="19"/>
                <w:szCs w:val="19"/>
              </w:rPr>
              <w:t xml:space="preserve">AI-optimized nanoparticle film for greenhouse-specific PAR/NIR spec</w:t>
            </w:r>
          </w:p>
        </w:tc>
        <w:tc>
          <w:tcPr>
            <w:tcW w:type="dxa" w:w="2000"/>
            <w:tcBorders>
              <w:top w:val="single" w:color="CCCCCC" w:sz="1"/>
              <w:left w:val="single" w:color="CCCCCC" w:sz="1"/>
              <w:bottom w:val="single" w:color="CCCCCC" w:sz="1"/>
              <w:right w:val="single" w:color="CCCCCC" w:sz="1"/>
            </w:tcBorders>
            <w:shd w:fill="D6EDE8" w:val="clear"/>
            <w:tcMar>
              <w:top w:type="dxa" w:w="60"/>
              <w:left w:type="dxa" w:w="120"/>
              <w:bottom w:type="dxa" w:w="60"/>
              <w:right w:type="dxa" w:w="120"/>
            </w:tcMar>
          </w:tcPr>
          <w:p>
            <w:r>
              <w:rPr>
                <w:rFonts w:ascii="Arial" w:cs="Arial" w:eastAsia="Arial" w:hAnsi="Arial"/>
                <w:sz w:val="19"/>
                <w:szCs w:val="19"/>
              </w:rPr>
              <w:t xml:space="preserve">Greenhouses → glazing</w:t>
            </w:r>
          </w:p>
        </w:tc>
        <w:tc>
          <w:tcPr>
            <w:tcW w:type="dxa" w:w="3480"/>
            <w:tcBorders>
              <w:top w:val="single" w:color="CCCCCC" w:sz="1"/>
              <w:left w:val="single" w:color="CCCCCC" w:sz="1"/>
              <w:bottom w:val="single" w:color="CCCCCC" w:sz="1"/>
              <w:right w:val="single" w:color="CCCCCC" w:sz="1"/>
            </w:tcBorders>
            <w:shd w:fill="D6EDE8" w:val="clear"/>
            <w:tcMar>
              <w:top w:type="dxa" w:w="60"/>
              <w:left w:type="dxa" w:w="120"/>
              <w:bottom w:type="dxa" w:w="60"/>
              <w:right w:type="dxa" w:w="120"/>
            </w:tcMar>
          </w:tcPr>
          <w:p>
            <w:r>
              <w:rPr>
                <w:rFonts w:ascii="Arial" w:cs="Arial" w:eastAsia="Arial" w:hAnsi="Arial"/>
                <w:sz w:val="19"/>
                <w:szCs w:val="19"/>
              </w:rPr>
              <w:t xml:space="preserve">No well-funded startup owns this problem. Open.</w:t>
            </w:r>
          </w:p>
        </w:tc>
      </w:tr>
    </w:tbl>
    <w:p>
      <w:r>
        <w:rPr>
          <w:sz w:val="18"/>
          <w:szCs w:val="18"/>
        </w:rPr>
        <w:t xml:space="preserve"/>
      </w:r>
    </w:p>
    <w:p>
      <w:pPr>
        <w:pStyle w:val="Heading2"/>
        <w:pBdr>
          <w:bottom w:val="single" w:color="2A7F6F" w:sz="4" w:space="4"/>
        </w:pBdr>
        <w:spacing w:before="240" w:after="100"/>
      </w:pPr>
      <w:r>
        <w:rPr>
          <w:rFonts w:ascii="Arial" w:cs="Arial" w:eastAsia="Arial" w:hAnsi="Arial"/>
          <w:b/>
          <w:bCs/>
          <w:color w:val="2A7F6F"/>
          <w:sz w:val="24"/>
          <w:szCs w:val="24"/>
        </w:rPr>
        <w:t xml:space="preserve">4. Small-Scale Design of Experiment</w:t>
      </w:r>
    </w:p>
    <w:p>
      <w:r>
        <w:rPr>
          <w:sz w:val="18"/>
          <w:szCs w:val="18"/>
        </w:rPr>
        <w:t xml:space="preserve"/>
      </w:r>
    </w:p>
    <w:p>
      <w:pPr>
        <w:spacing w:before="60" w:after="60"/>
      </w:pPr>
      <w:r>
        <w:rPr>
          <w:rFonts w:ascii="Arial" w:cs="Arial" w:eastAsia="Arial" w:hAnsi="Arial"/>
          <w:i w:val="false"/>
          <w:iCs w:val="false"/>
          <w:color w:val="222222"/>
          <w:sz w:val="20"/>
          <w:szCs w:val="20"/>
        </w:rPr>
        <w:t xml:space="preserve">A 6-month, ~$150–200K seed-stage DOE to validate the core material hypothesis before committing to formulation scale-up.</w:t>
      </w:r>
    </w:p>
    <w:p>
      <w:r>
        <w:rPr>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2000"/>
        <w:gridCol w:w="248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You Do</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Output</w:t>
            </w:r>
          </w:p>
        </w:tc>
        <w:tc>
          <w:tcPr>
            <w:tcW w:type="dxa" w:w="2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Duration / Cost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Computational Screen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Run AI/ML screen across Cs-W bronze, LaB₆, V-TiO₂ compositional variants. Optimize for NIR absorption coefficient + visible transmission using DFT + trained optical property models (e.g. MatBERT, GNoME-derived embeddings).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Top 5–8 candidate compositions with predicted spectra</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4 weeks / ~$10K (compute + materials database access)</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sz w:val="19"/>
                <w:szCs w:val="19"/>
              </w:rPr>
              <w:t xml:space="preserve">2</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Nanoparticle Synthesis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Synthesize top 3 candidates via solvothermal or sol-gel routes. Target particle size 20–80nm. Characterize with TEM, XRD, UV-Vis-NIR spectrophotometry. Test 3 Cs:W ratios (0.25, 0.33, 0.40) for bronze variants.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Spectral data per candidate; particle size distribution</w:t>
            </w:r>
          </w:p>
        </w:tc>
        <w:tc>
          <w:tcPr>
            <w:tcW w:type="dxa" w:w="2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6 weeks / ~$30K (materials + characterization)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Film Formulation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Disperse best 2 candidates into LDPE and EVA matrices at 0.5%, 1%, 2% loading. Cast lab-scale films (0.1mm thickness). Measure transmission spectra, haze (ASTM D1003), tensile strength (ASTM D882).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Transmission curves, haze%, tensile data per formulation</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6 weeks / ~$25K</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sz w:val="19"/>
                <w:szCs w:val="19"/>
              </w:rPr>
              <w:t xml:space="preserve">4</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Accelerated UV Weathering</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Expose best 2 film formulations to 1000hr Xenon arc weathering (ASTM G155 — equivalent to ~2 yrs outdoor). Measure NIR performance retention, yellowing index, tensile change at 250hr intervals.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Degradation curve; % NIR performance retained at 1000hr</w:t>
            </w:r>
          </w:p>
        </w:tc>
        <w:tc>
          <w:tcPr>
            <w:tcW w:type="dxa" w:w="2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8 weeks (parallel with Phase 5) / ~$15K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Greenhouse Micro-Trial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Partner with 1 commercial greenhouse. Install best candidate film over 2 x 500 m² bays vs. standard PE control. Measure: internal air temp (°C), HVAC runtime (hrs/day), PAR levels (PPFD, μmol/m²/s), plant growth index on fast-cycling crop (lettuce, 28-day cycle).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Temperature delta, energy delta, yield delta vs. control</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10 weeks / ~$40K (film production + monitoring)</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sz w:val="19"/>
                <w:szCs w:val="19"/>
              </w:rPr>
              <w:t xml:space="preserve">6</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Decision Gate</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If NIR rejection &gt;60% retained at 1000hr UV AND greenhouse temp delta &gt;3°C AND no negative yield impact → proceed to Series A formulation scale-up and commercial pilot. If not → iterate composition or pivot to rigid glass coating route.</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Go/No-Go for Series A</w:t>
            </w:r>
          </w:p>
        </w:tc>
        <w:tc>
          <w:tcPr>
            <w:tcW w:type="dxa" w:w="2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2 weeks / analysis only</w:t>
            </w:r>
          </w:p>
        </w:tc>
      </w:tr>
    </w:tbl>
    <w:p>
      <w:r>
        <w:rPr>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DE8" w:val="clear"/>
            <w:tcMar>
              <w:top w:type="dxa" w:w="120"/>
              <w:left w:type="dxa" w:w="200"/>
              <w:bottom w:type="dxa" w:w="120"/>
              <w:right w:type="dxa" w:w="200"/>
            </w:tcMar>
          </w:tcPr>
          <w:p>
            <w:r>
              <w:rPr>
                <w:rFonts w:ascii="Arial" w:cs="Arial" w:eastAsia="Arial" w:hAnsi="Arial"/>
                <w:b/>
                <w:bCs/>
                <w:color w:val="1E3A5F"/>
                <w:sz w:val="20"/>
                <w:szCs w:val="20"/>
              </w:rPr>
              <w:t xml:space="preserve">Success Criteria for Go Decision</w:t>
            </w:r>
          </w:p>
          <w:p>
            <w:r>
              <w:rPr>
                <w:rFonts w:ascii="Arial" w:cs="Arial" w:eastAsia="Arial" w:hAnsi="Arial"/>
                <w:color w:val="333333"/>
                <w:sz w:val="19"/>
                <w:szCs w:val="19"/>
              </w:rPr>
              <w:t xml:space="preserve">NIR rejection &gt;60% at 1000hr UV exposure  |  Greenhouse temp delta &gt;3°C vs. control  |  PAR transmission &gt;80%  |  No statistically significant yield reduction  |  Haze &lt;8%</w:t>
            </w:r>
          </w:p>
        </w:tc>
      </w:tr>
    </w:tbl>
    <w:p>
      <w:r>
        <w:rPr>
          <w:sz w:val="18"/>
          <w:szCs w:val="18"/>
        </w:rPr>
        <w:t xml:space="preserve"/>
      </w:r>
    </w:p>
    <w:p>
      <w:pPr>
        <w:pStyle w:val="Heading2"/>
        <w:pBdr>
          <w:bottom w:val="single" w:color="2A7F6F" w:sz="4" w:space="4"/>
        </w:pBdr>
        <w:spacing w:before="240" w:after="100"/>
      </w:pPr>
      <w:r>
        <w:rPr>
          <w:rFonts w:ascii="Arial" w:cs="Arial" w:eastAsia="Arial" w:hAnsi="Arial"/>
          <w:b/>
          <w:bCs/>
          <w:color w:val="2A7F6F"/>
          <w:sz w:val="24"/>
          <w:szCs w:val="24"/>
        </w:rPr>
        <w:t xml:space="preserve">5. Key Risks &amp; Mitigations</w:t>
      </w:r>
    </w:p>
    <w:p>
      <w:r>
        <w:rPr>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35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Nanoparticle aggregation in PE matrix → haze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High</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Surface functionalization (oleic acid, silane coupling); test multiple dispersants in Phase 3</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Photobleaching faster than 5yr target</w:t>
            </w:r>
          </w:p>
        </w:tc>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Medium-High</w:t>
            </w:r>
          </w:p>
        </w:tc>
        <w:tc>
          <w:tcPr>
            <w:tcW w:type="dxa" w:w="3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Start with inorganic (Cs-W bronze) not organic dyes; UV stabilizer co-additives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Cooling benefit not large enough for ROI</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Medium</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Combine NIR rejection with diffuse light benefit — diffuse PAR increases canopy photosynthesis 5–15%</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Film extrusion compatibility issues</w:t>
            </w:r>
          </w:p>
        </w:tc>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Medium</w:t>
            </w:r>
          </w:p>
        </w:tc>
        <w:tc>
          <w:tcPr>
            <w:tcW w:type="dxa" w:w="3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sz w:val="19"/>
                <w:szCs w:val="19"/>
              </w:rPr>
              <w:t xml:space="preserve">Partner with Plastika Kritis or RKW Group early — contract film extruders with ag-film experience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Grower adoption resistance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Low-Medium</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Side-by-side trial data eliminates skepticism; offer energy-savings guarantee model</w:t>
            </w:r>
          </w:p>
        </w:tc>
      </w:tr>
    </w:tbl>
    <w:p>
      <w:r>
        <w:rPr>
          <w:sz w:val="18"/>
          <w:szCs w:val="18"/>
        </w:rPr>
        <w:t xml:space="preserve"/>
      </w:r>
    </w:p>
    <w:p>
      <w:pPr>
        <w:pStyle w:val="Heading2"/>
        <w:pBdr>
          <w:bottom w:val="single" w:color="2A7F6F" w:sz="4" w:space="4"/>
        </w:pBdr>
        <w:spacing w:before="240" w:after="100"/>
      </w:pPr>
      <w:r>
        <w:rPr>
          <w:rFonts w:ascii="Arial" w:cs="Arial" w:eastAsia="Arial" w:hAnsi="Arial"/>
          <w:b/>
          <w:bCs/>
          <w:color w:val="2A7F6F"/>
          <w:sz w:val="24"/>
          <w:szCs w:val="24"/>
        </w:rPr>
        <w:t xml:space="preserve">6. Additional Key References</w:t>
      </w:r>
    </w:p>
    <w:p>
      <w:r>
        <w:rPr>
          <w:sz w:val="18"/>
          <w:szCs w:val="18"/>
        </w:rPr>
        <w:t xml:space="preserve"/>
      </w:r>
    </w:p>
    <w:p>
      <w:pPr>
        <w:spacing w:before="40" w:after="40"/>
      </w:pPr>
      <w:r>
        <w:rPr>
          <w:rFonts w:ascii="Arial" w:cs="Arial" w:eastAsia="Arial" w:hAnsi="Arial"/>
          <w:i/>
          <w:iCs/>
          <w:color w:val="666666"/>
          <w:sz w:val="17"/>
          <w:szCs w:val="17"/>
        </w:rPr>
        <w:t xml:space="preserve">Hemming et al. (2016). How to select the best greenhouse covering material? Acta Horticulturae, 1134.</w:t>
      </w:r>
    </w:p>
    <w:p>
      <w:pPr>
        <w:spacing w:before="40" w:after="40"/>
      </w:pPr>
      <w:r>
        <w:rPr>
          <w:rFonts w:ascii="Arial" w:cs="Arial" w:eastAsia="Arial" w:hAnsi="Arial"/>
          <w:i/>
          <w:iCs/>
          <w:color w:val="666666"/>
          <w:sz w:val="17"/>
          <w:szCs w:val="17"/>
        </w:rPr>
        <w:t xml:space="preserve">Papadakis et al. (2000). A simplified energy analysis of a greenhouse. Biosystems Engineering, 87(2), 229–241.</w:t>
      </w:r>
    </w:p>
    <w:p>
      <w:pPr>
        <w:spacing w:before="40" w:after="40"/>
      </w:pPr>
      <w:r>
        <w:rPr>
          <w:rFonts w:ascii="Arial" w:cs="Arial" w:eastAsia="Arial" w:hAnsi="Arial"/>
          <w:i/>
          <w:iCs/>
          <w:color w:val="666666"/>
          <w:sz w:val="17"/>
          <w:szCs w:val="17"/>
        </w:rPr>
        <w:t xml:space="preserve">Nishimura et al. (2012). Near-infrared absorption properties of CsxWO3 nanoparticles. Applied Physics Letters, 100.</w:t>
      </w:r>
    </w:p>
    <w:p>
      <w:pPr>
        <w:spacing w:before="40" w:after="40"/>
      </w:pPr>
      <w:r>
        <w:rPr>
          <w:rFonts w:ascii="Arial" w:cs="Arial" w:eastAsia="Arial" w:hAnsi="Arial"/>
          <w:i/>
          <w:iCs/>
          <w:color w:val="666666"/>
          <w:sz w:val="17"/>
          <w:szCs w:val="17"/>
        </w:rPr>
        <w:t xml:space="preserve">Duffie &amp; Beckman (2013). Solar Engineering of Thermal Processes. Wiley. [Standard reference for solar spectrum modeling]</w:t>
      </w:r>
    </w:p>
    <w:p>
      <w:pPr>
        <w:spacing w:before="40" w:after="40"/>
      </w:pPr>
      <w:r>
        <w:rPr>
          <w:rFonts w:ascii="Arial" w:cs="Arial" w:eastAsia="Arial" w:hAnsi="Arial"/>
          <w:i/>
          <w:iCs/>
          <w:color w:val="666666"/>
          <w:sz w:val="17"/>
          <w:szCs w:val="17"/>
        </w:rPr>
        <w:t xml:space="preserve">USDA Economic Research Service — Controlled Environment Agriculture cost benchmarks (2022).</w:t>
      </w:r>
    </w:p>
    <w:p>
      <w:pPr>
        <w:spacing w:before="100" w:after="40"/>
      </w:pPr>
      <w:r>
        <w:rPr>
          <w:rFonts w:ascii="Arial" w:cs="Arial" w:eastAsia="Arial" w:hAnsi="Arial"/>
          <w:b/>
          <w:bCs/>
          <w:color w:val="2A7F6F"/>
          <w:sz w:val="18"/>
          <w:szCs w:val="18"/>
        </w:rPr>
        <w:t xml:space="preserve">AI Discovery Methods</w:t>
      </w:r>
    </w:p>
    <w:p>
      <w:pPr>
        <w:spacing w:before="40" w:after="40"/>
      </w:pPr>
      <w:r>
        <w:rPr>
          <w:rFonts w:ascii="Arial" w:cs="Arial" w:eastAsia="Arial" w:hAnsi="Arial"/>
          <w:i/>
          <w:iCs/>
          <w:color w:val="666666"/>
          <w:sz w:val="17"/>
          <w:szCs w:val="17"/>
        </w:rPr>
        <w:t xml:space="preserve">Radical AI (2026). Bayesian Optimization Augmented with Text. radical-ai.com/news/bayesian-optimization-augmented-with-text — LLM embeddings for BO in alloy discovery; EBO and CBO approaches.</w:t>
      </w:r>
    </w:p>
    <w:p>
      <w:pPr>
        <w:spacing w:before="40" w:after="40"/>
      </w:pPr>
      <w:r>
        <w:rPr>
          <w:rFonts w:ascii="Arial" w:cs="Arial" w:eastAsia="Arial" w:hAnsi="Arial"/>
          <w:i/>
          <w:iCs/>
          <w:color w:val="666666"/>
          <w:sz w:val="17"/>
          <w:szCs w:val="17"/>
        </w:rPr>
        <w:t xml:space="preserve">Ranković &amp; Schwaller (2023). Bochemian: Large language model embeddings for Bayesian optimization of chemical reactions. NeurIPS Workshop.</w:t>
      </w:r>
    </w:p>
    <w:p>
      <w:pPr>
        <w:spacing w:before="40" w:after="40"/>
      </w:pPr>
      <w:r>
        <w:rPr>
          <w:rFonts w:ascii="Arial" w:cs="Arial" w:eastAsia="Arial" w:hAnsi="Arial"/>
          <w:i/>
          <w:iCs/>
          <w:color w:val="666666"/>
          <w:sz w:val="17"/>
          <w:szCs w:val="17"/>
        </w:rPr>
        <w:t xml:space="preserve">Kristiadi et al. (2024). A sober look at LLMs for material discovery. ICML — important counterpoint on limitations of LLM-based approaches.</w:t>
      </w:r>
    </w:p>
    <w:p>
      <w:pPr>
        <w:spacing w:before="40" w:after="40"/>
      </w:pPr>
      <w:r>
        <w:rPr>
          <w:rFonts w:ascii="Arial" w:cs="Arial" w:eastAsia="Arial" w:hAnsi="Arial"/>
          <w:i/>
          <w:iCs/>
          <w:color w:val="666666"/>
          <w:sz w:val="17"/>
          <w:szCs w:val="17"/>
        </w:rPr>
        <w:t xml:space="preserve">Jin et al. (2018). Junction Tree Variational Autoencoder for Molecular Graph Generation. ICML — foundation for JT-VAE organic molecule generation.</w:t>
      </w:r>
    </w:p>
    <w:p>
      <w:pPr>
        <w:spacing w:before="40" w:after="40"/>
      </w:pPr>
      <w:r>
        <w:rPr>
          <w:rFonts w:ascii="Arial" w:cs="Arial" w:eastAsia="Arial" w:hAnsi="Arial"/>
          <w:i/>
          <w:iCs/>
          <w:color w:val="666666"/>
          <w:sz w:val="17"/>
          <w:szCs w:val="17"/>
        </w:rPr>
        <w:t xml:space="preserve">Gupta et al. (2022). MatSciBERT: A materials domain language model for text mining and information extraction. npj Computational Materials.</w:t>
      </w:r>
    </w:p>
    <w:p>
      <w:pPr>
        <w:spacing w:before="100" w:after="40"/>
      </w:pPr>
      <w:r>
        <w:rPr>
          <w:rFonts w:ascii="Arial" w:cs="Arial" w:eastAsia="Arial" w:hAnsi="Arial"/>
          <w:b/>
          <w:bCs/>
          <w:color w:val="2A7F6F"/>
          <w:sz w:val="18"/>
          <w:szCs w:val="18"/>
        </w:rPr>
        <w:t xml:space="preserve">Competitive Landscape &amp; Market Data</w:t>
      </w:r>
    </w:p>
    <w:p>
      <w:pPr>
        <w:spacing w:before="40" w:after="40"/>
      </w:pPr>
      <w:r>
        <w:rPr>
          <w:rFonts w:ascii="Arial" w:cs="Arial" w:eastAsia="Arial" w:hAnsi="Arial"/>
          <w:i/>
          <w:iCs/>
          <w:color w:val="666666"/>
          <w:sz w:val="17"/>
          <w:szCs w:val="17"/>
        </w:rPr>
        <w:t xml:space="preserve">Park, Y. et al. (2023). Spectral-conversion film potential for greenhouses: Utility of green-to-red photons conversion and far-red filtration for plant growth. PMC / NCBI. pmc.ncbi.nlm.nih.gov/articles/PMC9949677 — Critical paper establishing that 700–750nm far-red light has photosynthetic activity; naive NIR cutoff at 700nm reduces PAR and yield.</w:t>
      </w:r>
    </w:p>
    <w:p>
      <w:pPr>
        <w:spacing w:before="40" w:after="40"/>
      </w:pPr>
      <w:r>
        <w:rPr>
          <w:rFonts w:ascii="Arial" w:cs="Arial" w:eastAsia="Arial" w:hAnsi="Arial"/>
          <w:i/>
          <w:iCs/>
          <w:color w:val="666666"/>
          <w:sz w:val="17"/>
          <w:szCs w:val="17"/>
        </w:rPr>
        <w:t xml:space="preserve">SkyQuest (2025). Greenhouse Film Market Report. USD 6.93B in 2023, projected USD 16.68B by 2032 at 10.3% CAGR. Notes Ginegar SunSaver NIR launch (Jan 2024) and Raven Industries sensor-film integration (Mar 2024).</w:t>
      </w:r>
    </w:p>
    <w:p>
      <w:pPr>
        <w:spacing w:before="40" w:after="40"/>
      </w:pPr>
      <w:r>
        <w:rPr>
          <w:rFonts w:ascii="Arial" w:cs="Arial" w:eastAsia="Arial" w:hAnsi="Arial"/>
          <w:i/>
          <w:iCs/>
          <w:color w:val="666666"/>
          <w:sz w:val="17"/>
          <w:szCs w:val="17"/>
        </w:rPr>
        <w:t xml:space="preserve">UbiQD / Solvay partnership (2021–present). UbiGro quantum dot greenhouse films; claimed 20% productivity increase via UV+blue → red/orange PAR conversion. marketresearchfuture.com/reports/greenhouse-film-market-1724</w:t>
      </w:r>
    </w:p>
    <w:p>
      <w:pPr>
        <w:spacing w:before="40" w:after="40"/>
      </w:pPr>
      <w:r>
        <w:rPr>
          <w:rFonts w:ascii="Arial" w:cs="Arial" w:eastAsia="Arial" w:hAnsi="Arial"/>
          <w:i/>
          <w:iCs/>
          <w:color w:val="666666"/>
          <w:sz w:val="17"/>
          <w:szCs w:val="17"/>
        </w:rPr>
        <w:t xml:space="preserve">Wageningen University Autonomous Greenhouse Challenge (2018–2025). AI vs. human control: cucumber yield +12%, cherry tomato energy use -20%, lettuce net profit +28%. wur.nl/en/research/plant/autonomous-greenhouse-challenge — Context for the broader AI-in-greenhouse market these operators are serving.</w:t>
      </w:r>
    </w:p>
    <w:p>
      <w:pPr>
        <w:spacing w:before="40" w:after="40"/>
      </w:pPr>
      <w:r>
        <w:rPr>
          <w:rFonts w:ascii="Arial" w:cs="Arial" w:eastAsia="Arial" w:hAnsi="Arial"/>
          <w:i/>
          <w:iCs/>
          <w:color w:val="666666"/>
          <w:sz w:val="17"/>
          <w:szCs w:val="17"/>
        </w:rPr>
        <w:t xml:space="preserve">Source.ag (2025). €15.2M raise; AI platform deployed across 300 greenhouses / 2,500 ha in 18 countries. eu-startups.com — Largest AI-greenhouse software player; potential distribution partner for spectral film.</w:t>
      </w:r>
    </w:p>
    <w:p>
      <w:r>
        <w:rPr>
          <w:sz w:val="18"/>
          <w:szCs w:val="18"/>
        </w:rPr>
        <w:t xml:space="preserve"/>
      </w:r>
    </w:p>
    <w:p>
      <w:pPr>
        <w:pBdr>
          <w:top w:val="single" w:color="CCCCCC" w:sz="4" w:space="8"/>
        </w:pBdr>
        <w:spacing w:before="200"/>
      </w:pPr>
      <w:r>
        <w:rPr>
          <w:rFonts w:ascii="Arial" w:cs="Arial" w:eastAsia="Arial" w:hAnsi="Arial"/>
          <w:i/>
          <w:iCs/>
          <w:color w:val="666666"/>
          <w:sz w:val="17"/>
          <w:szCs w:val="17"/>
        </w:rPr>
        <w:t xml:space="preserve">Prepared February 2026 · For internal research and startup scoping purposes only</w:t>
      </w:r>
    </w:p>
    <w:p>
      <w:pPr>
        <w:pStyle w:val="Heading2"/>
        <w:pBdr>
          <w:bottom w:val="single" w:color="2A7F6F" w:sz="4" w:space="4"/>
        </w:pBdr>
        <w:spacing w:before="320" w:after="100"/>
      </w:pPr>
      <w:r>
        <w:rPr>
          <w:rFonts w:ascii="Arial" w:cs="Arial" w:eastAsia="Arial" w:hAnsi="Arial"/>
          <w:b/>
          <w:bCs/>
          <w:color w:val="2A7F6F"/>
          <w:sz w:val="24"/>
          <w:szCs w:val="24"/>
        </w:rPr>
        <w:t xml:space="preserve">7. AI-Driven Material Discovery: How It Would Actually Work</w:t>
      </w:r>
    </w:p>
    <w:p>
      <w:pPr>
        <w:spacing w:before="60" w:after="60"/>
      </w:pPr>
      <w:r>
        <w:rPr>
          <w:rFonts w:ascii="Arial" w:cs="Arial" w:eastAsia="Arial" w:hAnsi="Arial"/>
          <w:color w:val="222222"/>
          <w:sz w:val="20"/>
          <w:szCs w:val="20"/>
        </w:rPr>
        <w:t xml:space="preserve">With an organic chemist expert in optical materials as co-founder, the division of labor is clear: the chemist owns synthesis intuition and experimental validation; AI owns the navigation of compositional space that would take decades to explore by hand. The workflow below describes how the two work together from day one through iterative discovery.</w:t>
      </w:r>
    </w:p>
    <w:p>
      <w:pPr>
        <w:spacing w:before="80" w:after="40"/>
      </w:pPr>
      <w:r>
        <w:rPr>
          <w:sz w:val="18"/>
        </w:rPr>
        <w:t/>
      </w:r>
    </w:p>
    <w:p>
      <w:pPr>
        <w:spacing w:before="160" w:after="60"/>
      </w:pPr>
      <w:r>
        <w:rPr>
          <w:rFonts w:ascii="Arial" w:cs="Arial" w:eastAsia="Arial" w:hAnsi="Arial"/>
          <w:b/>
          <w:bCs/>
          <w:color w:val="1E3A5F"/>
          <w:sz w:val="22"/>
          <w:szCs w:val="22"/>
        </w:rPr>
        <w:t xml:space="preserve">Step 1 — Seed the Database: Where to Start</w:t>
      </w:r>
    </w:p>
    <w:p>
      <w:pPr>
        <w:spacing w:before="40" w:after="60"/>
      </w:pPr>
      <w:r>
        <w:rPr>
          <w:rFonts w:ascii="Arial" w:cs="Arial" w:eastAsia="Arial" w:hAnsi="Arial"/>
          <w:color w:val="222222"/>
          <w:sz w:val="20"/>
          <w:szCs w:val="20"/>
        </w:rPr>
        <w:t xml:space="preserve">You need a starting corpus of known materials with measured optical properties before any ML model is useful. The target property vector for each material is: NIR absorption coefficient (700–2500nm), visible transmission (400–700nm), bandgap, refractive index, and stability metrics where available. Pull from these sources:</w:t>
      </w:r>
    </w:p>
    <w:p>
      <w:pPr>
        <w:numPr>
          <w:ilvl w:val="0"/>
          <w:numId w:val="1"/>
        </w:numPr>
        <w:spacing w:before="40" w:after="40"/>
      </w:pPr>
      <w:r>
        <w:rPr>
          <w:rFonts w:ascii="Arial" w:cs="Arial" w:eastAsia="Arial" w:hAnsi="Arial"/>
          <w:b/>
          <w:bCs/>
          <w:sz w:val="20"/>
          <w:szCs w:val="20"/>
        </w:rPr>
        <w:t xml:space="preserve">The Materials Project (materialsproject.org) </w:t>
      </w:r>
      <w:r>
        <w:rPr>
          <w:rFonts w:ascii="Arial" w:cs="Arial" w:eastAsia="Arial" w:hAnsi="Arial"/>
          <w:sz w:val="20"/>
          <w:szCs w:val="20"/>
        </w:rPr>
        <w:t xml:space="preserve">— 150,000+ inorganic compounds with DFT-computed bandgaps and dielectric properties. Your first filter: bandgap 1.5–2.0 eV (NIR absorbing, visible transparent).</w:t>
      </w:r>
    </w:p>
    <w:p>
      <w:pPr>
        <w:numPr>
          <w:ilvl w:val="0"/>
          <w:numId w:val="1"/>
        </w:numPr>
        <w:spacing w:before="40" w:after="40"/>
      </w:pPr>
      <w:r>
        <w:rPr>
          <w:rFonts w:ascii="Arial" w:cs="Arial" w:eastAsia="Arial" w:hAnsi="Arial"/>
          <w:b/>
          <w:bCs/>
          <w:sz w:val="20"/>
          <w:szCs w:val="20"/>
        </w:rPr>
        <w:t xml:space="preserve">AFLOW (aflow.org) </w:t>
      </w:r>
      <w:r>
        <w:rPr>
          <w:rFonts w:ascii="Arial" w:cs="Arial" w:eastAsia="Arial" w:hAnsi="Arial"/>
          <w:sz w:val="20"/>
          <w:szCs w:val="20"/>
        </w:rPr>
        <w:t xml:space="preserve">— 3.5M+ compounds, strong on ternary and quaternary oxides. Good hunting ground for tungsten bronze variants and doped metal oxides.</w:t>
      </w:r>
    </w:p>
    <w:p>
      <w:pPr>
        <w:numPr>
          <w:ilvl w:val="0"/>
          <w:numId w:val="1"/>
        </w:numPr>
        <w:spacing w:before="40" w:after="40"/>
      </w:pPr>
      <w:r>
        <w:rPr>
          <w:rFonts w:ascii="Arial" w:cs="Arial" w:eastAsia="Arial" w:hAnsi="Arial"/>
          <w:b/>
          <w:bCs/>
          <w:sz w:val="20"/>
          <w:szCs w:val="20"/>
        </w:rPr>
        <w:t xml:space="preserve">Literature scraping </w:t>
      </w:r>
      <w:r>
        <w:rPr>
          <w:rFonts w:ascii="Arial" w:cs="Arial" w:eastAsia="Arial" w:hAnsi="Arial"/>
          <w:sz w:val="20"/>
          <w:szCs w:val="20"/>
        </w:rPr>
        <w:t xml:space="preserve">— Use NLP (e.g. ChemDataExtractor, BERT fine-tuned on materials science papers) to extract optical measurements from published papers on Cs-W bronzes, LaB6, VO2, and organic NIR dyes. This is where your chemist is invaluable — they know which journals to trust.</w:t>
      </w:r>
    </w:p>
    <w:p>
      <w:pPr>
        <w:numPr>
          <w:ilvl w:val="0"/>
          <w:numId w:val="1"/>
        </w:numPr>
        <w:spacing w:before="40" w:after="40"/>
      </w:pPr>
      <w:r>
        <w:rPr>
          <w:rFonts w:ascii="Arial" w:cs="Arial" w:eastAsia="Arial" w:hAnsi="Arial"/>
          <w:b/>
          <w:bCs/>
          <w:sz w:val="20"/>
          <w:szCs w:val="20"/>
        </w:rPr>
        <w:t xml:space="preserve">Your own synthesis data </w:t>
      </w:r>
      <w:r>
        <w:rPr>
          <w:rFonts w:ascii="Arial" w:cs="Arial" w:eastAsia="Arial" w:hAnsi="Arial"/>
          <w:sz w:val="20"/>
          <w:szCs w:val="20"/>
        </w:rPr>
        <w:t xml:space="preserve">— From Phase 2 of the DOE above. Every nanoparticle batch synthesized feeds measured spectra back into the model. This proprietary experimental data becomes your moat over time.</w:t>
      </w:r>
    </w:p>
    <w:p>
      <w:pPr>
        <w:spacing w:before="60" w:after="40"/>
      </w:pPr>
      <w:r>
        <w:rPr>
          <w:rFonts w:ascii="Arial" w:cs="Arial" w:eastAsia="Arial" w:hAnsi="Arial"/>
          <w:color w:val="555555"/>
          <w:i/>
          <w:iCs/>
          <w:sz w:val="19"/>
          <w:szCs w:val="19"/>
        </w:rPr>
        <w:t xml:space="preserve">Target: ~500–2,000 compounds with real or computed optical spectra as your initial training set. Sparse is fine — active learning handles this.</w:t>
      </w:r>
    </w:p>
    <w:p>
      <w:pPr>
        <w:spacing w:before="180" w:after="60"/>
      </w:pPr>
      <w:r>
        <w:rPr>
          <w:rFonts w:ascii="Arial" w:cs="Arial" w:eastAsia="Arial" w:hAnsi="Arial"/>
          <w:b/>
          <w:bCs/>
          <w:color w:val="1E3A5F"/>
          <w:sz w:val="22"/>
          <w:szCs w:val="22"/>
        </w:rPr>
        <w:t xml:space="preserve">Step 2 — Convert Materials to Chemical Fingerprints</w:t>
      </w:r>
    </w:p>
    <w:p>
      <w:pPr>
        <w:spacing w:before="40" w:after="60"/>
      </w:pPr>
      <w:r>
        <w:rPr>
          <w:rFonts w:ascii="Arial" w:cs="Arial" w:eastAsia="Arial" w:hAnsi="Arial"/>
          <w:color w:val="222222"/>
          <w:sz w:val="20"/>
          <w:szCs w:val="20"/>
        </w:rPr>
        <w:t xml:space="preserve">Before any model can learn, each material needs to be expressed as a fixed-length numerical vector — a fingerprint. This is the translation layer between chemistry and mathematics. The choice of fingerprint determines what patterns the model can even detect. Three representations are most useful here:</w:t>
      </w:r>
    </w:p>
    <w:p>
      <w:pPr>
        <w:numPr>
          <w:ilvl w:val="0"/>
          <w:numId w:val="1"/>
        </w:numPr>
        <w:spacing w:before="40" w:after="40"/>
      </w:pPr>
      <w:r>
        <w:rPr>
          <w:rFonts w:ascii="Arial" w:cs="Arial" w:eastAsia="Arial" w:hAnsi="Arial"/>
          <w:b/>
          <w:bCs/>
          <w:sz w:val="20"/>
          <w:szCs w:val="20"/>
        </w:rPr>
        <w:t xml:space="preserve">Composition vectors (Magpie / Matminer features) </w:t>
      </w:r>
      <w:r>
        <w:rPr>
          <w:rFonts w:ascii="Arial" w:cs="Arial" w:eastAsia="Arial" w:hAnsi="Arial"/>
          <w:sz w:val="20"/>
          <w:szCs w:val="20"/>
        </w:rPr>
        <w:t xml:space="preserve">— Encode elemental composition as a 145-dimensional vector of statistical features (mean electronegativity, mean atomic radius, valence electron count, etc.). Fast to compute, works without crystal structure. Good for initial screening of inorganic nanoparticle candidates like Cs-W bronzes.</w:t>
      </w:r>
    </w:p>
    <w:p>
      <w:pPr>
        <w:numPr>
          <w:ilvl w:val="0"/>
          <w:numId w:val="1"/>
        </w:numPr>
        <w:spacing w:before="40" w:after="40"/>
      </w:pPr>
      <w:r>
        <w:rPr>
          <w:rFonts w:ascii="Arial" w:cs="Arial" w:eastAsia="Arial" w:hAnsi="Arial"/>
          <w:b/>
          <w:bCs/>
          <w:sz w:val="20"/>
          <w:szCs w:val="20"/>
        </w:rPr>
        <w:t xml:space="preserve">Crystal graph representations (MEGNet, CGCNN) </w:t>
      </w:r>
      <w:r>
        <w:rPr>
          <w:rFonts w:ascii="Arial" w:cs="Arial" w:eastAsia="Arial" w:hAnsi="Arial"/>
          <w:sz w:val="20"/>
          <w:szCs w:val="20"/>
        </w:rPr>
        <w:t xml:space="preserve">— Represent the crystal structure as a graph where atoms are nodes and bonds are edges. Graph Neural Networks (GNNs) learn directly from this topology. More expressive than composition vectors; better for predicting optical properties that depend on crystal symmetry and electronic band structure.</w:t>
      </w:r>
    </w:p>
    <w:p>
      <w:pPr>
        <w:numPr>
          <w:ilvl w:val="0"/>
          <w:numId w:val="1"/>
        </w:numPr>
        <w:spacing w:before="40" w:after="40"/>
      </w:pPr>
      <w:r>
        <w:rPr>
          <w:rFonts w:ascii="Arial" w:cs="Arial" w:eastAsia="Arial" w:hAnsi="Arial"/>
          <w:b/>
          <w:bCs/>
          <w:sz w:val="20"/>
          <w:szCs w:val="20"/>
        </w:rPr>
        <w:t xml:space="preserve">SMILES / molecular fingerprints (Morgan/ECFP) </w:t>
      </w:r>
      <w:r>
        <w:rPr>
          <w:rFonts w:ascii="Arial" w:cs="Arial" w:eastAsia="Arial" w:hAnsi="Arial"/>
          <w:sz w:val="20"/>
          <w:szCs w:val="20"/>
        </w:rPr>
        <w:t xml:space="preserve">— For organic NIR dyes and polymer matrix components. SMILES is a text string encoding molecular structure; Morgan fingerprints hash local chemical environments into a bit vector. Essential if you expand search into organic chromophores (squaraines, phthalocyanines, BODIPY derivatives).</w:t>
      </w:r>
    </w:p>
    <w:p>
      <w:pPr>
        <w:spacing w:before="60" w:after="40"/>
      </w:pPr>
      <w:r>
        <w:rPr>
          <w:rFonts w:ascii="Arial" w:cs="Arial" w:eastAsia="Arial" w:hAnsi="Arial"/>
          <w:color w:val="555555"/>
          <w:i/>
          <w:iCs/>
          <w:sz w:val="19"/>
          <w:szCs w:val="19"/>
        </w:rPr>
        <w:t xml:space="preserve">In practice: use Matminer for inorganic composition featurization and RDKit for organic molecule fingerprinting. Both are open source. Your chemist validates that the features being encoded actually capture the physics they care about.</w:t>
      </w:r>
    </w:p>
    <w:p>
      <w:pPr>
        <w:spacing w:before="180" w:after="60"/>
      </w:pPr>
      <w:r>
        <w:rPr>
          <w:rFonts w:ascii="Arial" w:cs="Arial" w:eastAsia="Arial" w:hAnsi="Arial"/>
          <w:b/>
          <w:bCs/>
          <w:color w:val="1E3A5F"/>
          <w:sz w:val="22"/>
          <w:szCs w:val="22"/>
        </w:rPr>
        <w:t xml:space="preserve">Step 2b — LLM Embeddings as a Superior Representation (Radical AI Approach)</w:t>
      </w:r>
    </w:p>
    <w:p>
      <w:pPr>
        <w:spacing w:before="40" w:after="60"/>
      </w:pPr>
      <w:r>
        <w:rPr>
          <w:rFonts w:ascii="Arial" w:cs="Arial" w:eastAsia="Arial" w:hAnsi="Arial"/>
          <w:color w:val="222222"/>
          <w:sz w:val="20"/>
          <w:szCs w:val="20"/>
        </w:rPr>
        <w:t xml:space="preserve">Radical AI (radical-ai.com) recently published results showing that replacing standard numerical fingerprints with LLM-generated text embeddings significantly improves both the performance and diversity of Bayesian Optimization for alloy discovery. Their approach is directly applicable here and should be considered as an upgrade to Step 2 above — or used in parallel as a competing representation to benchmark against Matminer features.</w:t>
      </w:r>
    </w:p>
    <w:p>
      <w:pPr>
        <w:spacing w:before="60" w:after="40"/>
      </w:pPr>
      <w:r>
        <w:rPr>
          <w:rFonts w:ascii="Arial" w:cs="Arial" w:eastAsia="Arial" w:hAnsi="Arial"/>
          <w:b/>
          <w:bCs/>
          <w:color w:val="2A7F6F"/>
          <w:sz w:val="20"/>
          <w:szCs w:val="20"/>
        </w:rPr>
        <w:t xml:space="preserve">Their two approaches and how they map to your problem:</w:t>
      </w:r>
    </w:p>
    <w:p>
      <w:pPr>
        <w:numPr>
          <w:ilvl w:val="0"/>
          <w:numId w:val="1"/>
        </w:numPr>
        <w:spacing w:before="40" w:after="40"/>
      </w:pPr>
      <w:r>
        <w:rPr>
          <w:rFonts w:ascii="Arial" w:cs="Arial" w:eastAsia="Arial" w:hAnsi="Arial"/>
          <w:b/>
          <w:bCs/>
          <w:sz w:val="20"/>
          <w:szCs w:val="20"/>
        </w:rPr>
        <w:t xml:space="preserve">Element-Based Optimization (EBO) </w:t>
      </w:r>
      <w:r>
        <w:rPr>
          <w:rFonts w:ascii="Arial" w:cs="Arial" w:eastAsia="Arial" w:hAnsi="Arial"/>
          <w:sz w:val="20"/>
          <w:szCs w:val="20"/>
        </w:rPr>
        <w:t xml:space="preserve">— Generate text descriptions for each element in your candidate space (Cs, W, Mo, Nb, V, Re) describing how each affects NIR absorption, bandgap, and visible transparency. Embed with an LLM into 512-D vectors. Represent candidate compositions as weighted averages of element embeddings. Compress to ~15D via PCA for BO. This encodes your chemist’s domain knowledge (“adding Nb shifts the plasma frequency toward NIR”) without needing to have synthesized every variant. Particularly powerful for exploring the Cs-W bronze compositional space where literature is rich but your own data is initially sparse.</w:t>
      </w:r>
    </w:p>
    <w:p>
      <w:pPr>
        <w:numPr>
          <w:ilvl w:val="0"/>
          <w:numId w:val="1"/>
        </w:numPr>
        <w:spacing w:before="40" w:after="40"/>
      </w:pPr>
      <w:r>
        <w:rPr>
          <w:rFonts w:ascii="Arial" w:cs="Arial" w:eastAsia="Arial" w:hAnsi="Arial"/>
          <w:b/>
          <w:bCs/>
          <w:sz w:val="20"/>
          <w:szCs w:val="20"/>
        </w:rPr>
        <w:t xml:space="preserve">Composition-Based Optimization (CBO) </w:t>
      </w:r>
      <w:r>
        <w:rPr>
          <w:rFonts w:ascii="Arial" w:cs="Arial" w:eastAsia="Arial" w:hAnsi="Arial"/>
          <w:sz w:val="20"/>
          <w:szCs w:val="20"/>
        </w:rPr>
        <w:t xml:space="preserve">— Generate LLM text descriptions for a large number of candidate compositions (e.g. 10,000–15,000 from the Materials Project filtered by bandgap), train an autoencoder on those embeddings, and run BO in the learned latent space. This is essentially equivalent to the VAE in Step 3 below, but with LLM embeddings as input rather than Matminer features — a meaningful upgrade because the LLM embedding space already has semantic structure baked in, making the autoencoder’s job easier.</w:t>
      </w:r>
    </w:p>
    <w:p>
      <w:pPr>
        <w:spacing w:before="60" w:after="40"/>
      </w:pPr>
      <w:r>
        <w:rPr>
          <w:rFonts w:ascii="Arial" w:cs="Arial" w:eastAsia="Arial" w:hAnsi="Arial"/>
          <w:b/>
          <w:bCs/>
          <w:color w:val="2A7F6F"/>
          <w:sz w:val="20"/>
          <w:szCs w:val="20"/>
        </w:rPr>
        <w:t xml:space="preserve">Key result from Radical AI’s work:</w:t>
      </w:r>
    </w:p>
    <w:p>
      <w:pPr>
        <w:spacing w:before="40" w:after="60"/>
      </w:pPr>
      <w:r>
        <w:rPr>
          <w:rFonts w:ascii="Arial" w:cs="Arial" w:eastAsia="Arial" w:hAnsi="Arial"/>
          <w:color w:val="222222"/>
          <w:sz w:val="20"/>
          <w:szCs w:val="20"/>
        </w:rPr>
        <w:t xml:space="preserve">EBO achieved higher hypervolume (better multi-objective performance) AND higher solution diversity than standard BO. The diversity improvement is especially important for this project — standard BO converges on variations of the same composition, while LLM-guided BO finds structurally different candidates. For a material that needs to be both optically excellent AND polymer-dispersible, you need diverse candidates to cover the full performance-processability tradeoff space. More diverse candidates means more chances of finding a material that satisfies all constraints simultaneously.</w:t>
      </w:r>
    </w:p>
    <w:tbl>
      <w:tblPr>
        <w:tblW w:w="10080" w:type="dxa"/>
        <w:tblBorders>
          <w:top w:val="single" w:color="CCCCCC" w:sz="1"/>
          <w:left w:val="single" w:color="CCCCCC" w:sz="1"/>
          <w:bottom w:val="single" w:color="CCCCCC" w:sz="1"/>
          <w:right w:val="single" w:color="CCCCCC" w:sz="1"/>
          <w:insideH w:val="single" w:color="CCCCCC" w:sz="1"/>
          <w:insideV w:val="single" w:color="CCCCCC" w:sz="1"/>
        </w:tblBorders>
      </w:tblPr>
      <w:tblGrid>
        <w:gridCol w:w="10080"/>
      </w:tblGrid>
      <w:tr>
        <w:tc>
          <w:tcPr>
            <w:tcW w:w="10080" w:type="dxa"/>
            <w:shd w:val="clear" w:color="auto" w:fill="FFF3CD"/>
            <w:tcMar>
              <w:top w:w="120" w:type="dxa"/>
              <w:left w:w="200" w:type="dxa"/>
              <w:bottom w:w="120" w:type="dxa"/>
              <w:right w:w="200" w:type="dxa"/>
            </w:tcMar>
          </w:tcPr>
          <w:p>
            <w:pPr>
              <w:spacing w:before="40" w:after="40"/>
            </w:pPr>
            <w:r>
              <w:rPr>
                <w:rFonts w:ascii="Arial" w:cs="Arial" w:eastAsia="Arial" w:hAnsi="Arial"/>
                <w:b/>
                <w:bCs/>
                <w:color w:val="1E3A5F"/>
                <w:sz w:val="20"/>
                <w:szCs w:val="20"/>
              </w:rPr>
              <w:t xml:space="preserve">Important caveat: </w:t>
            </w:r>
            <w:r>
              <w:rPr>
                <w:rFonts w:ascii="Arial" w:cs="Arial" w:eastAsia="Arial" w:hAnsi="Arial"/>
                <w:color w:val="333333"/>
                <w:sz w:val="19"/>
                <w:szCs w:val="19"/>
              </w:rPr>
              <w:t xml:space="preserve">Radical AI’s domain (high-entropy alloys) has abundant LLM training data from decades of metallurgy literature. Cesium tungsten bronzes and NIR-selective nanoparticles are a narrower, more specialized corpus. Embedding quality will be lower for obscure compositions. Mitigation: fine-tune MatBERT or MatSciBERT on 200–300 targeted papers covering tungsten bronze optics, metal oxide NIR absorbers, and nanoparticle surface chemistry before using it for embeddings. Your chemist curates this fine-tuning corpus — this is a high-leverage use of their domain expertise early in the project.</w:t>
            </w:r>
          </w:p>
        </w:tc>
      </w:tr>
    </w:tbl>
    <w:p>
      <w:pPr>
        <w:spacing w:before="60" w:after="40"/>
      </w:pPr>
      <w:r>
        <w:rPr>
          <w:sz w:val="18"/>
        </w:rPr>
        <w:t/>
      </w:r>
    </w:p>
    <w:p>
      <w:pPr>
        <w:spacing w:before="180" w:after="60"/>
      </w:pPr>
      <w:r>
        <w:rPr>
          <w:rFonts w:ascii="Arial" w:cs="Arial" w:eastAsia="Arial" w:hAnsi="Arial"/>
          <w:b/>
          <w:bCs/>
          <w:color w:val="1E3A5F"/>
          <w:sz w:val="22"/>
          <w:szCs w:val="22"/>
        </w:rPr>
        <w:t xml:space="preserve">Step 3 — Build the Latent Space with a Variational Autoencoder</w:t>
      </w:r>
    </w:p>
    <w:p>
      <w:pPr>
        <w:spacing w:before="40" w:after="60"/>
      </w:pPr>
      <w:r>
        <w:rPr>
          <w:rFonts w:ascii="Arial" w:cs="Arial" w:eastAsia="Arial" w:hAnsi="Arial"/>
          <w:color w:val="222222"/>
          <w:sz w:val="20"/>
          <w:szCs w:val="20"/>
        </w:rPr>
        <w:t xml:space="preserve">This is the core engine. A Variational Autoencoder (VAE) learns to compress high-dimensional material fingerprints into a low-dimensional continuous latent space (typically 32–128 dimensions), and then decode points in that space back into valid material representations. The critical property of a VAE vs. a standard autoencoder is that the latent space is smooth and continuous — meaning you can interpolate between two known materials and decode the intermediate points into novel candidates that inherit properties from both parents.</w:t>
      </w:r>
    </w:p>
    <w:p>
      <w:pPr>
        <w:spacing w:before="60" w:after="40"/>
      </w:pPr>
      <w:r>
        <w:rPr>
          <w:rFonts w:ascii="Arial" w:cs="Arial" w:eastAsia="Arial" w:hAnsi="Arial"/>
          <w:b/>
          <w:bCs/>
          <w:color w:val="2A7F6F"/>
          <w:sz w:val="20"/>
          <w:szCs w:val="20"/>
        </w:rPr>
        <w:t xml:space="preserve">How the VAE pipeline works for this problem:</w:t>
      </w:r>
    </w:p>
    <w:p>
      <w:pPr>
        <w:numPr>
          <w:ilvl w:val="0"/>
          <w:numId w:val="1"/>
        </w:numPr>
        <w:spacing w:before="40" w:after="40"/>
      </w:pPr>
      <w:r>
        <w:rPr>
          <w:rFonts w:ascii="Arial" w:cs="Arial" w:eastAsia="Arial" w:hAnsi="Arial"/>
          <w:b/>
          <w:bCs/>
          <w:sz w:val="20"/>
          <w:szCs w:val="20"/>
        </w:rPr>
        <w:t xml:space="preserve">Encoder: </w:t>
      </w:r>
      <w:r>
        <w:rPr>
          <w:rFonts w:ascii="Arial" w:cs="Arial" w:eastAsia="Arial" w:hAnsi="Arial"/>
          <w:sz w:val="20"/>
          <w:szCs w:val="20"/>
        </w:rPr>
        <w:t xml:space="preserve">Takes each material fingerprint as input and maps it to a probability distribution (mean μ and variance σ) in latent space rather than a single point. This stochasticity is what makes the space generative — you can sample around known good materials to explore neighbors.</w:t>
      </w:r>
    </w:p>
    <w:p>
      <w:pPr>
        <w:numPr>
          <w:ilvl w:val="0"/>
          <w:numId w:val="1"/>
        </w:numPr>
        <w:spacing w:before="40" w:after="40"/>
      </w:pPr>
      <w:r>
        <w:rPr>
          <w:rFonts w:ascii="Arial" w:cs="Arial" w:eastAsia="Arial" w:hAnsi="Arial"/>
          <w:b/>
          <w:bCs/>
          <w:sz w:val="20"/>
          <w:szCs w:val="20"/>
        </w:rPr>
        <w:t xml:space="preserve">Latent space: </w:t>
      </w:r>
      <w:r>
        <w:rPr>
          <w:rFonts w:ascii="Arial" w:cs="Arial" w:eastAsia="Arial" w:hAnsi="Arial"/>
          <w:sz w:val="20"/>
          <w:szCs w:val="20"/>
        </w:rPr>
        <w:t xml:space="preserve">All known materials (Cs-W bronzes, LaB6, VO2, doped TiO2, organic NIR dyes) are now points in this space. Materials with similar optical properties cluster together. You can visually inspect this with UMAP/t-SNE projections — your chemist can immediately see which chemical families are neighbors and which are distant.</w:t>
      </w:r>
    </w:p>
    <w:p>
      <w:pPr>
        <w:numPr>
          <w:ilvl w:val="0"/>
          <w:numId w:val="1"/>
        </w:numPr>
        <w:spacing w:before="40" w:after="40"/>
      </w:pPr>
      <w:r>
        <w:rPr>
          <w:rFonts w:ascii="Arial" w:cs="Arial" w:eastAsia="Arial" w:hAnsi="Arial"/>
          <w:b/>
          <w:bCs/>
          <w:sz w:val="20"/>
          <w:szCs w:val="20"/>
        </w:rPr>
        <w:t xml:space="preserve">Property predictor (surrogate model): </w:t>
      </w:r>
      <w:r>
        <w:rPr>
          <w:rFonts w:ascii="Arial" w:cs="Arial" w:eastAsia="Arial" w:hAnsi="Arial"/>
          <w:sz w:val="20"/>
          <w:szCs w:val="20"/>
        </w:rPr>
        <w:t xml:space="preserve">Train a regression head on top of the latent space that predicts NIR absorption and visible transmission from latent coordinates. This becomes your fast oracle — instead of running DFT (hours per material), you get a prediction in milliseconds. Gaussian Process Regression works well here because it also gives uncertainty estimates.</w:t>
      </w:r>
    </w:p>
    <w:p>
      <w:pPr>
        <w:numPr>
          <w:ilvl w:val="0"/>
          <w:numId w:val="1"/>
        </w:numPr>
        <w:spacing w:before="40" w:after="40"/>
      </w:pPr>
      <w:r>
        <w:rPr>
          <w:rFonts w:ascii="Arial" w:cs="Arial" w:eastAsia="Arial" w:hAnsi="Arial"/>
          <w:b/>
          <w:bCs/>
          <w:sz w:val="20"/>
          <w:szCs w:val="20"/>
        </w:rPr>
        <w:t xml:space="preserve">Decoder: </w:t>
      </w:r>
      <w:r>
        <w:rPr>
          <w:rFonts w:ascii="Arial" w:cs="Arial" w:eastAsia="Arial" w:hAnsi="Arial"/>
          <w:sz w:val="20"/>
          <w:szCs w:val="20"/>
        </w:rPr>
        <w:t xml:space="preserve">Takes a sampled latent point and reconstructs a material fingerprint. For inorganic compositions this produces an elemental ratio (e.g. Cs0.28W0.72Ox with 3% V doping). For organic molecules it produces a SMILES string that can be validated for chemical feasibility using RDKit valence checks.</w:t>
      </w:r>
    </w:p>
    <w:p>
      <w:pPr>
        <w:spacing w:before="40" w:after="40"/>
      </w:pPr>
      <w:r>
        <w:rPr>
          <w:sz w:val="18"/>
        </w:rPr>
        <w:t/>
      </w:r>
    </w:p>
    <w:tbl>
      <w:tblPr>
        <w:tblW w:w="10080" w:type="dxa"/>
        <w:tblBorders>
          <w:top w:val="single" w:color="CCCCCC" w:sz="1"/>
          <w:left w:val="single" w:color="CCCCCC" w:sz="1"/>
          <w:bottom w:val="single" w:color="CCCCCC" w:sz="1"/>
          <w:right w:val="single" w:color="CCCCCC" w:sz="1"/>
          <w:insideH w:val="single" w:color="CCCCCC" w:sz="1"/>
          <w:insideV w:val="single" w:color="CCCCCC" w:sz="1"/>
        </w:tblBorders>
      </w:tblPr>
      <w:tblGrid>
        <w:gridCol w:w="10080"/>
      </w:tblGrid>
      <w:tr>
        <w:tc>
          <w:tcPr>
            <w:tcW w:w="10080" w:type="dxa"/>
            <w:shd w:val="clear" w:color="auto" w:fill="EAF4F1"/>
            <w:tcMar>
              <w:top w:w="120" w:type="dxa"/>
              <w:left w:w="200" w:type="dxa"/>
              <w:bottom w:w="120" w:type="dxa"/>
              <w:right w:w="200" w:type="dxa"/>
            </w:tcMar>
          </w:tcPr>
          <w:p>
            <w:pPr>
              <w:spacing w:before="60" w:after="40"/>
            </w:pPr>
            <w:r>
              <w:rPr>
                <w:rFonts w:ascii="Arial" w:cs="Arial" w:eastAsia="Arial" w:hAnsi="Arial"/>
                <w:b/>
                <w:bCs/>
                <w:color w:val="1E3A5F"/>
                <w:sz w:val="20"/>
                <w:szCs w:val="20"/>
              </w:rPr>
              <w:t xml:space="preserve">Concrete example: </w:t>
            </w:r>
            <w:r>
              <w:rPr>
                <w:rFonts w:ascii="Arial" w:cs="Arial" w:eastAsia="Arial" w:hAnsi="Arial"/>
                <w:color w:val="333333"/>
                <w:sz w:val="19"/>
                <w:szCs w:val="19"/>
              </w:rPr>
              <w:t xml:space="preserve">You encode Cs0.33WO3 (good NIR absorber, slightly too much visible absorption) and LaB6 (excellent NIR selectivity, expensive). Both map to nearby regions in latent space. You sample 500 points between them and around each, run through the property predictor, and identify 12 candidates predicted to have better NIR/visible selectivity than either parent. Your chemist looks at the decoded compositions, flags 4 as synthetically feasible, and you synthesize those 4 next. Two of them outperform the parents. Those two feed back into the model. This is one cycle — you run 10–15 cycles over 6 months.</w:t>
            </w:r>
          </w:p>
        </w:tc>
      </w:tr>
    </w:tbl>
    <w:p>
      <w:pPr>
        <w:spacing w:before="40" w:after="40"/>
      </w:pPr>
      <w:r>
        <w:rPr>
          <w:sz w:val="18"/>
        </w:rPr>
        <w:t/>
      </w:r>
    </w:p>
    <w:p>
      <w:pPr>
        <w:spacing w:before="180" w:after="60"/>
      </w:pPr>
      <w:r>
        <w:rPr>
          <w:rFonts w:ascii="Arial" w:cs="Arial" w:eastAsia="Arial" w:hAnsi="Arial"/>
          <w:b/>
          <w:bCs/>
          <w:color w:val="1E3A5F"/>
          <w:sz w:val="22"/>
          <w:szCs w:val="22"/>
        </w:rPr>
        <w:t xml:space="preserve">Step 4 — Active Learning: Closing the Loop</w:t>
      </w:r>
    </w:p>
    <w:p>
      <w:pPr>
        <w:spacing w:before="40" w:after="60"/>
      </w:pPr>
      <w:r>
        <w:rPr>
          <w:rFonts w:ascii="Arial" w:cs="Arial" w:eastAsia="Arial" w:hAnsi="Arial"/>
          <w:color w:val="222222"/>
          <w:sz w:val="20"/>
          <w:szCs w:val="20"/>
        </w:rPr>
        <w:t xml:space="preserve">The VAE alone is generative but undirected. Active learning adds a strategy for which candidates to synthesize next, balancing exploitation (synthesize what the model predicts is best) against exploration (synthesize where model uncertainty is highest to learn the most). This is Bayesian Optimization applied to materials space.</w:t>
      </w:r>
    </w:p>
    <w:p>
      <w:pPr>
        <w:numPr>
          <w:ilvl w:val="0"/>
          <w:numId w:val="1"/>
        </w:numPr>
        <w:spacing w:before="40" w:after="40"/>
      </w:pPr>
      <w:r>
        <w:rPr>
          <w:rFonts w:ascii="Arial" w:cs="Arial" w:eastAsia="Arial" w:hAnsi="Arial"/>
          <w:b/>
          <w:bCs/>
          <w:sz w:val="20"/>
          <w:szCs w:val="20"/>
        </w:rPr>
        <w:t xml:space="preserve">Acquisition function: </w:t>
      </w:r>
      <w:r>
        <w:rPr>
          <w:rFonts w:ascii="Arial" w:cs="Arial" w:eastAsia="Arial" w:hAnsi="Arial"/>
          <w:sz w:val="20"/>
          <w:szCs w:val="20"/>
        </w:rPr>
        <w:t xml:space="preserve">Use Expected Improvement (EI) or Upper Confidence Bound (UCB). EI picks the candidate most likely to beat the current best material; UCB adds a tunable exploration bonus for uncertain regions. In early cycles, explore more (high UCB weight). As the model matures, exploit more.</w:t>
      </w:r>
    </w:p>
    <w:p>
      <w:pPr>
        <w:numPr>
          <w:ilvl w:val="0"/>
          <w:numId w:val="1"/>
        </w:numPr>
        <w:spacing w:before="40" w:after="40"/>
      </w:pPr>
      <w:r>
        <w:rPr>
          <w:rFonts w:ascii="Arial" w:cs="Arial" w:eastAsia="Arial" w:hAnsi="Arial"/>
          <w:b/>
          <w:bCs/>
          <w:sz w:val="20"/>
          <w:szCs w:val="20"/>
        </w:rPr>
        <w:t xml:space="preserve">Batch selection: </w:t>
      </w:r>
      <w:r>
        <w:rPr>
          <w:rFonts w:ascii="Arial" w:cs="Arial" w:eastAsia="Arial" w:hAnsi="Arial"/>
          <w:sz w:val="20"/>
          <w:szCs w:val="20"/>
        </w:rPr>
        <w:t xml:space="preserve">Your chemist can synthesize ~4–8 materials per week. Select that many candidates per cycle, chosen to be diverse (not all in the same latent neighborhood) to maximally inform the model update.</w:t>
      </w:r>
    </w:p>
    <w:p>
      <w:pPr>
        <w:numPr>
          <w:ilvl w:val="0"/>
          <w:numId w:val="1"/>
        </w:numPr>
        <w:spacing w:before="40" w:after="40"/>
      </w:pPr>
      <w:r>
        <w:rPr>
          <w:rFonts w:ascii="Arial" w:cs="Arial" w:eastAsia="Arial" w:hAnsi="Arial"/>
          <w:b/>
          <w:bCs/>
          <w:sz w:val="20"/>
          <w:szCs w:val="20"/>
        </w:rPr>
        <w:t xml:space="preserve">Multi-objective optimization: </w:t>
      </w:r>
      <w:r>
        <w:rPr>
          <w:rFonts w:ascii="Arial" w:cs="Arial" w:eastAsia="Arial" w:hAnsi="Arial"/>
          <w:sz w:val="20"/>
          <w:szCs w:val="20"/>
        </w:rPr>
        <w:t xml:space="preserve">You’re not optimizing one property — you need high NIR absorption AND high visible transmission AND photostability AND low cost AND polymer dispersibility simultaneously. Use Pareto front optimization to find materials where no single property can be improved without sacrificing another. Your chemist decides which tradeoffs are acceptable.</w:t>
      </w:r>
    </w:p>
    <w:p>
      <w:pPr>
        <w:spacing w:before="180" w:after="60"/>
      </w:pPr>
      <w:r>
        <w:rPr>
          <w:rFonts w:ascii="Arial" w:cs="Arial" w:eastAsia="Arial" w:hAnsi="Arial"/>
          <w:b/>
          <w:bCs/>
          <w:color w:val="1E3A5F"/>
          <w:sz w:val="22"/>
          <w:szCs w:val="22"/>
        </w:rPr>
        <w:t xml:space="preserve">Step 5 — Expanding the Search: Beyond Known Chemistry</w:t>
      </w:r>
    </w:p>
    <w:p>
      <w:pPr>
        <w:spacing w:before="40" w:after="60"/>
      </w:pPr>
      <w:r>
        <w:rPr>
          <w:rFonts w:ascii="Arial" w:cs="Arial" w:eastAsia="Arial" w:hAnsi="Arial"/>
          <w:color w:val="222222"/>
          <w:sz w:val="20"/>
          <w:szCs w:val="20"/>
        </w:rPr>
        <w:t xml:space="preserve">Once the model is trained on known materials, you can begin exploring genuinely novel compositions that have never been synthesized. Three approaches for expanding the search space:</w:t>
      </w:r>
    </w:p>
    <w:p>
      <w:pPr>
        <w:numPr>
          <w:ilvl w:val="0"/>
          <w:numId w:val="1"/>
        </w:numPr>
        <w:spacing w:before="40" w:after="40"/>
      </w:pPr>
      <w:r>
        <w:rPr>
          <w:rFonts w:ascii="Arial" w:cs="Arial" w:eastAsia="Arial" w:hAnsi="Arial"/>
          <w:b/>
          <w:bCs/>
          <w:sz w:val="20"/>
          <w:szCs w:val="20"/>
        </w:rPr>
        <w:t xml:space="preserve">Latent space interpolation and extrapolation: </w:t>
      </w:r>
      <w:r>
        <w:rPr>
          <w:rFonts w:ascii="Arial" w:cs="Arial" w:eastAsia="Arial" w:hAnsi="Arial"/>
          <w:sz w:val="20"/>
          <w:szCs w:val="20"/>
        </w:rPr>
        <w:t xml:space="preserve">Sample densely between the best-performing known materials. Also extrapolate beyond them in directions the property predictor says are promising. The VAE’s smooth space means these decoded compositions are chemically coherent (not random garbage), unlike naive random search.</w:t>
      </w:r>
    </w:p>
    <w:p>
      <w:pPr>
        <w:numPr>
          <w:ilvl w:val="0"/>
          <w:numId w:val="1"/>
        </w:numPr>
        <w:spacing w:before="40" w:after="40"/>
      </w:pPr>
      <w:r>
        <w:rPr>
          <w:rFonts w:ascii="Arial" w:cs="Arial" w:eastAsia="Arial" w:hAnsi="Arial"/>
          <w:b/>
          <w:bCs/>
          <w:sz w:val="20"/>
          <w:szCs w:val="20"/>
        </w:rPr>
        <w:t xml:space="preserve">Elemental substitution + transfer learning: </w:t>
      </w:r>
      <w:r>
        <w:rPr>
          <w:rFonts w:ascii="Arial" w:cs="Arial" w:eastAsia="Arial" w:hAnsi="Arial"/>
          <w:sz w:val="20"/>
          <w:szCs w:val="20"/>
        </w:rPr>
        <w:t xml:space="preserve">Take the best inorganic candidate and systematically substitute isoelectronic elements (e.g. replace W with Mo, Nb, or Re; replace Cs with Rb or K). The model predicts how each substitution shifts the absorption edge. Your chemist validates which substitutions are synthetically accessible.</w:t>
      </w:r>
    </w:p>
    <w:p>
      <w:pPr>
        <w:numPr>
          <w:ilvl w:val="0"/>
          <w:numId w:val="1"/>
        </w:numPr>
        <w:spacing w:before="40" w:after="40"/>
      </w:pPr>
      <w:r>
        <w:rPr>
          <w:rFonts w:ascii="Arial" w:cs="Arial" w:eastAsia="Arial" w:hAnsi="Arial"/>
          <w:b/>
          <w:bCs/>
          <w:sz w:val="20"/>
          <w:szCs w:val="20"/>
        </w:rPr>
        <w:t xml:space="preserve">Generative molecular design for organic dyes: </w:t>
      </w:r>
      <w:r>
        <w:rPr>
          <w:rFonts w:ascii="Arial" w:cs="Arial" w:eastAsia="Arial" w:hAnsi="Arial"/>
          <w:sz w:val="20"/>
          <w:szCs w:val="20"/>
        </w:rPr>
        <w:t xml:space="preserve">For organic chromophore candidates, use a SMILES-VAE or junction tree VAE (JT-VAE, Jin et al. 2018) trained on NIR dye scaffolds (squaraines, phthalocyanines, BODIPY). The JT-VAE generates chemically valid molecules by construction — it assembles molecules from valid molecular fragments rather than character-by-character, dramatically reducing invalid output. Feed generated SMILES into a TD-DFT surrogate model to predict absorption spectra in silico before any synthesis.</w:t>
      </w:r>
    </w:p>
    <w:p>
      <w:pPr>
        <w:spacing w:before="180" w:after="60"/>
      </w:pPr>
      <w:r>
        <w:rPr>
          <w:rFonts w:ascii="Arial" w:cs="Arial" w:eastAsia="Arial" w:hAnsi="Arial"/>
          <w:b/>
          <w:bCs/>
          <w:color w:val="1E3A5F"/>
          <w:sz w:val="22"/>
          <w:szCs w:val="22"/>
        </w:rPr>
        <w:t xml:space="preserve">The Full Discovery Loop — Summary Diagram</w:t>
      </w:r>
    </w:p>
    <w:tbl>
      <w:tblPr>
        <w:tblW w:w="10080" w:type="dxa"/>
        <w:tblBorders>
          <w:top w:val="single" w:color="1E3A5F" w:sz="4"/>
          <w:left w:val="single" w:color="1E3A5F" w:sz="4"/>
          <w:bottom w:val="single" w:color="1E3A5F" w:sz="4"/>
          <w:right w:val="single" w:color="1E3A5F" w:sz="4"/>
          <w:insideH w:val="single" w:color="CCCCCC" w:sz="1"/>
          <w:insideV w:val="single" w:color="1E3A5F" w:sz="4"/>
        </w:tblBorders>
      </w:tblPr>
      <w:tblGrid>
        <w:gridCol w:w="1440"/>
        <w:gridCol w:w="4020"/>
        <w:gridCol w:w="4620"/>
      </w:tblGrid>
      <w:tr>
        <w:tc>
          <w:tcPr>
            <w:tcW w:w="1440" w:type="dxa"/>
            <w:shd w:val="clear" w:color="auto" w:fill="1E3A5F"/>
            <w:tcMar>
              <w:top w:w="80" w:type="dxa"/>
              <w:left w:w="120" w:type="dxa"/>
              <w:bottom w:w="80" w:type="dxa"/>
              <w:right w:w="120" w:type="dxa"/>
            </w:tcMar>
          </w:tcPr>
          <w:p>
            <w:r>
              <w:rPr>
                <w:rFonts w:ascii="Arial" w:cs="Arial" w:eastAsia="Arial" w:hAnsi="Arial"/>
                <w:b/>
                <w:bCs/>
                <w:color w:val="FFFFFF"/>
                <w:sz w:val="19"/>
                <w:szCs w:val="19"/>
              </w:rPr>
              <w:t>Stage</w:t>
            </w:r>
          </w:p>
        </w:tc>
        <w:tc>
          <w:tcPr>
            <w:tcW w:w="4020" w:type="dxa"/>
            <w:shd w:val="clear" w:color="auto" w:fill="1E3A5F"/>
            <w:tcMar>
              <w:top w:w="80" w:type="dxa"/>
              <w:left w:w="120" w:type="dxa"/>
              <w:bottom w:w="80" w:type="dxa"/>
              <w:right w:w="120" w:type="dxa"/>
            </w:tcMar>
          </w:tcPr>
          <w:p>
            <w:r>
              <w:rPr>
                <w:rFonts w:ascii="Arial" w:cs="Arial" w:eastAsia="Arial" w:hAnsi="Arial"/>
                <w:b/>
                <w:bCs/>
                <w:color w:val="FFFFFF"/>
                <w:sz w:val="19"/>
                <w:szCs w:val="19"/>
              </w:rPr>
              <w:t>AI Tool</w:t>
            </w:r>
          </w:p>
        </w:tc>
        <w:tc>
          <w:tcPr>
            <w:tcW w:w="4620" w:type="dxa"/>
            <w:shd w:val="clear" w:color="auto" w:fill="1E3A5F"/>
            <w:tcMar>
              <w:top w:w="80" w:type="dxa"/>
              <w:left w:w="120" w:type="dxa"/>
              <w:bottom w:w="80" w:type="dxa"/>
              <w:right w:w="120" w:type="dxa"/>
            </w:tcMar>
          </w:tcPr>
          <w:p>
            <w:r>
              <w:rPr>
                <w:rFonts w:ascii="Arial" w:cs="Arial" w:eastAsia="Arial" w:hAnsi="Arial"/>
                <w:b/>
                <w:bCs/>
                <w:color w:val="FFFFFF"/>
                <w:sz w:val="19"/>
                <w:szCs w:val="19"/>
              </w:rPr>
              <w:t>Chemist Role</w:t>
            </w:r>
          </w:p>
        </w:tc>
      </w:tr>
      <w:tr>
        <w:tc>
          <w:tcPr>
            <w:tcW w:w="1440" w:type="dxa"/>
            <w:shd w:val="clear" w:color="auto" w:fill="FFFFFF"/>
            <w:tcMar>
              <w:top w:w="60" w:type="dxa"/>
              <w:left w:w="120" w:type="dxa"/>
              <w:bottom w:w="60" w:type="dxa"/>
              <w:right w:w="120" w:type="dxa"/>
            </w:tcMar>
          </w:tcPr>
          <w:p>
            <w:r>
              <w:rPr>
                <w:rFonts w:ascii="Arial" w:cs="Arial" w:eastAsia="Arial" w:hAnsi="Arial"/>
                <w:b/>
                <w:bCs/>
                <w:color w:val="2A7F6F"/>
                <w:sz w:val="19"/>
                <w:szCs w:val="19"/>
              </w:rPr>
              <w:t>1. Represent</w:t>
            </w:r>
          </w:p>
        </w:tc>
        <w:tc>
          <w:tcPr>
            <w:tcW w:w="4020" w:type="dxa"/>
            <w:shd w:val="clear" w:color="auto" w:fill="FFFFFF"/>
            <w:tcMar>
              <w:top w:w="60" w:type="dxa"/>
              <w:left w:w="120" w:type="dxa"/>
              <w:bottom w:w="60" w:type="dxa"/>
              <w:right w:w="120" w:type="dxa"/>
            </w:tcMar>
          </w:tcPr>
          <w:p>
            <w:r>
              <w:rPr>
                <w:rFonts w:ascii="Arial" w:cs="Arial" w:eastAsia="Arial" w:hAnsi="Arial"/>
                <w:sz w:val="19"/>
                <w:szCs w:val="19"/>
              </w:rPr>
              <w:t>Matminer / RDKit fingerprints; crystal graphs; OR LLM embeddings (MatBERT/MatSciBERT) via EBO/CBO approach</w:t>
            </w:r>
          </w:p>
        </w:tc>
        <w:tc>
          <w:tcPr>
            <w:tcW w:w="4620" w:type="dxa"/>
            <w:shd w:val="clear" w:color="auto" w:fill="FFFFFF"/>
            <w:tcMar>
              <w:top w:w="60" w:type="dxa"/>
              <w:left w:w="120" w:type="dxa"/>
              <w:bottom w:w="60" w:type="dxa"/>
              <w:right w:w="120" w:type="dxa"/>
            </w:tcMar>
          </w:tcPr>
          <w:p>
            <w:r>
              <w:rPr>
                <w:rFonts w:ascii="Arial" w:cs="Arial" w:eastAsia="Arial" w:hAnsi="Arial"/>
                <w:sz w:val="19"/>
                <w:szCs w:val="19"/>
              </w:rPr>
              <w:t>Validate features capture relevant physics</w:t>
            </w:r>
          </w:p>
        </w:tc>
      </w:tr>
      <w:tr>
        <w:tc>
          <w:tcPr>
            <w:tcW w:w="1440" w:type="dxa"/>
            <w:shd w:val="clear" w:color="auto" w:fill="F0F4F8"/>
            <w:tcMar>
              <w:top w:w="60" w:type="dxa"/>
              <w:left w:w="120" w:type="dxa"/>
              <w:bottom w:w="60" w:type="dxa"/>
              <w:right w:w="120" w:type="dxa"/>
            </w:tcMar>
          </w:tcPr>
          <w:p>
            <w:r>
              <w:rPr>
                <w:rFonts w:ascii="Arial" w:cs="Arial" w:eastAsia="Arial" w:hAnsi="Arial"/>
                <w:b/>
                <w:bCs/>
                <w:color w:val="2A7F6F"/>
                <w:sz w:val="19"/>
                <w:szCs w:val="19"/>
              </w:rPr>
              <w:t>2. Encode</w:t>
            </w:r>
          </w:p>
        </w:tc>
        <w:tc>
          <w:tcPr>
            <w:tcW w:w="4020" w:type="dxa"/>
            <w:shd w:val="clear" w:color="auto" w:fill="F0F4F8"/>
            <w:tcMar>
              <w:top w:w="60" w:type="dxa"/>
              <w:left w:w="120" w:type="dxa"/>
              <w:bottom w:w="60" w:type="dxa"/>
              <w:right w:w="120" w:type="dxa"/>
            </w:tcMar>
          </w:tcPr>
          <w:p>
            <w:r>
              <w:rPr>
                <w:rFonts w:ascii="Arial" w:cs="Arial" w:eastAsia="Arial" w:hAnsi="Arial"/>
                <w:sz w:val="19"/>
                <w:szCs w:val="19"/>
              </w:rPr>
              <w:t>VAE encoder → latent space (32–128 dims); UMAP visualization</w:t>
            </w:r>
          </w:p>
        </w:tc>
        <w:tc>
          <w:tcPr>
            <w:tcW w:w="4620" w:type="dxa"/>
            <w:shd w:val="clear" w:color="auto" w:fill="F0F4F8"/>
            <w:tcMar>
              <w:top w:w="60" w:type="dxa"/>
              <w:left w:w="120" w:type="dxa"/>
              <w:bottom w:w="60" w:type="dxa"/>
              <w:right w:w="120" w:type="dxa"/>
            </w:tcMar>
          </w:tcPr>
          <w:p>
            <w:r>
              <w:rPr>
                <w:rFonts w:ascii="Arial" w:cs="Arial" w:eastAsia="Arial" w:hAnsi="Arial"/>
                <w:sz w:val="19"/>
                <w:szCs w:val="19"/>
              </w:rPr>
              <w:t>Inspect clusters; confirm chemical logic of groupings</w:t>
            </w:r>
          </w:p>
        </w:tc>
      </w:tr>
      <w:tr>
        <w:tc>
          <w:tcPr>
            <w:tcW w:w="1440" w:type="dxa"/>
            <w:shd w:val="clear" w:color="auto" w:fill="FFFFFF"/>
            <w:tcMar>
              <w:top w:w="60" w:type="dxa"/>
              <w:left w:w="120" w:type="dxa"/>
              <w:bottom w:w="60" w:type="dxa"/>
              <w:right w:w="120" w:type="dxa"/>
            </w:tcMar>
          </w:tcPr>
          <w:p>
            <w:r>
              <w:rPr>
                <w:rFonts w:ascii="Arial" w:cs="Arial" w:eastAsia="Arial" w:hAnsi="Arial"/>
                <w:b/>
                <w:bCs/>
                <w:color w:val="2A7F6F"/>
                <w:sz w:val="19"/>
                <w:szCs w:val="19"/>
              </w:rPr>
              <w:t>3. Predict</w:t>
            </w:r>
          </w:p>
        </w:tc>
        <w:tc>
          <w:tcPr>
            <w:tcW w:w="4020" w:type="dxa"/>
            <w:shd w:val="clear" w:color="auto" w:fill="FFFFFF"/>
            <w:tcMar>
              <w:top w:w="60" w:type="dxa"/>
              <w:left w:w="120" w:type="dxa"/>
              <w:bottom w:w="60" w:type="dxa"/>
              <w:right w:w="120" w:type="dxa"/>
            </w:tcMar>
          </w:tcPr>
          <w:p>
            <w:r>
              <w:rPr>
                <w:rFonts w:ascii="Arial" w:cs="Arial" w:eastAsia="Arial" w:hAnsi="Arial"/>
                <w:sz w:val="19"/>
                <w:szCs w:val="19"/>
              </w:rPr>
              <w:t>Gaussian Process surrogate model on latent coords → predicted NIR/vis spectra + uncertainty</w:t>
            </w:r>
          </w:p>
        </w:tc>
        <w:tc>
          <w:tcPr>
            <w:tcW w:w="4620" w:type="dxa"/>
            <w:shd w:val="clear" w:color="auto" w:fill="FFFFFF"/>
            <w:tcMar>
              <w:top w:w="60" w:type="dxa"/>
              <w:left w:w="120" w:type="dxa"/>
              <w:bottom w:w="60" w:type="dxa"/>
              <w:right w:w="120" w:type="dxa"/>
            </w:tcMar>
          </w:tcPr>
          <w:p>
            <w:r>
              <w:rPr>
                <w:rFonts w:ascii="Arial" w:cs="Arial" w:eastAsia="Arial" w:hAnsi="Arial"/>
                <w:sz w:val="19"/>
                <w:szCs w:val="19"/>
              </w:rPr>
              <w:t>Sanity check predictions against known chemistry</w:t>
            </w:r>
          </w:p>
        </w:tc>
      </w:tr>
      <w:tr>
        <w:tc>
          <w:tcPr>
            <w:tcW w:w="1440" w:type="dxa"/>
            <w:shd w:val="clear" w:color="auto" w:fill="F0F4F8"/>
            <w:tcMar>
              <w:top w:w="60" w:type="dxa"/>
              <w:left w:w="120" w:type="dxa"/>
              <w:bottom w:w="60" w:type="dxa"/>
              <w:right w:w="120" w:type="dxa"/>
            </w:tcMar>
          </w:tcPr>
          <w:p>
            <w:r>
              <w:rPr>
                <w:rFonts w:ascii="Arial" w:cs="Arial" w:eastAsia="Arial" w:hAnsi="Arial"/>
                <w:b/>
                <w:bCs/>
                <w:color w:val="2A7F6F"/>
                <w:sz w:val="19"/>
                <w:szCs w:val="19"/>
              </w:rPr>
              <w:t>4. Generate</w:t>
            </w:r>
          </w:p>
        </w:tc>
        <w:tc>
          <w:tcPr>
            <w:tcW w:w="4020" w:type="dxa"/>
            <w:shd w:val="clear" w:color="auto" w:fill="F0F4F8"/>
            <w:tcMar>
              <w:top w:w="60" w:type="dxa"/>
              <w:left w:w="120" w:type="dxa"/>
              <w:bottom w:w="60" w:type="dxa"/>
              <w:right w:w="120" w:type="dxa"/>
            </w:tcMar>
          </w:tcPr>
          <w:p>
            <w:r>
              <w:rPr>
                <w:rFonts w:ascii="Arial" w:cs="Arial" w:eastAsia="Arial" w:hAnsi="Arial"/>
                <w:sz w:val="19"/>
                <w:szCs w:val="19"/>
              </w:rPr>
              <w:t>Sample latent space (interpolate + extrapolate); decode to compositions / SMILES</w:t>
            </w:r>
          </w:p>
        </w:tc>
        <w:tc>
          <w:tcPr>
            <w:tcW w:w="4620" w:type="dxa"/>
            <w:shd w:val="clear" w:color="auto" w:fill="F0F4F8"/>
            <w:tcMar>
              <w:top w:w="60" w:type="dxa"/>
              <w:left w:w="120" w:type="dxa"/>
              <w:bottom w:w="60" w:type="dxa"/>
              <w:right w:w="120" w:type="dxa"/>
            </w:tcMar>
          </w:tcPr>
          <w:p>
            <w:r>
              <w:rPr>
                <w:rFonts w:ascii="Arial" w:cs="Arial" w:eastAsia="Arial" w:hAnsi="Arial"/>
                <w:sz w:val="19"/>
                <w:szCs w:val="19"/>
              </w:rPr>
              <w:t>Filter for synthetic feasibility; flag cost/availability issues</w:t>
            </w:r>
          </w:p>
        </w:tc>
      </w:tr>
      <w:tr>
        <w:tc>
          <w:tcPr>
            <w:tcW w:w="1440" w:type="dxa"/>
            <w:shd w:val="clear" w:color="auto" w:fill="FFFFFF"/>
            <w:tcMar>
              <w:top w:w="60" w:type="dxa"/>
              <w:left w:w="120" w:type="dxa"/>
              <w:bottom w:w="60" w:type="dxa"/>
              <w:right w:w="120" w:type="dxa"/>
            </w:tcMar>
          </w:tcPr>
          <w:p>
            <w:r>
              <w:rPr>
                <w:rFonts w:ascii="Arial" w:cs="Arial" w:eastAsia="Arial" w:hAnsi="Arial"/>
                <w:b/>
                <w:bCs/>
                <w:color w:val="2A7F6F"/>
                <w:sz w:val="19"/>
                <w:szCs w:val="19"/>
              </w:rPr>
              <w:t>5. Select</w:t>
            </w:r>
          </w:p>
        </w:tc>
        <w:tc>
          <w:tcPr>
            <w:tcW w:w="4020" w:type="dxa"/>
            <w:shd w:val="clear" w:color="auto" w:fill="FFFFFF"/>
            <w:tcMar>
              <w:top w:w="60" w:type="dxa"/>
              <w:left w:w="120" w:type="dxa"/>
              <w:bottom w:w="60" w:type="dxa"/>
              <w:right w:w="120" w:type="dxa"/>
            </w:tcMar>
          </w:tcPr>
          <w:p>
            <w:r>
              <w:rPr>
                <w:rFonts w:ascii="Arial" w:cs="Arial" w:eastAsia="Arial" w:hAnsi="Arial"/>
                <w:sz w:val="19"/>
                <w:szCs w:val="19"/>
              </w:rPr>
              <w:t>Bayesian Optimization (EI/UCB) picks 4–8 candidates per cycle; Pareto front for multi-objective</w:t>
            </w:r>
          </w:p>
        </w:tc>
        <w:tc>
          <w:tcPr>
            <w:tcW w:w="4620" w:type="dxa"/>
            <w:shd w:val="clear" w:color="auto" w:fill="FFFFFF"/>
            <w:tcMar>
              <w:top w:w="60" w:type="dxa"/>
              <w:left w:w="120" w:type="dxa"/>
              <w:bottom w:w="60" w:type="dxa"/>
              <w:right w:w="120" w:type="dxa"/>
            </w:tcMar>
          </w:tcPr>
          <w:p>
            <w:r>
              <w:rPr>
                <w:rFonts w:ascii="Arial" w:cs="Arial" w:eastAsia="Arial" w:hAnsi="Arial"/>
                <w:sz w:val="19"/>
                <w:szCs w:val="19"/>
              </w:rPr>
              <w:t>Make final call on which to synthesize; human-in-the-loop</w:t>
            </w:r>
          </w:p>
        </w:tc>
      </w:tr>
      <w:tr>
        <w:tc>
          <w:tcPr>
            <w:tcW w:w="1440" w:type="dxa"/>
            <w:shd w:val="clear" w:color="auto" w:fill="F0F4F8"/>
            <w:tcMar>
              <w:top w:w="60" w:type="dxa"/>
              <w:left w:w="120" w:type="dxa"/>
              <w:bottom w:w="60" w:type="dxa"/>
              <w:right w:w="120" w:type="dxa"/>
            </w:tcMar>
          </w:tcPr>
          <w:p>
            <w:r>
              <w:rPr>
                <w:rFonts w:ascii="Arial" w:cs="Arial" w:eastAsia="Arial" w:hAnsi="Arial"/>
                <w:b/>
                <w:bCs/>
                <w:color w:val="2A7F6F"/>
                <w:sz w:val="19"/>
                <w:szCs w:val="19"/>
              </w:rPr>
              <w:t>6. Synthesize</w:t>
            </w:r>
          </w:p>
        </w:tc>
        <w:tc>
          <w:tcPr>
            <w:tcW w:w="4020" w:type="dxa"/>
            <w:shd w:val="clear" w:color="auto" w:fill="F0F4F8"/>
            <w:tcMar>
              <w:top w:w="60" w:type="dxa"/>
              <w:left w:w="120" w:type="dxa"/>
              <w:bottom w:w="60" w:type="dxa"/>
              <w:right w:w="120" w:type="dxa"/>
            </w:tcMar>
          </w:tcPr>
          <w:p>
            <w:r>
              <w:rPr>
                <w:rFonts w:ascii="Arial" w:cs="Arial" w:eastAsia="Arial" w:hAnsi="Arial"/>
                <w:sz w:val="19"/>
                <w:szCs w:val="19"/>
              </w:rPr>
              <w:t>Wet lab: solvothermal / sol-gel synthesis; UV-Vis-NIR characterization</w:t>
            </w:r>
          </w:p>
        </w:tc>
        <w:tc>
          <w:tcPr>
            <w:tcW w:w="4620" w:type="dxa"/>
            <w:shd w:val="clear" w:color="auto" w:fill="F0F4F8"/>
            <w:tcMar>
              <w:top w:w="60" w:type="dxa"/>
              <w:left w:w="120" w:type="dxa"/>
              <w:bottom w:w="60" w:type="dxa"/>
              <w:right w:w="120" w:type="dxa"/>
            </w:tcMar>
          </w:tcPr>
          <w:p>
            <w:r>
              <w:rPr>
                <w:rFonts w:ascii="Arial" w:cs="Arial" w:eastAsia="Arial" w:hAnsi="Arial"/>
                <w:sz w:val="19"/>
                <w:szCs w:val="19"/>
              </w:rPr>
              <w:t>Primary execution; generates real measurements</w:t>
            </w:r>
          </w:p>
        </w:tc>
      </w:tr>
      <w:tr>
        <w:tc>
          <w:tcPr>
            <w:tcW w:w="1440" w:type="dxa"/>
            <w:shd w:val="clear" w:color="auto" w:fill="D6EDE8"/>
            <w:tcMar>
              <w:top w:w="60" w:type="dxa"/>
              <w:left w:w="120" w:type="dxa"/>
              <w:bottom w:w="60" w:type="dxa"/>
              <w:right w:w="120" w:type="dxa"/>
            </w:tcMar>
          </w:tcPr>
          <w:p>
            <w:r>
              <w:rPr>
                <w:rFonts w:ascii="Arial" w:cs="Arial" w:eastAsia="Arial" w:hAnsi="Arial"/>
                <w:b/>
                <w:bCs/>
                <w:color w:val="1E3A5F"/>
                <w:sz w:val="19"/>
                <w:szCs w:val="19"/>
              </w:rPr>
              <w:t>7. Update</w:t>
            </w:r>
          </w:p>
        </w:tc>
        <w:tc>
          <w:tcPr>
            <w:tcW w:w="4020" w:type="dxa"/>
            <w:shd w:val="clear" w:color="auto" w:fill="D6EDE8"/>
            <w:tcMar>
              <w:top w:w="60" w:type="dxa"/>
              <w:left w:w="120" w:type="dxa"/>
              <w:bottom w:w="60" w:type="dxa"/>
              <w:right w:w="120" w:type="dxa"/>
            </w:tcMar>
          </w:tcPr>
          <w:p>
            <w:r>
              <w:rPr>
                <w:rFonts w:ascii="Arial" w:cs="Arial" w:eastAsia="Arial" w:hAnsi="Arial"/>
                <w:sz w:val="19"/>
                <w:szCs w:val="19"/>
              </w:rPr>
              <w:t>Real measurements fed back → retrain surrogate; update latent space. Repeat from Step 4.</w:t>
            </w:r>
          </w:p>
        </w:tc>
        <w:tc>
          <w:tcPr>
            <w:tcW w:w="4620" w:type="dxa"/>
            <w:shd w:val="clear" w:color="auto" w:fill="D6EDE8"/>
            <w:tcMar>
              <w:top w:w="60" w:type="dxa"/>
              <w:left w:w="120" w:type="dxa"/>
              <w:bottom w:w="60" w:type="dxa"/>
              <w:right w:w="120" w:type="dxa"/>
            </w:tcMar>
          </w:tcPr>
          <w:p>
            <w:r>
              <w:rPr>
                <w:rFonts w:ascii="Arial" w:cs="Arial" w:eastAsia="Arial" w:hAnsi="Arial"/>
                <w:sz w:val="19"/>
                <w:szCs w:val="19"/>
              </w:rPr>
              <w:t>Proprietary dataset grows — this is the moat</w:t>
            </w:r>
          </w:p>
        </w:tc>
      </w:tr>
    </w:tbl>
    <w:p>
      <w:pPr>
        <w:spacing w:before="40" w:after="40"/>
      </w:pPr>
      <w:r>
        <w:rPr>
          <w:sz w:val="18"/>
        </w:rPr>
        <w:t/>
      </w:r>
    </w:p>
    <w:p>
      <w:pPr>
        <w:spacing w:before="180" w:after="60"/>
      </w:pPr>
      <w:r>
        <w:rPr>
          <w:rFonts w:ascii="Arial" w:cs="Arial" w:eastAsia="Arial" w:hAnsi="Arial"/>
          <w:b/>
          <w:bCs/>
          <w:color w:val="1E3A5F"/>
          <w:sz w:val="22"/>
          <w:szCs w:val="22"/>
        </w:rPr>
        <w:t xml:space="preserve">Key Tools &amp; Open Source Stack</w:t>
      </w:r>
    </w:p>
    <w:p>
      <w:pPr>
        <w:numPr>
          <w:ilvl w:val="0"/>
          <w:numId w:val="1"/>
        </w:numPr>
        <w:spacing w:before="40" w:after="40"/>
      </w:pPr>
      <w:r>
        <w:rPr>
          <w:rFonts w:ascii="Arial" w:cs="Arial" w:eastAsia="Arial" w:hAnsi="Arial"/>
          <w:b/>
          <w:bCs/>
          <w:sz w:val="20"/>
          <w:szCs w:val="20"/>
        </w:rPr>
        <w:t xml:space="preserve">Matminer + Pymatgen </w:t>
      </w:r>
      <w:r>
        <w:rPr>
          <w:rFonts w:ascii="Arial" w:cs="Arial" w:eastAsia="Arial" w:hAnsi="Arial"/>
          <w:sz w:val="20"/>
          <w:szCs w:val="20"/>
        </w:rPr>
        <w:t xml:space="preserve">— materials featurization and crystal structure manipulation</w:t>
      </w:r>
    </w:p>
    <w:p>
      <w:pPr>
        <w:numPr>
          <w:ilvl w:val="0"/>
          <w:numId w:val="1"/>
        </w:numPr>
        <w:spacing w:before="40" w:after="40"/>
      </w:pPr>
      <w:r>
        <w:rPr>
          <w:rFonts w:ascii="Arial" w:cs="Arial" w:eastAsia="Arial" w:hAnsi="Arial"/>
          <w:b/>
          <w:bCs/>
          <w:sz w:val="20"/>
          <w:szCs w:val="20"/>
        </w:rPr>
        <w:t xml:space="preserve">RDKit </w:t>
      </w:r>
      <w:r>
        <w:rPr>
          <w:rFonts w:ascii="Arial" w:cs="Arial" w:eastAsia="Arial" w:hAnsi="Arial"/>
          <w:sz w:val="20"/>
          <w:szCs w:val="20"/>
        </w:rPr>
        <w:t xml:space="preserve">— SMILES handling, Morgan fingerprints, chemical validity checks for organic molecules</w:t>
      </w:r>
    </w:p>
    <w:p>
      <w:pPr>
        <w:numPr>
          <w:ilvl w:val="0"/>
          <w:numId w:val="1"/>
        </w:numPr>
        <w:spacing w:before="40" w:after="40"/>
      </w:pPr>
      <w:r>
        <w:rPr>
          <w:rFonts w:ascii="Arial" w:cs="Arial" w:eastAsia="Arial" w:hAnsi="Arial"/>
          <w:b/>
          <w:bCs/>
          <w:sz w:val="20"/>
          <w:szCs w:val="20"/>
        </w:rPr>
        <w:t xml:space="preserve">MEGNet / CGCNN (PyTorch Geometric) </w:t>
      </w:r>
      <w:r>
        <w:rPr>
          <w:rFonts w:ascii="Arial" w:cs="Arial" w:eastAsia="Arial" w:hAnsi="Arial"/>
          <w:sz w:val="20"/>
          <w:szCs w:val="20"/>
        </w:rPr>
        <w:t xml:space="preserve">— graph neural networks for crystal property prediction</w:t>
      </w:r>
    </w:p>
    <w:p>
      <w:pPr>
        <w:numPr>
          <w:ilvl w:val="0"/>
          <w:numId w:val="1"/>
        </w:numPr>
        <w:spacing w:before="40" w:after="40"/>
      </w:pPr>
      <w:r>
        <w:rPr>
          <w:rFonts w:ascii="Arial" w:cs="Arial" w:eastAsia="Arial" w:hAnsi="Arial"/>
          <w:b/>
          <w:bCs/>
          <w:sz w:val="20"/>
          <w:szCs w:val="20"/>
        </w:rPr>
        <w:t xml:space="preserve">BoTorch / Ax (Meta) </w:t>
      </w:r>
      <w:r>
        <w:rPr>
          <w:rFonts w:ascii="Arial" w:cs="Arial" w:eastAsia="Arial" w:hAnsi="Arial"/>
          <w:sz w:val="20"/>
          <w:szCs w:val="20"/>
        </w:rPr>
        <w:t xml:space="preserve">— Bayesian Optimization framework; handles multi-objective and noisy measurements well</w:t>
      </w:r>
    </w:p>
    <w:p>
      <w:pPr>
        <w:numPr>
          <w:ilvl w:val="0"/>
          <w:numId w:val="1"/>
        </w:numPr>
        <w:spacing w:before="40" w:after="40"/>
      </w:pPr>
      <w:r>
        <w:rPr>
          <w:rFonts w:ascii="Arial" w:cs="Arial" w:eastAsia="Arial" w:hAnsi="Arial"/>
          <w:b/>
          <w:bCs/>
          <w:sz w:val="20"/>
          <w:szCs w:val="20"/>
        </w:rPr>
        <w:t xml:space="preserve">JT-VAE (Wengong Jin, MIT 2018) </w:t>
      </w:r>
      <w:r>
        <w:rPr>
          <w:rFonts w:ascii="Arial" w:cs="Arial" w:eastAsia="Arial" w:hAnsi="Arial"/>
          <w:sz w:val="20"/>
          <w:szCs w:val="20"/>
        </w:rPr>
        <w:t xml:space="preserve">— junction tree VAE for valid organic molecule generation; GitHub: wengong-jin/icml18-jtnn</w:t>
      </w:r>
    </w:p>
    <w:p>
      <w:pPr>
        <w:numPr>
          <w:ilvl w:val="0"/>
          <w:numId w:val="1"/>
        </w:numPr>
        <w:spacing w:before="40" w:after="40"/>
      </w:pPr>
      <w:r>
        <w:rPr>
          <w:rFonts w:ascii="Arial" w:cs="Arial" w:eastAsia="Arial" w:hAnsi="Arial"/>
          <w:b/>
          <w:bCs/>
          <w:sz w:val="20"/>
          <w:szCs w:val="20"/>
        </w:rPr>
        <w:t xml:space="preserve">AFLOW-ML / MatBERT / MatSciBERT </w:t>
      </w:r>
      <w:r>
        <w:rPr>
          <w:rFonts w:ascii="Arial" w:cs="Arial" w:eastAsia="Arial" w:hAnsi="Arial"/>
          <w:sz w:val="20"/>
          <w:szCs w:val="20"/>
        </w:rPr>
        <w:t xml:space="preserve">— pre-trained transformer models on materials literature; use for LLM embeddings (Step 2b) and transfer learning with small datasets; fine-tune on 200–300 NIR/tungsten bronze papers for domain-specific embeddings</w:t>
      </w:r>
    </w:p>
    <w:p>
      <w:pPr>
        <w:numPr>
          <w:ilvl w:val="0"/>
          <w:numId w:val="1"/>
        </w:numPr>
        <w:spacing w:before="40" w:after="40"/>
      </w:pPr>
      <w:r>
        <w:rPr>
          <w:rFonts w:ascii="Arial" w:cs="Arial" w:eastAsia="Arial" w:hAnsi="Arial"/>
          <w:b/>
          <w:bCs/>
          <w:sz w:val="20"/>
          <w:szCs w:val="20"/>
        </w:rPr>
        <w:t xml:space="preserve">UMAP / t-SNE </w:t>
      </w:r>
      <w:r>
        <w:rPr>
          <w:rFonts w:ascii="Arial" w:cs="Arial" w:eastAsia="Arial" w:hAnsi="Arial"/>
          <w:sz w:val="20"/>
          <w:szCs w:val="20"/>
        </w:rPr>
        <w:t xml:space="preserve">— dimensionality reduction for visualizing the latent space; essential for chemist-AI collaboration</w:t>
      </w:r>
    </w:p>
    <w:p>
      <w:pPr>
        <w:spacing w:before="80" w:after="40"/>
      </w:pPr>
      <w:r>
        <w:rPr>
          <w:sz w:val="18"/>
        </w:rPr>
        <w:t/>
      </w:r>
    </w:p>
    <w:tbl>
      <w:tblPr>
        <w:tblW w:w="10080" w:type="dxa"/>
        <w:tblBorders>
          <w:top w:val="single" w:color="CCCCCC" w:sz="1"/>
          <w:left w:val="single" w:color="CCCCCC" w:sz="1"/>
          <w:bottom w:val="single" w:color="CCCCCC" w:sz="1"/>
          <w:right w:val="single" w:color="CCCCCC" w:sz="1"/>
          <w:insideH w:val="single" w:color="CCCCCC" w:sz="1"/>
          <w:insideV w:val="single" w:color="CCCCCC" w:sz="1"/>
        </w:tblBorders>
      </w:tblPr>
      <w:tblGrid>
        <w:gridCol w:w="10080"/>
      </w:tblGrid>
      <w:tr>
        <w:tc>
          <w:tcPr>
            <w:tcW w:w="10080" w:type="dxa"/>
            <w:shd w:val="clear" w:color="auto" w:fill="FFF8E8"/>
            <w:tcMar>
              <w:top w:w="120" w:type="dxa"/>
              <w:left w:w="200" w:type="dxa"/>
              <w:bottom w:w="120" w:type="dxa"/>
              <w:right w:w="200" w:type="dxa"/>
            </w:tcMar>
          </w:tcPr>
          <w:p>
            <w:pPr>
              <w:spacing w:before="40" w:after="40"/>
            </w:pPr>
            <w:r>
              <w:rPr>
                <w:rFonts w:ascii="Arial" w:cs="Arial" w:eastAsia="Arial" w:hAnsi="Arial"/>
                <w:b/>
                <w:bCs/>
                <w:color w:val="1E3A5F"/>
                <w:sz w:val="20"/>
                <w:szCs w:val="20"/>
              </w:rPr>
              <w:t xml:space="preserve">Where the moat comes from: </w:t>
            </w:r>
            <w:r>
              <w:rPr>
                <w:rFonts w:ascii="Arial" w:cs="Arial" w:eastAsia="Arial" w:hAnsi="Arial"/>
                <w:color w:val="333333"/>
                <w:sz w:val="19"/>
                <w:szCs w:val="19"/>
              </w:rPr>
              <w:t xml:space="preserve">The open-source tools above are available to anyone. Your defensibility is not the algorithm — it is the proprietary dataset of synthesis conditions, measured spectra, and formulation performance that accumulates with every experimental cycle. After 18 months of active learning loops, you will have hundreds of real measurements of NIR-selective nanoparticles that no competitor can replicate without running the same experiments. That dataset, combined with your chemist’s synthesis know-how, is the actual IP.</w:t>
            </w:r>
          </w:p>
        </w:tc>
      </w:tr>
    </w:tbl>
    <w:p>
      <w:pPr>
        <w:spacing w:before="200" w:after="40"/>
      </w:pPr>
      <w:r>
        <w:rPr>
          <w:sz w:val="18"/>
        </w:rPr>
        <w:t/>
      </w:r>
    </w:p>
    <w:p>
      <w:pPr>
        <w:pStyle w:val="Heading2"/>
        <w:pBdr>
          <w:bottom w:val="single" w:color="2A7F6F" w:sz="4" w:space="4"/>
        </w:pBdr>
        <w:spacing w:before="320" w:after="100"/>
      </w:pPr>
      <w:r>
        <w:rPr>
          <w:rFonts w:ascii="Arial" w:cs="Arial" w:eastAsia="Arial" w:hAnsi="Arial"/>
          <w:b/>
          <w:bCs/>
          <w:color w:val="2A7F6F"/>
          <w:sz w:val="24"/>
          <w:szCs w:val="24"/>
        </w:rPr>
        <w:t xml:space="preserve">8. Proof Before Scale: The Lean Validation Experiment</w:t>
      </w:r>
    </w:p>
    <w:p>
      <w:pPr>
        <w:spacing w:before="60" w:after="60"/>
      </w:pPr>
      <w:r>
        <w:rPr>
          <w:rFonts w:ascii="Arial" w:cs="Arial" w:eastAsia="Arial" w:hAnsi="Arial"/>
          <w:color w:val="222222"/>
          <w:sz w:val="20"/>
          <w:szCs w:val="20"/>
        </w:rPr>
        <w:t xml:space="preserve">The materials discovery pipeline (Sections 1–7) is the core investment. Agricultural validation does not need to match it in scale — it only needs to be credible enough to prove the headline. The goal here is narrow and achievable: build the smallest possible controlled setup that can produce a defensible statement along the lines of “our coating reduced greenhouse temperature by X°C and produced Y% better plant growth metrics under identical conditions, with no cooling system.” That single, clean claim is the commercial unlock. Everything else — larger operations, more crops, investor decks — comes after. The priority ordering is simple: spend most of the budget and most of the team’s attention on designing new coating materials. Spend a small, carefully managed portion on growing plants to test them.</w:t>
      </w:r>
    </w:p>
    <w:p>
      <w:pPr>
        <w:spacing w:before="160" w:after="60"/>
      </w:pPr>
      <w:r>
        <w:rPr>
          <w:rFonts w:ascii="Arial" w:cs="Arial" w:eastAsia="Arial" w:hAnsi="Arial"/>
          <w:b/>
          <w:bCs/>
          <w:color w:val="1E3A5F"/>
          <w:sz w:val="22"/>
          <w:szCs w:val="22"/>
        </w:rPr>
        <w:t xml:space="preserve">8.1 The Physical Setup — Mini-Tunnels, Not a Greenhouse</w:t>
      </w:r>
    </w:p>
    <w:p>
      <w:pPr>
        <w:spacing w:before="40" w:after="60"/>
      </w:pPr>
      <w:r>
        <w:rPr>
          <w:rFonts w:ascii="Arial" w:cs="Arial" w:eastAsia="Arial" w:hAnsi="Arial"/>
          <w:color w:val="222222"/>
          <w:sz w:val="20"/>
          <w:szCs w:val="20"/>
        </w:rPr>
        <w:t xml:space="preserve">The setup is six to eight low-profile hoophouse tunnels — simple PVC or galvanized steel arch frames, each roughly 3–4 m long and 1.5 m wide — placed side by side outdoors in a flat open location in Texas. Each tunnel is covered with a different film treatment. No foundation, no HVAC, no permanent structure. Total covered growing area: roughly 25–40 m². One person can manage all tunnels in a few hours per week. The whole setup can be erected, filmed, and dismantled in a single day. The total cost of the physical infrastructure is $2,500–$6,000 — less than one month of a lab consumables budget.</w:t>
      </w:r>
    </w:p>
    <w:p>
      <w:pPr>
        <w:spacing w:before="40" w:after="60"/>
      </w:pPr>
      <w:r>
        <w:rPr>
          <w:rFonts w:ascii="Arial" w:cs="Arial" w:eastAsia="Arial" w:hAnsi="Arial"/>
          <w:color w:val="222222"/>
          <w:sz w:val="20"/>
          <w:szCs w:val="20"/>
        </w:rPr>
        <w:t xml:space="preserve">The physics that matter — spectral modification of the light and heat reaching the plant — operate at the individual plant level. A single corn seedling growing under Film A versus Film B experiences the same optical environment as a plant in a 500 m² commercial bay. The relative difference between treatments at small scale is identical to the difference at commercial scale. Scaling up only increases statistical confidence; it does not change the direction of the result. So the right move is to iterate at small scale until one composition clearly wins, then scale that winner.</w:t>
      </w:r>
    </w:p>
    <w:tbl>
      <w:tblPr>
        <w:tblW w:w="10080" w:type="dxa"/>
        <w:tblBorders>
          <w:top w:val="single" w:color="2A7F6F" w:sz="4"/>
          <w:left w:val="single" w:color="2A7F6F" w:sz="4"/>
          <w:bottom w:val="single" w:color="2A7F6F" w:sz="4"/>
          <w:right w:val="single" w:color="2A7F6F" w:sz="4"/>
          <w:insideH w:val="single" w:color="CCCCCC" w:sz="1"/>
          <w:insideV w:val="single" w:color="2A7F6F" w:sz="4"/>
        </w:tblBorders>
      </w:tblPr>
      <w:tblGrid>
        <w:gridCol w:w="3360"/>
        <w:gridCol w:w="3360"/>
        <w:gridCol w:w="3360"/>
      </w:tblGrid>
      <w:tr>
        <w:tc>
          <w:tcPr>
            <w:tcW w:w="3360" w:type="dxa"/>
            <w:shd w:val="clear" w:color="auto" w:fill="1E3A5F"/>
            <w:tcMar>
              <w:top w:w="100" w:type="dxa"/>
              <w:left w:w="160" w:type="dxa"/>
              <w:bottom w:w="100" w:type="dxa"/>
              <w:right w:w="160" w:type="dxa"/>
            </w:tcMar>
          </w:tcPr>
          <w:p>
            <w:pPr>
              <w:jc w:val="center"/>
            </w:pPr>
            <w:r>
              <w:rPr>
                <w:rFonts w:ascii="Arial" w:cs="Arial" w:eastAsia="Arial" w:hAnsi="Arial"/>
                <w:b/>
                <w:bCs/>
                <w:color w:val="FFFFFF"/>
                <w:sz w:val="19"/>
                <w:szCs w:val="19"/>
              </w:rPr>
              <w:t>Tunnels + Film</w:t>
            </w:r>
          </w:p>
        </w:tc>
        <w:tc>
          <w:tcPr>
            <w:tcW w:w="3360" w:type="dxa"/>
            <w:shd w:val="clear" w:color="auto" w:fill="1E3A5F"/>
            <w:tcMar>
              <w:top w:w="100" w:type="dxa"/>
              <w:left w:w="160" w:type="dxa"/>
              <w:bottom w:w="100" w:type="dxa"/>
              <w:right w:w="160" w:type="dxa"/>
            </w:tcMar>
          </w:tcPr>
          <w:p>
            <w:pPr>
              <w:jc w:val="center"/>
            </w:pPr>
            <w:r>
              <w:rPr>
                <w:rFonts w:ascii="Arial" w:cs="Arial" w:eastAsia="Arial" w:hAnsi="Arial"/>
                <w:b/>
                <w:bCs/>
                <w:color w:val="FFFFFF"/>
                <w:sz w:val="19"/>
                <w:szCs w:val="19"/>
              </w:rPr>
              <w:t>Sensors + Logging</w:t>
            </w:r>
          </w:p>
        </w:tc>
        <w:tc>
          <w:tcPr>
            <w:tcW w:w="3360" w:type="dxa"/>
            <w:shd w:val="clear" w:color="auto" w:fill="1E3A5F"/>
            <w:tcMar>
              <w:top w:w="100" w:type="dxa"/>
              <w:left w:w="160" w:type="dxa"/>
              <w:bottom w:w="100" w:type="dxa"/>
              <w:right w:w="160" w:type="dxa"/>
            </w:tcMar>
          </w:tcPr>
          <w:p>
            <w:pPr>
              <w:jc w:val="center"/>
            </w:pPr>
            <w:r>
              <w:rPr>
                <w:rFonts w:ascii="Arial" w:cs="Arial" w:eastAsia="Arial" w:hAnsi="Arial"/>
                <w:b/>
                <w:bCs/>
                <w:color w:val="FFFFFF"/>
                <w:sz w:val="19"/>
                <w:szCs w:val="19"/>
              </w:rPr>
              <w:t>Seeds + Substrate</w:t>
            </w:r>
          </w:p>
        </w:tc>
      </w:tr>
      <w:tr>
        <w:tc>
          <w:tcPr>
            <w:tcW w:w="3360" w:type="dxa"/>
            <w:shd w:val="clear" w:color="auto" w:fill="EAF4F1"/>
            <w:tcMar>
              <w:top w:w="100" w:type="dxa"/>
              <w:left w:w="160" w:type="dxa"/>
              <w:bottom w:w="100" w:type="dxa"/>
              <w:right w:w="160" w:type="dxa"/>
            </w:tcMar>
          </w:tcPr>
          <w:p>
            <w:pPr>
              <w:jc w:val="center"/>
            </w:pPr>
            <w:r>
              <w:rPr>
                <w:rFonts w:ascii="Arial" w:cs="Arial" w:eastAsia="Arial" w:hAnsi="Arial"/>
                <w:sz w:val="18"/>
                <w:szCs w:val="18"/>
              </w:rPr>
              <w:t xml:space="preserve">6–8 hoophouse frames + prototype film rolls
~$1,500–$3,500</w:t>
            </w:r>
          </w:p>
        </w:tc>
        <w:tc>
          <w:tcPr>
            <w:tcW w:w="3360" w:type="dxa"/>
            <w:shd w:val="clear" w:color="auto" w:fill="EAF4F1"/>
            <w:tcMar>
              <w:top w:w="100" w:type="dxa"/>
              <w:left w:w="160" w:type="dxa"/>
              <w:bottom w:w="100" w:type="dxa"/>
              <w:right w:w="160" w:type="dxa"/>
            </w:tcMar>
          </w:tcPr>
          <w:p>
            <w:pPr>
              <w:jc w:val="center"/>
            </w:pPr>
            <w:r>
              <w:rPr>
                <w:rFonts w:ascii="Arial" w:cs="Arial" w:eastAsia="Arial" w:hAnsi="Arial"/>
                <w:sz w:val="18"/>
                <w:szCs w:val="18"/>
              </w:rPr>
              <w:t xml:space="preserve">Temp/humidity loggers, soil moisture probes, PAR meter
~$800–$2,000</w:t>
            </w:r>
          </w:p>
        </w:tc>
        <w:tc>
          <w:tcPr>
            <w:tcW w:w="3360" w:type="dxa"/>
            <w:shd w:val="clear" w:color="auto" w:fill="EAF4F1"/>
            <w:tcMar>
              <w:top w:w="100" w:type="dxa"/>
              <w:left w:w="160" w:type="dxa"/>
              <w:bottom w:w="100" w:type="dxa"/>
              <w:right w:w="160" w:type="dxa"/>
            </w:tcMar>
          </w:tcPr>
          <w:p>
            <w:pPr>
              <w:jc w:val="center"/>
            </w:pPr>
            <w:r>
              <w:rPr>
                <w:rFonts w:ascii="Arial" w:cs="Arial" w:eastAsia="Arial" w:hAnsi="Arial"/>
                <w:sz w:val="18"/>
                <w:szCs w:val="18"/>
              </w:rPr>
              <w:t xml:space="preserve">Seed packets, grow bags, potting mix, drip line
~$200–$500</w:t>
            </w:r>
          </w:p>
        </w:tc>
      </w:tr>
      <w:tr>
        <w:tc>
          <w:tcPr>
            <w:tcW w:w="10080" w:type="dxa"/>
            <w:gridSpan w:val="3"/>
            <w:shd w:val="clear" w:color="auto" w:fill="2A7F6F"/>
            <w:tcMar>
              <w:top w:w="100" w:type="dxa"/>
              <w:left w:w="200" w:type="dxa"/>
              <w:bottom w:w="100" w:type="dxa"/>
              <w:right w:w="200" w:type="dxa"/>
            </w:tcMar>
          </w:tcPr>
          <w:p>
            <w:pPr>
              <w:jc w:val="center"/>
            </w:pPr>
            <w:r>
              <w:rPr>
                <w:rFonts w:ascii="Arial" w:cs="Arial" w:eastAsia="Arial" w:hAnsi="Arial"/>
                <w:b/>
                <w:bCs/>
                <w:color w:val="FFFFFF"/>
                <w:sz w:val="20"/>
                <w:szCs w:val="20"/>
              </w:rPr>
              <w:t xml:space="preserve">Total: $2,500–$6,000 — manageable by two people, no contractor required</w:t>
            </w:r>
          </w:p>
        </w:tc>
      </w:tr>
    </w:tbl>
    <w:p>
      <w:pPr>
        <w:spacing w:before="60" w:after="40"/>
      </w:pPr>
      <w:r>
        <w:rPr>
          <w:sz w:val="18"/>
        </w:rPr>
        <w:t/>
      </w:r>
    </w:p>
    <w:p>
      <w:pPr>
        <w:spacing w:before="160" w:after="60"/>
      </w:pPr>
      <w:r>
        <w:rPr>
          <w:rFonts w:ascii="Arial" w:cs="Arial" w:eastAsia="Arial" w:hAnsi="Arial"/>
          <w:b/>
          <w:bCs/>
          <w:color w:val="1E3A5F"/>
          <w:sz w:val="22"/>
          <w:szCs w:val="22"/>
        </w:rPr>
        <w:t xml:space="preserve">8.2 Film Treatments — One Tunnel Per Candidate</w:t>
      </w:r>
    </w:p>
    <w:p>
      <w:pPr>
        <w:spacing w:before="40" w:after="60"/>
      </w:pPr>
      <w:r>
        <w:rPr>
          <w:rFonts w:ascii="Arial" w:cs="Arial" w:eastAsia="Arial" w:hAnsi="Arial"/>
          <w:color w:val="222222"/>
          <w:sz w:val="20"/>
          <w:szCs w:val="20"/>
        </w:rPr>
        <w:t xml:space="preserve">Each tunnel gets a different film. One tunnel is always bare standard LDPE — the control. The rest test specific material compositions from the AI discovery pipeline, plus the best available incumbent product as a competitive benchmark. The practical rule: never run more candidates in a cycle than you can coat and install in a single day. At early stage that means 5–7 tunnels total.</w:t>
      </w:r>
    </w:p>
    <w:tbl>
      <w:tblPr>
        <w:tblW w:w="10080" w:type="dxa"/>
        <w:tblBorders>
          <w:top w:val="single" w:color="1E3A5F" w:sz="4"/>
          <w:left w:val="single" w:color="1E3A5F" w:sz="4"/>
          <w:bottom w:val="single" w:color="1E3A5F" w:sz="4"/>
          <w:right w:val="single" w:color="1E3A5F" w:sz="4"/>
          <w:insideH w:val="single" w:color="CCCCCC" w:sz="1"/>
          <w:insideV w:val="single" w:color="1E3A5F" w:sz="4"/>
        </w:tblBorders>
      </w:tblPr>
      <w:tblGrid>
        <w:gridCol w:w="480"/>
        <w:gridCol w:w="2800"/>
        <w:gridCol w:w="2200"/>
        <w:gridCol w:w="4600"/>
      </w:tblGrid>
      <w:tr>
        <w:tc>
          <w:tcPr>
            <w:tcW w:w="480" w:type="dxa"/>
            <w:shd w:val="clear" w:color="auto" w:fill="1E3A5F"/>
            <w:tcMar>
              <w:top w:w="80" w:type="dxa"/>
              <w:left w:w="100" w:type="dxa"/>
              <w:bottom w:w="80" w:type="dxa"/>
              <w:right w:w="100" w:type="dxa"/>
            </w:tcMar>
          </w:tcPr>
          <w:p>
            <w:r>
              <w:rPr>
                <w:rFonts w:ascii="Arial" w:cs="Arial" w:eastAsia="Arial" w:hAnsi="Arial"/>
                <w:b/>
                <w:bCs/>
                <w:color w:val="FFFFFF"/>
                <w:sz w:val="18"/>
                <w:szCs w:val="18"/>
              </w:rPr>
              <w:t>#</w:t>
            </w:r>
          </w:p>
        </w:tc>
        <w:tc>
          <w:tcPr>
            <w:tcW w:w="2800" w:type="dxa"/>
            <w:shd w:val="clear" w:color="auto" w:fill="1E3A5F"/>
            <w:tcMar>
              <w:top w:w="80" w:type="dxa"/>
              <w:left w:w="120" w:type="dxa"/>
              <w:bottom w:w="80" w:type="dxa"/>
              <w:right w:w="120" w:type="dxa"/>
            </w:tcMar>
          </w:tcPr>
          <w:p>
            <w:r>
              <w:rPr>
                <w:rFonts w:ascii="Arial" w:cs="Arial" w:eastAsia="Arial" w:hAnsi="Arial"/>
                <w:b/>
                <w:bCs/>
                <w:color w:val="FFFFFF"/>
                <w:sz w:val="18"/>
                <w:szCs w:val="18"/>
              </w:rPr>
              <w:t>Film</w:t>
            </w:r>
          </w:p>
        </w:tc>
        <w:tc>
          <w:tcPr>
            <w:tcW w:w="2200" w:type="dxa"/>
            <w:shd w:val="clear" w:color="auto" w:fill="1E3A5F"/>
            <w:tcMar>
              <w:top w:w="80" w:type="dxa"/>
              <w:left w:w="120" w:type="dxa"/>
              <w:bottom w:w="80" w:type="dxa"/>
              <w:right w:w="120" w:type="dxa"/>
            </w:tcMar>
          </w:tcPr>
          <w:p>
            <w:r>
              <w:rPr>
                <w:rFonts w:ascii="Arial" w:cs="Arial" w:eastAsia="Arial" w:hAnsi="Arial"/>
                <w:b/>
                <w:bCs/>
                <w:color w:val="FFFFFF"/>
                <w:sz w:val="18"/>
                <w:szCs w:val="18"/>
              </w:rPr>
              <w:t>Expected Effect</w:t>
            </w:r>
          </w:p>
        </w:tc>
        <w:tc>
          <w:tcPr>
            <w:tcW w:w="4600" w:type="dxa"/>
            <w:shd w:val="clear" w:color="auto" w:fill="1E3A5F"/>
            <w:tcMar>
              <w:top w:w="80" w:type="dxa"/>
              <w:left w:w="120" w:type="dxa"/>
              <w:bottom w:w="80" w:type="dxa"/>
              <w:right w:w="120" w:type="dxa"/>
            </w:tcMar>
          </w:tcPr>
          <w:p>
            <w:r>
              <w:rPr>
                <w:rFonts w:ascii="Arial" w:cs="Arial" w:eastAsia="Arial" w:hAnsi="Arial"/>
                <w:b/>
                <w:bCs/>
                <w:color w:val="FFFFFF"/>
                <w:sz w:val="18"/>
                <w:szCs w:val="18"/>
              </w:rPr>
              <w:t>What It Tests</w:t>
            </w:r>
          </w:p>
        </w:tc>
      </w:tr>
      <w:tr>
        <w:tc>
          <w:tcPr>
            <w:tcW w:w="480" w:type="dxa"/>
            <w:shd w:val="clear" w:color="auto" w:fill="F0F4F8"/>
            <w:tcMar>
              <w:top w:w="60" w:type="dxa"/>
              <w:left w:w="100" w:type="dxa"/>
              <w:bottom w:w="60" w:type="dxa"/>
              <w:right w:w="100" w:type="dxa"/>
            </w:tcMar>
          </w:tcPr>
          <w:p>
            <w:r>
              <w:rPr>
                <w:rFonts w:ascii="Arial" w:cs="Arial" w:eastAsia="Arial" w:hAnsi="Arial"/>
                <w:b/>
                <w:bCs/>
                <w:color w:val="2A7F6F"/>
                <w:sz w:val="18"/>
                <w:szCs w:val="18"/>
              </w:rPr>
              <w:t>T1</w:t>
            </w:r>
          </w:p>
        </w:tc>
        <w:tc>
          <w:tcPr>
            <w:tcW w:w="2800" w:type="dxa"/>
            <w:shd w:val="clear" w:color="auto" w:fill="F0F4F8"/>
            <w:tcMar>
              <w:top w:w="60" w:type="dxa"/>
              <w:left w:w="120" w:type="dxa"/>
              <w:bottom w:w="60" w:type="dxa"/>
              <w:right w:w="120" w:type="dxa"/>
            </w:tcMar>
          </w:tcPr>
          <w:p>
            <w:r>
              <w:rPr>
                <w:rFonts w:ascii="Arial" w:cs="Arial" w:eastAsia="Arial" w:hAnsi="Arial"/>
                <w:b/>
                <w:bCs/>
                <w:sz w:val="18"/>
                <w:szCs w:val="18"/>
              </w:rPr>
              <w:t>CONTROL — plain LDPE, no additives</w:t>
            </w:r>
          </w:p>
        </w:tc>
        <w:tc>
          <w:tcPr>
            <w:tcW w:w="2200" w:type="dxa"/>
            <w:shd w:val="clear" w:color="auto" w:fill="F0F4F8"/>
            <w:tcMar>
              <w:top w:w="60" w:type="dxa"/>
              <w:left w:w="120" w:type="dxa"/>
              <w:bottom w:w="60" w:type="dxa"/>
              <w:right w:w="120" w:type="dxa"/>
            </w:tcMar>
          </w:tcPr>
          <w:p>
            <w:r>
              <w:rPr>
                <w:rFonts w:ascii="Arial" w:cs="Arial" w:eastAsia="Arial" w:hAnsi="Arial"/>
                <w:sz w:val="18"/>
                <w:szCs w:val="18"/>
              </w:rPr>
              <w:t>Full spectrum + full heat. Texas summer unmodified.</w:t>
            </w:r>
          </w:p>
        </w:tc>
        <w:tc>
          <w:tcPr>
            <w:tcW w:w="4600" w:type="dxa"/>
            <w:shd w:val="clear" w:color="auto" w:fill="F0F4F8"/>
            <w:tcMar>
              <w:top w:w="60" w:type="dxa"/>
              <w:left w:w="120" w:type="dxa"/>
              <w:bottom w:w="60" w:type="dxa"/>
              <w:right w:w="120" w:type="dxa"/>
            </w:tcMar>
          </w:tcPr>
          <w:p>
            <w:r>
              <w:rPr>
                <w:rFonts w:ascii="Arial" w:cs="Arial" w:eastAsia="Arial" w:hAnsi="Arial"/>
                <w:sz w:val="18"/>
                <w:szCs w:val="18"/>
              </w:rPr>
              <w:t>Baseline. All other tunnels are a delta vs. this one. No film effect to explain — any difference in plant metrics between tunnels is caused by the coating.</w:t>
            </w:r>
          </w:p>
        </w:tc>
      </w:tr>
      <w:tr>
        <w:tc>
          <w:tcPr>
            <w:tcW w:w="480" w:type="dxa"/>
            <w:shd w:val="clear" w:color="auto" w:fill="FFFFFF"/>
            <w:tcMar>
              <w:top w:w="60" w:type="dxa"/>
              <w:left w:w="100" w:type="dxa"/>
              <w:bottom w:w="60" w:type="dxa"/>
              <w:right w:w="100" w:type="dxa"/>
            </w:tcMar>
          </w:tcPr>
          <w:p>
            <w:r>
              <w:rPr>
                <w:rFonts w:ascii="Arial" w:cs="Arial" w:eastAsia="Arial" w:hAnsi="Arial"/>
                <w:b/>
                <w:bCs/>
                <w:color w:val="2A7F6F"/>
                <w:sz w:val="18"/>
                <w:szCs w:val="18"/>
              </w:rPr>
              <w:t>T2</w:t>
            </w:r>
          </w:p>
        </w:tc>
        <w:tc>
          <w:tcPr>
            <w:tcW w:w="2800" w:type="dxa"/>
            <w:shd w:val="clear" w:color="auto" w:fill="FFFFFF"/>
            <w:tcMar>
              <w:top w:w="60" w:type="dxa"/>
              <w:left w:w="120" w:type="dxa"/>
              <w:bottom w:w="60" w:type="dxa"/>
              <w:right w:w="120" w:type="dxa"/>
            </w:tcMar>
          </w:tcPr>
          <w:p>
            <w:r>
              <w:rPr>
                <w:rFonts w:ascii="Arial" w:cs="Arial" w:eastAsia="Arial" w:hAnsi="Arial"/>
                <w:sz w:val="18"/>
                <w:szCs w:val="18"/>
              </w:rPr>
              <w:t>BENCHMARK — Ginegar SunSaver (best available commercial NIR film)</w:t>
            </w:r>
          </w:p>
        </w:tc>
        <w:tc>
          <w:tcPr>
            <w:tcW w:w="2200" w:type="dxa"/>
            <w:shd w:val="clear" w:color="auto" w:fill="FFFFFF"/>
            <w:tcMar>
              <w:top w:w="60" w:type="dxa"/>
              <w:left w:w="120" w:type="dxa"/>
              <w:bottom w:w="60" w:type="dxa"/>
              <w:right w:w="120" w:type="dxa"/>
            </w:tcMar>
          </w:tcPr>
          <w:p>
            <w:r>
              <w:rPr>
                <w:rFonts w:ascii="Arial" w:cs="Arial" w:eastAsia="Arial" w:hAnsi="Arial"/>
                <w:sz w:val="18"/>
                <w:szCs w:val="18"/>
              </w:rPr>
              <w:t>Cooler; far-red also blocked; PAR ~71–81%</w:t>
            </w:r>
          </w:p>
        </w:tc>
        <w:tc>
          <w:tcPr>
            <w:tcW w:w="4600" w:type="dxa"/>
            <w:shd w:val="clear" w:color="auto" w:fill="FFFFFF"/>
            <w:tcMar>
              <w:top w:w="60" w:type="dxa"/>
              <w:left w:w="120" w:type="dxa"/>
              <w:bottom w:w="60" w:type="dxa"/>
              <w:right w:w="120" w:type="dxa"/>
            </w:tcMar>
          </w:tcPr>
          <w:p>
            <w:r>
              <w:rPr>
                <w:rFonts w:ascii="Arial" w:cs="Arial" w:eastAsia="Arial" w:hAnsi="Arial"/>
                <w:sz w:val="18"/>
                <w:szCs w:val="18"/>
              </w:rPr>
              <w:t>Sets the competitive bar. Our material must beat this on plant metrics, not just match it.</w:t>
            </w:r>
          </w:p>
        </w:tc>
      </w:tr>
      <w:tr>
        <w:tc>
          <w:tcPr>
            <w:tcW w:w="480" w:type="dxa"/>
            <w:shd w:val="clear" w:color="auto" w:fill="F0F4F8"/>
            <w:tcMar>
              <w:top w:w="60" w:type="dxa"/>
              <w:left w:w="100" w:type="dxa"/>
              <w:bottom w:w="60" w:type="dxa"/>
              <w:right w:w="100" w:type="dxa"/>
            </w:tcMar>
          </w:tcPr>
          <w:p>
            <w:r>
              <w:rPr>
                <w:rFonts w:ascii="Arial" w:cs="Arial" w:eastAsia="Arial" w:hAnsi="Arial"/>
                <w:b/>
                <w:bCs/>
                <w:color w:val="2A7F6F"/>
                <w:sz w:val="18"/>
                <w:szCs w:val="18"/>
              </w:rPr>
              <w:t>T3</w:t>
            </w:r>
          </w:p>
        </w:tc>
        <w:tc>
          <w:tcPr>
            <w:tcW w:w="2800" w:type="dxa"/>
            <w:shd w:val="clear" w:color="auto" w:fill="F0F4F8"/>
            <w:tcMar>
              <w:top w:w="60" w:type="dxa"/>
              <w:left w:w="120" w:type="dxa"/>
              <w:bottom w:w="60" w:type="dxa"/>
              <w:right w:w="120" w:type="dxa"/>
            </w:tcMar>
          </w:tcPr>
          <w:p>
            <w:r>
              <w:rPr>
                <w:rFonts w:ascii="Arial" w:cs="Arial" w:eastAsia="Arial" w:hAnsi="Arial"/>
                <w:sz w:val="18"/>
                <w:szCs w:val="18"/>
              </w:rPr>
              <w:t>AI Candidate A — 750 nm cutoff, low nanoparticle loading</w:t>
            </w:r>
          </w:p>
        </w:tc>
        <w:tc>
          <w:tcPr>
            <w:tcW w:w="2200" w:type="dxa"/>
            <w:shd w:val="clear" w:color="auto" w:fill="F0F4F8"/>
            <w:tcMar>
              <w:top w:w="60" w:type="dxa"/>
              <w:left w:w="120" w:type="dxa"/>
              <w:bottom w:w="60" w:type="dxa"/>
              <w:right w:w="120" w:type="dxa"/>
            </w:tcMar>
          </w:tcPr>
          <w:p>
            <w:r>
              <w:rPr>
                <w:rFonts w:ascii="Arial" w:cs="Arial" w:eastAsia="Arial" w:hAnsi="Arial"/>
                <w:sz w:val="18"/>
                <w:szCs w:val="18"/>
              </w:rPr>
              <w:t>NIR blocked &gt;750 nm; far-red retained; PAR ~87%</w:t>
            </w:r>
          </w:p>
        </w:tc>
        <w:tc>
          <w:tcPr>
            <w:tcW w:w="4600" w:type="dxa"/>
            <w:shd w:val="clear" w:color="auto" w:fill="F0F4F8"/>
            <w:tcMar>
              <w:top w:w="60" w:type="dxa"/>
              <w:left w:w="120" w:type="dxa"/>
              <w:bottom w:w="60" w:type="dxa"/>
              <w:right w:w="120" w:type="dxa"/>
            </w:tcMar>
          </w:tcPr>
          <w:p>
            <w:r>
              <w:rPr>
                <w:rFonts w:ascii="Arial" w:cs="Arial" w:eastAsia="Arial" w:hAnsi="Arial"/>
                <w:sz w:val="18"/>
                <w:szCs w:val="18"/>
              </w:rPr>
              <w:t>Does retaining far-red while blocking NIR produce better plant metrics than T2’s broadband cutoff?</w:t>
            </w:r>
          </w:p>
        </w:tc>
      </w:tr>
      <w:tr>
        <w:tc>
          <w:tcPr>
            <w:tcW w:w="480" w:type="dxa"/>
            <w:shd w:val="clear" w:color="auto" w:fill="FFFFFF"/>
            <w:tcMar>
              <w:top w:w="60" w:type="dxa"/>
              <w:left w:w="100" w:type="dxa"/>
              <w:bottom w:w="60" w:type="dxa"/>
              <w:right w:w="100" w:type="dxa"/>
            </w:tcMar>
          </w:tcPr>
          <w:p>
            <w:r>
              <w:rPr>
                <w:rFonts w:ascii="Arial" w:cs="Arial" w:eastAsia="Arial" w:hAnsi="Arial"/>
                <w:b/>
                <w:bCs/>
                <w:color w:val="2A7F6F"/>
                <w:sz w:val="18"/>
                <w:szCs w:val="18"/>
              </w:rPr>
              <w:t>T4</w:t>
            </w:r>
          </w:p>
        </w:tc>
        <w:tc>
          <w:tcPr>
            <w:tcW w:w="2800" w:type="dxa"/>
            <w:shd w:val="clear" w:color="auto" w:fill="FFFFFF"/>
            <w:tcMar>
              <w:top w:w="60" w:type="dxa"/>
              <w:left w:w="120" w:type="dxa"/>
              <w:bottom w:w="60" w:type="dxa"/>
              <w:right w:w="120" w:type="dxa"/>
            </w:tcMar>
          </w:tcPr>
          <w:p>
            <w:r>
              <w:rPr>
                <w:rFonts w:ascii="Arial" w:cs="Arial" w:eastAsia="Arial" w:hAnsi="Arial"/>
                <w:sz w:val="18"/>
                <w:szCs w:val="18"/>
              </w:rPr>
              <w:t>AI Candidate B — 750 nm cutoff, higher loading (stronger NIR block)</w:t>
            </w:r>
          </w:p>
        </w:tc>
        <w:tc>
          <w:tcPr>
            <w:tcW w:w="2200" w:type="dxa"/>
            <w:shd w:val="clear" w:color="auto" w:fill="FFFFFF"/>
            <w:tcMar>
              <w:top w:w="60" w:type="dxa"/>
              <w:left w:w="120" w:type="dxa"/>
              <w:bottom w:w="60" w:type="dxa"/>
              <w:right w:w="120" w:type="dxa"/>
            </w:tcMar>
          </w:tcPr>
          <w:p>
            <w:r>
              <w:rPr>
                <w:rFonts w:ascii="Arial" w:cs="Arial" w:eastAsia="Arial" w:hAnsi="Arial"/>
                <w:sz w:val="18"/>
                <w:szCs w:val="18"/>
              </w:rPr>
              <w:t>More cooling than T3; watch for PAR trade-off as loading increases</w:t>
            </w:r>
          </w:p>
        </w:tc>
        <w:tc>
          <w:tcPr>
            <w:tcW w:w="4600" w:type="dxa"/>
            <w:shd w:val="clear" w:color="auto" w:fill="FFFFFF"/>
            <w:tcMar>
              <w:top w:w="60" w:type="dxa"/>
              <w:left w:w="120" w:type="dxa"/>
              <w:bottom w:w="60" w:type="dxa"/>
              <w:right w:w="120" w:type="dxa"/>
            </w:tcMar>
          </w:tcPr>
          <w:p>
            <w:r>
              <w:rPr>
                <w:rFonts w:ascii="Arial" w:cs="Arial" w:eastAsia="Arial" w:hAnsi="Arial"/>
                <w:sz w:val="18"/>
                <w:szCs w:val="18"/>
              </w:rPr>
              <w:t>Is there a loading sweet spot where cooling benefit peaks before PAR penalty erodes plant performance?</w:t>
            </w:r>
          </w:p>
        </w:tc>
      </w:tr>
      <w:tr>
        <w:tc>
          <w:tcPr>
            <w:tcW w:w="480" w:type="dxa"/>
            <w:shd w:val="clear" w:color="auto" w:fill="F0F4F8"/>
            <w:tcMar>
              <w:top w:w="60" w:type="dxa"/>
              <w:left w:w="100" w:type="dxa"/>
              <w:bottom w:w="60" w:type="dxa"/>
              <w:right w:w="100" w:type="dxa"/>
            </w:tcMar>
          </w:tcPr>
          <w:p>
            <w:r>
              <w:rPr>
                <w:rFonts w:ascii="Arial" w:cs="Arial" w:eastAsia="Arial" w:hAnsi="Arial"/>
                <w:b/>
                <w:bCs/>
                <w:color w:val="2A7F6F"/>
                <w:sz w:val="18"/>
                <w:szCs w:val="18"/>
              </w:rPr>
              <w:t>T5</w:t>
            </w:r>
          </w:p>
        </w:tc>
        <w:tc>
          <w:tcPr>
            <w:tcW w:w="2800" w:type="dxa"/>
            <w:shd w:val="clear" w:color="auto" w:fill="F0F4F8"/>
            <w:tcMar>
              <w:top w:w="60" w:type="dxa"/>
              <w:left w:w="120" w:type="dxa"/>
              <w:bottom w:w="60" w:type="dxa"/>
              <w:right w:w="120" w:type="dxa"/>
            </w:tcMar>
          </w:tcPr>
          <w:p>
            <w:r>
              <w:rPr>
                <w:rFonts w:ascii="Arial" w:cs="Arial" w:eastAsia="Arial" w:hAnsi="Arial"/>
                <w:sz w:val="18"/>
                <w:szCs w:val="18"/>
              </w:rPr>
              <w:t>AI Candidate C — 750 nm cutoff + diffuser co-additive</w:t>
            </w:r>
          </w:p>
        </w:tc>
        <w:tc>
          <w:tcPr>
            <w:tcW w:w="2200" w:type="dxa"/>
            <w:shd w:val="clear" w:color="auto" w:fill="F0F4F8"/>
            <w:tcMar>
              <w:top w:w="60" w:type="dxa"/>
              <w:left w:w="120" w:type="dxa"/>
              <w:bottom w:w="60" w:type="dxa"/>
              <w:right w:w="120" w:type="dxa"/>
            </w:tcMar>
          </w:tcPr>
          <w:p>
            <w:r>
              <w:rPr>
                <w:rFonts w:ascii="Arial" w:cs="Arial" w:eastAsia="Arial" w:hAnsi="Arial"/>
                <w:sz w:val="18"/>
                <w:szCs w:val="18"/>
              </w:rPr>
              <w:t>Same NIR profile as T3 plus light scattering to spread PAR evenly across the canopy</w:t>
            </w:r>
          </w:p>
        </w:tc>
        <w:tc>
          <w:tcPr>
            <w:tcW w:w="4600" w:type="dxa"/>
            <w:shd w:val="clear" w:color="auto" w:fill="F0F4F8"/>
            <w:tcMar>
              <w:top w:w="60" w:type="dxa"/>
              <w:left w:w="120" w:type="dxa"/>
              <w:bottom w:w="60" w:type="dxa"/>
              <w:right w:w="120" w:type="dxa"/>
            </w:tcMar>
          </w:tcPr>
          <w:p>
            <w:r>
              <w:rPr>
                <w:rFonts w:ascii="Arial" w:cs="Arial" w:eastAsia="Arial" w:hAnsi="Arial"/>
                <w:sz w:val="18"/>
                <w:szCs w:val="18"/>
              </w:rPr>
              <w:t>Does diffuse light improve lower-leaf development and water-use efficiency even at small tunnel scale?</w:t>
            </w:r>
          </w:p>
        </w:tc>
      </w:tr>
    </w:tbl>
    <w:p>
      <w:pPr>
        <w:spacing w:before="60" w:after="40"/>
      </w:pPr>
      <w:r>
        <w:rPr>
          <w:sz w:val="18"/>
        </w:rPr>
        <w:t/>
      </w:r>
    </w:p>
    <w:p>
      <w:pPr>
        <w:spacing w:before="160" w:after="60"/>
      </w:pPr>
      <w:r>
        <w:rPr>
          <w:rFonts w:ascii="Arial" w:cs="Arial" w:eastAsia="Arial" w:hAnsi="Arial"/>
          <w:b/>
          <w:bCs/>
          <w:color w:val="1E3A5F"/>
          <w:sz w:val="22"/>
          <w:szCs w:val="22"/>
        </w:rPr>
        <w:t xml:space="preserve">8.3 What to Measure — Simple Metrics, Clear Story</w:t>
      </w:r>
    </w:p>
    <w:p>
      <w:pPr>
        <w:spacing w:before="40" w:after="60"/>
      </w:pPr>
      <w:r>
        <w:rPr>
          <w:rFonts w:ascii="Arial" w:cs="Arial" w:eastAsia="Arial" w:hAnsi="Arial"/>
          <w:color w:val="222222"/>
          <w:sz w:val="20"/>
          <w:szCs w:val="20"/>
        </w:rPr>
        <w:t xml:space="preserve">Every measurement at this stage must be collectible by one person in under 30 minutes per tunnel visit using no specialized lab equipment. The six metrics below are sufficient to build the commercial claim. Nothing more is needed at this stage.</w:t>
      </w:r>
    </w:p>
    <w:tbl>
      <w:tblPr>
        <w:tblW w:w="10080" w:type="dxa"/>
        <w:tblBorders>
          <w:top w:val="single" w:color="1E3A5F" w:sz="4"/>
          <w:left w:val="single" w:color="1E3A5F" w:sz="4"/>
          <w:bottom w:val="single" w:color="1E3A5F" w:sz="4"/>
          <w:right w:val="single" w:color="1E3A5F" w:sz="4"/>
          <w:insideH w:val="single" w:color="CCCCCC" w:sz="1"/>
          <w:insideV w:val="single" w:color="1E3A5F" w:sz="4"/>
        </w:tblBorders>
      </w:tblPr>
      <w:tblGrid>
        <w:gridCol w:w="2000"/>
        <w:gridCol w:w="2400"/>
        <w:gridCol w:w="1280"/>
        <w:gridCol w:w="1200"/>
        <w:gridCol w:w="3200"/>
      </w:tblGrid>
      <w:tr>
        <w:tc>
          <w:tcPr>
            <w:tcW w:w="2000" w:type="dxa"/>
            <w:shd w:val="clear" w:color="auto" w:fill="1E3A5F"/>
            <w:tcMar>
              <w:top w:w="80" w:type="dxa"/>
              <w:left w:w="120" w:type="dxa"/>
              <w:bottom w:w="80" w:type="dxa"/>
              <w:right w:w="120" w:type="dxa"/>
            </w:tcMar>
          </w:tcPr>
          <w:p>
            <w:r>
              <w:rPr>
                <w:rFonts w:ascii="Arial" w:cs="Arial" w:eastAsia="Arial" w:hAnsi="Arial"/>
                <w:b/>
                <w:bCs/>
                <w:color w:val="FFFFFF"/>
                <w:sz w:val="18"/>
                <w:szCs w:val="18"/>
              </w:rPr>
              <w:t>Metric</w:t>
            </w:r>
          </w:p>
        </w:tc>
        <w:tc>
          <w:tcPr>
            <w:tcW w:w="2400" w:type="dxa"/>
            <w:shd w:val="clear" w:color="auto" w:fill="1E3A5F"/>
            <w:tcMar>
              <w:top w:w="80" w:type="dxa"/>
              <w:left w:w="120" w:type="dxa"/>
              <w:bottom w:w="80" w:type="dxa"/>
              <w:right w:w="120" w:type="dxa"/>
            </w:tcMar>
          </w:tcPr>
          <w:p>
            <w:r>
              <w:rPr>
                <w:rFonts w:ascii="Arial" w:cs="Arial" w:eastAsia="Arial" w:hAnsi="Arial"/>
                <w:b/>
                <w:bCs/>
                <w:color w:val="FFFFFF"/>
                <w:sz w:val="18"/>
                <w:szCs w:val="18"/>
              </w:rPr>
              <w:t>What You Measure</w:t>
            </w:r>
          </w:p>
        </w:tc>
        <w:tc>
          <w:tcPr>
            <w:tcW w:w="1280" w:type="dxa"/>
            <w:shd w:val="clear" w:color="auto" w:fill="1E3A5F"/>
            <w:tcMar>
              <w:top w:w="80" w:type="dxa"/>
              <w:left w:w="120" w:type="dxa"/>
              <w:bottom w:w="80" w:type="dxa"/>
              <w:right w:w="120" w:type="dxa"/>
            </w:tcMar>
          </w:tcPr>
          <w:p>
            <w:r>
              <w:rPr>
                <w:rFonts w:ascii="Arial" w:cs="Arial" w:eastAsia="Arial" w:hAnsi="Arial"/>
                <w:b/>
                <w:bCs/>
                <w:color w:val="FFFFFF"/>
                <w:sz w:val="18"/>
                <w:szCs w:val="18"/>
              </w:rPr>
              <w:t>Tool Needed</w:t>
            </w:r>
          </w:p>
        </w:tc>
        <w:tc>
          <w:tcPr>
            <w:tcW w:w="1200" w:type="dxa"/>
            <w:shd w:val="clear" w:color="auto" w:fill="1E3A5F"/>
            <w:tcMar>
              <w:top w:w="80" w:type="dxa"/>
              <w:left w:w="120" w:type="dxa"/>
              <w:bottom w:w="80" w:type="dxa"/>
              <w:right w:w="120" w:type="dxa"/>
            </w:tcMar>
          </w:tcPr>
          <w:p>
            <w:r>
              <w:rPr>
                <w:rFonts w:ascii="Arial" w:cs="Arial" w:eastAsia="Arial" w:hAnsi="Arial"/>
                <w:b/>
                <w:bCs/>
                <w:color w:val="FFFFFF"/>
                <w:sz w:val="18"/>
                <w:szCs w:val="18"/>
              </w:rPr>
              <w:t>Frequency</w:t>
            </w:r>
          </w:p>
        </w:tc>
        <w:tc>
          <w:tcPr>
            <w:tcW w:w="3200" w:type="dxa"/>
            <w:shd w:val="clear" w:color="auto" w:fill="1E3A5F"/>
            <w:tcMar>
              <w:top w:w="80" w:type="dxa"/>
              <w:left w:w="120" w:type="dxa"/>
              <w:bottom w:w="80" w:type="dxa"/>
              <w:right w:w="120" w:type="dxa"/>
            </w:tcMar>
          </w:tcPr>
          <w:p>
            <w:r>
              <w:rPr>
                <w:rFonts w:ascii="Arial" w:cs="Arial" w:eastAsia="Arial" w:hAnsi="Arial"/>
                <w:b/>
                <w:bCs/>
                <w:color w:val="FFFFFF"/>
                <w:sz w:val="18"/>
                <w:szCs w:val="18"/>
              </w:rPr>
              <w:t>Why It Supports the Claim</w:t>
            </w:r>
          </w:p>
        </w:tc>
      </w:tr>
      <w:tr>
        <w:tc>
          <w:tcPr>
            <w:tcW w:w="2000" w:type="dxa"/>
            <w:shd w:val="clear" w:color="auto" w:fill="EAF4F1"/>
            <w:tcMar>
              <w:top w:w="60" w:type="dxa"/>
              <w:left w:w="120" w:type="dxa"/>
              <w:bottom w:w="60" w:type="dxa"/>
              <w:right w:w="120" w:type="dxa"/>
            </w:tcMar>
          </w:tcPr>
          <w:p>
            <w:r>
              <w:rPr>
                <w:rFonts w:ascii="Arial" w:cs="Arial" w:eastAsia="Arial" w:hAnsi="Arial"/>
                <w:b/>
                <w:bCs/>
                <w:color w:val="2A7F6F"/>
                <w:sz w:val="18"/>
                <w:szCs w:val="18"/>
              </w:rPr>
              <w:t>Air temperature</w:t>
            </w:r>
          </w:p>
        </w:tc>
        <w:tc>
          <w:tcPr>
            <w:tcW w:w="2400" w:type="dxa"/>
            <w:shd w:val="clear" w:color="auto" w:fill="EAF4F1"/>
            <w:tcMar>
              <w:top w:w="60" w:type="dxa"/>
              <w:left w:w="120" w:type="dxa"/>
              <w:bottom w:w="60" w:type="dxa"/>
              <w:right w:w="120" w:type="dxa"/>
            </w:tcMar>
          </w:tcPr>
          <w:p>
            <w:r>
              <w:rPr>
                <w:rFonts w:ascii="Arial" w:cs="Arial" w:eastAsia="Arial" w:hAnsi="Arial"/>
                <w:sz w:val="18"/>
                <w:szCs w:val="18"/>
              </w:rPr>
              <w:t>°C at mid-canopy height inside each tunnel, logged every 15 min. One outdoor reference sensor.</w:t>
            </w:r>
          </w:p>
        </w:tc>
        <w:tc>
          <w:tcPr>
            <w:tcW w:w="1280" w:type="dxa"/>
            <w:shd w:val="clear" w:color="auto" w:fill="EAF4F1"/>
            <w:tcMar>
              <w:top w:w="60" w:type="dxa"/>
              <w:left w:w="120" w:type="dxa"/>
              <w:bottom w:w="60" w:type="dxa"/>
              <w:right w:w="120" w:type="dxa"/>
            </w:tcMar>
          </w:tcPr>
          <w:p>
            <w:r>
              <w:rPr>
                <w:rFonts w:ascii="Arial" w:cs="Arial" w:eastAsia="Arial" w:hAnsi="Arial"/>
                <w:sz w:val="18"/>
                <w:szCs w:val="18"/>
              </w:rPr>
              <w:t>~$20 HOBO logger per tunnel</w:t>
            </w:r>
          </w:p>
        </w:tc>
        <w:tc>
          <w:tcPr>
            <w:tcW w:w="1200" w:type="dxa"/>
            <w:shd w:val="clear" w:color="auto" w:fill="EAF4F1"/>
            <w:tcMar>
              <w:top w:w="60" w:type="dxa"/>
              <w:left w:w="120" w:type="dxa"/>
              <w:bottom w:w="60" w:type="dxa"/>
              <w:right w:w="120" w:type="dxa"/>
            </w:tcMar>
          </w:tcPr>
          <w:p>
            <w:r>
              <w:rPr>
                <w:rFonts w:ascii="Arial" w:cs="Arial" w:eastAsia="Arial" w:hAnsi="Arial"/>
                <w:sz w:val="18"/>
                <w:szCs w:val="18"/>
              </w:rPr>
              <w:t>Continuous</w:t>
            </w:r>
          </w:p>
        </w:tc>
        <w:tc>
          <w:tcPr>
            <w:tcW w:w="3200" w:type="dxa"/>
            <w:shd w:val="clear" w:color="auto" w:fill="EAF4F1"/>
            <w:tcMar>
              <w:top w:w="60" w:type="dxa"/>
              <w:left w:w="120" w:type="dxa"/>
              <w:bottom w:w="60" w:type="dxa"/>
              <w:right w:w="120" w:type="dxa"/>
            </w:tcMar>
          </w:tcPr>
          <w:p>
            <w:r>
              <w:rPr>
                <w:rFonts w:ascii="Arial" w:cs="Arial" w:eastAsia="Arial" w:hAnsi="Arial"/>
                <w:sz w:val="18"/>
                <w:szCs w:val="18"/>
              </w:rPr>
              <w:t>The first half of the headline: “reduced temperature by X°C.” Also shows how many hours per day each tunnel exceeded 95°F — the corn pollen viability threshold.</w:t>
            </w:r>
          </w:p>
        </w:tc>
      </w:tr>
      <w:tr>
        <w:tc>
          <w:tcPr>
            <w:tcW w:w="2000" w:type="dxa"/>
            <w:shd w:val="clear" w:color="auto" w:fill="FFFFFF"/>
            <w:tcMar>
              <w:top w:w="60" w:type="dxa"/>
              <w:left w:w="120" w:type="dxa"/>
              <w:bottom w:w="60" w:type="dxa"/>
              <w:right w:w="120" w:type="dxa"/>
            </w:tcMar>
          </w:tcPr>
          <w:p>
            <w:r>
              <w:rPr>
                <w:rFonts w:ascii="Arial" w:cs="Arial" w:eastAsia="Arial" w:hAnsi="Arial"/>
                <w:b/>
                <w:bCs/>
                <w:color w:val="2A7F6F"/>
                <w:sz w:val="18"/>
                <w:szCs w:val="18"/>
              </w:rPr>
              <w:t>Plant height</w:t>
            </w:r>
          </w:p>
        </w:tc>
        <w:tc>
          <w:tcPr>
            <w:tcW w:w="2400" w:type="dxa"/>
            <w:shd w:val="clear" w:color="auto" w:fill="FFFFFF"/>
            <w:tcMar>
              <w:top w:w="60" w:type="dxa"/>
              <w:left w:w="120" w:type="dxa"/>
              <w:bottom w:w="60" w:type="dxa"/>
              <w:right w:w="120" w:type="dxa"/>
            </w:tcMar>
          </w:tcPr>
          <w:p>
            <w:r>
              <w:rPr>
                <w:rFonts w:ascii="Arial" w:cs="Arial" w:eastAsia="Arial" w:hAnsi="Arial"/>
                <w:sz w:val="18"/>
                <w:szCs w:val="18"/>
              </w:rPr>
              <w:t>cm, soil to highest leaf tip, 10 tagged plants per tunnel</w:t>
            </w:r>
          </w:p>
        </w:tc>
        <w:tc>
          <w:tcPr>
            <w:tcW w:w="1280" w:type="dxa"/>
            <w:shd w:val="clear" w:color="auto" w:fill="FFFFFF"/>
            <w:tcMar>
              <w:top w:w="60" w:type="dxa"/>
              <w:left w:w="120" w:type="dxa"/>
              <w:bottom w:w="60" w:type="dxa"/>
              <w:right w:w="120" w:type="dxa"/>
            </w:tcMar>
          </w:tcPr>
          <w:p>
            <w:r>
              <w:rPr>
                <w:rFonts w:ascii="Arial" w:cs="Arial" w:eastAsia="Arial" w:hAnsi="Arial"/>
                <w:sz w:val="18"/>
                <w:szCs w:val="18"/>
              </w:rPr>
              <w:t>Tape measure</w:t>
            </w:r>
          </w:p>
        </w:tc>
        <w:tc>
          <w:tcPr>
            <w:tcW w:w="1200" w:type="dxa"/>
            <w:shd w:val="clear" w:color="auto" w:fill="FFFFFF"/>
            <w:tcMar>
              <w:top w:w="60" w:type="dxa"/>
              <w:left w:w="120" w:type="dxa"/>
              <w:bottom w:w="60" w:type="dxa"/>
              <w:right w:w="120" w:type="dxa"/>
            </w:tcMar>
          </w:tcPr>
          <w:p>
            <w:r>
              <w:rPr>
                <w:rFonts w:ascii="Arial" w:cs="Arial" w:eastAsia="Arial" w:hAnsi="Arial"/>
                <w:sz w:val="18"/>
                <w:szCs w:val="18"/>
              </w:rPr>
              <w:t>Weekly</w:t>
            </w:r>
          </w:p>
        </w:tc>
        <w:tc>
          <w:tcPr>
            <w:tcW w:w="3200" w:type="dxa"/>
            <w:shd w:val="clear" w:color="auto" w:fill="FFFFFF"/>
            <w:tcMar>
              <w:top w:w="60" w:type="dxa"/>
              <w:left w:w="120" w:type="dxa"/>
              <w:bottom w:w="60" w:type="dxa"/>
              <w:right w:w="120" w:type="dxa"/>
            </w:tcMar>
          </w:tcPr>
          <w:p>
            <w:r>
              <w:rPr>
                <w:rFonts w:ascii="Arial" w:cs="Arial" w:eastAsia="Arial" w:hAnsi="Arial"/>
                <w:sz w:val="18"/>
                <w:szCs w:val="18"/>
              </w:rPr>
              <w:t>Simplest overall growth-rate proxy. A film reducing heat stress should produce measurably taller plants by week 4. Plot weekly growth curves per tunnel — these are compelling charts for any presentation.</w:t>
            </w:r>
          </w:p>
        </w:tc>
      </w:tr>
      <w:tr>
        <w:tc>
          <w:tcPr>
            <w:tcW w:w="2000" w:type="dxa"/>
            <w:shd w:val="clear" w:color="auto" w:fill="EAF4F1"/>
            <w:tcMar>
              <w:top w:w="60" w:type="dxa"/>
              <w:left w:w="120" w:type="dxa"/>
              <w:bottom w:w="60" w:type="dxa"/>
              <w:right w:w="120" w:type="dxa"/>
            </w:tcMar>
          </w:tcPr>
          <w:p>
            <w:r>
              <w:rPr>
                <w:rFonts w:ascii="Arial" w:cs="Arial" w:eastAsia="Arial" w:hAnsi="Arial"/>
                <w:b/>
                <w:bCs/>
                <w:color w:val="2A7F6F"/>
                <w:sz w:val="18"/>
                <w:szCs w:val="18"/>
              </w:rPr>
              <w:t>Leaf count + leaf size</w:t>
            </w:r>
          </w:p>
        </w:tc>
        <w:tc>
          <w:tcPr>
            <w:tcW w:w="2400" w:type="dxa"/>
            <w:shd w:val="clear" w:color="auto" w:fill="EAF4F1"/>
            <w:tcMar>
              <w:top w:w="60" w:type="dxa"/>
              <w:left w:w="120" w:type="dxa"/>
              <w:bottom w:w="60" w:type="dxa"/>
              <w:right w:w="120" w:type="dxa"/>
            </w:tcMar>
          </w:tcPr>
          <w:p>
            <w:r>
              <w:rPr>
                <w:rFonts w:ascii="Arial" w:cs="Arial" w:eastAsia="Arial" w:hAnsi="Arial"/>
                <w:sz w:val="18"/>
                <w:szCs w:val="18"/>
              </w:rPr>
              <w:t>Number of fully expanded leaves per plant; length + width of leaf 3 (cm × cm)</w:t>
            </w:r>
          </w:p>
        </w:tc>
        <w:tc>
          <w:tcPr>
            <w:tcW w:w="1280" w:type="dxa"/>
            <w:shd w:val="clear" w:color="auto" w:fill="EAF4F1"/>
            <w:tcMar>
              <w:top w:w="60" w:type="dxa"/>
              <w:left w:w="120" w:type="dxa"/>
              <w:bottom w:w="60" w:type="dxa"/>
              <w:right w:w="120" w:type="dxa"/>
            </w:tcMar>
          </w:tcPr>
          <w:p>
            <w:r>
              <w:rPr>
                <w:rFonts w:ascii="Arial" w:cs="Arial" w:eastAsia="Arial" w:hAnsi="Arial"/>
                <w:sz w:val="18"/>
                <w:szCs w:val="18"/>
              </w:rPr>
              <w:t>Tape measure</w:t>
            </w:r>
          </w:p>
        </w:tc>
        <w:tc>
          <w:tcPr>
            <w:tcW w:w="1200" w:type="dxa"/>
            <w:shd w:val="clear" w:color="auto" w:fill="EAF4F1"/>
            <w:tcMar>
              <w:top w:w="60" w:type="dxa"/>
              <w:left w:w="120" w:type="dxa"/>
              <w:bottom w:w="60" w:type="dxa"/>
              <w:right w:w="120" w:type="dxa"/>
            </w:tcMar>
          </w:tcPr>
          <w:p>
            <w:r>
              <w:rPr>
                <w:rFonts w:ascii="Arial" w:cs="Arial" w:eastAsia="Arial" w:hAnsi="Arial"/>
                <w:sz w:val="18"/>
                <w:szCs w:val="18"/>
              </w:rPr>
              <w:t>Weekly</w:t>
            </w:r>
          </w:p>
        </w:tc>
        <w:tc>
          <w:tcPr>
            <w:tcW w:w="3200" w:type="dxa"/>
            <w:shd w:val="clear" w:color="auto" w:fill="EAF4F1"/>
            <w:tcMar>
              <w:top w:w="60" w:type="dxa"/>
              <w:left w:w="120" w:type="dxa"/>
              <w:bottom w:w="60" w:type="dxa"/>
              <w:right w:w="120" w:type="dxa"/>
            </w:tcMar>
          </w:tcPr>
          <w:p>
            <w:r>
              <w:rPr>
                <w:rFonts w:ascii="Arial" w:cs="Arial" w:eastAsia="Arial" w:hAnsi="Arial"/>
                <w:sz w:val="18"/>
                <w:szCs w:val="18"/>
              </w:rPr>
              <w:t>Leaf emergence rate tracks vegetative stage progression. Leaf area directly proxies photosynthesis capacity — larger leaves mean more light is being captured and used.</w:t>
            </w:r>
          </w:p>
        </w:tc>
      </w:tr>
      <w:tr>
        <w:tc>
          <w:tcPr>
            <w:tcW w:w="2000" w:type="dxa"/>
            <w:shd w:val="clear" w:color="auto" w:fill="FFFFFF"/>
            <w:tcMar>
              <w:top w:w="60" w:type="dxa"/>
              <w:left w:w="120" w:type="dxa"/>
              <w:bottom w:w="60" w:type="dxa"/>
              <w:right w:w="120" w:type="dxa"/>
            </w:tcMar>
          </w:tcPr>
          <w:p>
            <w:r>
              <w:rPr>
                <w:rFonts w:ascii="Arial" w:cs="Arial" w:eastAsia="Arial" w:hAnsi="Arial"/>
                <w:b/>
                <w:bCs/>
                <w:color w:val="2A7F6F"/>
                <w:sz w:val="18"/>
                <w:szCs w:val="18"/>
              </w:rPr>
              <w:t>Leaf colour</w:t>
            </w:r>
          </w:p>
        </w:tc>
        <w:tc>
          <w:tcPr>
            <w:tcW w:w="2400" w:type="dxa"/>
            <w:shd w:val="clear" w:color="auto" w:fill="FFFFFF"/>
            <w:tcMar>
              <w:top w:w="60" w:type="dxa"/>
              <w:left w:w="120" w:type="dxa"/>
              <w:bottom w:w="60" w:type="dxa"/>
              <w:right w:w="120" w:type="dxa"/>
            </w:tcMar>
          </w:tcPr>
          <w:p>
            <w:r>
              <w:rPr>
                <w:rFonts w:ascii="Arial" w:cs="Arial" w:eastAsia="Arial" w:hAnsi="Arial"/>
                <w:sz w:val="18"/>
                <w:szCs w:val="18"/>
              </w:rPr>
              <w:t>1–5 visual score (pale yellow = 1, deep green = 5) + one photo of each tagged plant per visit</w:t>
            </w:r>
          </w:p>
        </w:tc>
        <w:tc>
          <w:tcPr>
            <w:tcW w:w="1280" w:type="dxa"/>
            <w:shd w:val="clear" w:color="auto" w:fill="FFFFFF"/>
            <w:tcMar>
              <w:top w:w="60" w:type="dxa"/>
              <w:left w:w="120" w:type="dxa"/>
              <w:bottom w:w="60" w:type="dxa"/>
              <w:right w:w="120" w:type="dxa"/>
            </w:tcMar>
          </w:tcPr>
          <w:p>
            <w:r>
              <w:rPr>
                <w:rFonts w:ascii="Arial" w:cs="Arial" w:eastAsia="Arial" w:hAnsi="Arial"/>
                <w:sz w:val="18"/>
                <w:szCs w:val="18"/>
              </w:rPr>
              <w:t>Phone camera</w:t>
            </w:r>
          </w:p>
        </w:tc>
        <w:tc>
          <w:tcPr>
            <w:tcW w:w="1200" w:type="dxa"/>
            <w:shd w:val="clear" w:color="auto" w:fill="FFFFFF"/>
            <w:tcMar>
              <w:top w:w="60" w:type="dxa"/>
              <w:left w:w="120" w:type="dxa"/>
              <w:bottom w:w="60" w:type="dxa"/>
              <w:right w:w="120" w:type="dxa"/>
            </w:tcMar>
          </w:tcPr>
          <w:p>
            <w:r>
              <w:rPr>
                <w:rFonts w:ascii="Arial" w:cs="Arial" w:eastAsia="Arial" w:hAnsi="Arial"/>
                <w:sz w:val="18"/>
                <w:szCs w:val="18"/>
              </w:rPr>
              <w:t>Weekly</w:t>
            </w:r>
          </w:p>
        </w:tc>
        <w:tc>
          <w:tcPr>
            <w:tcW w:w="3200" w:type="dxa"/>
            <w:shd w:val="clear" w:color="auto" w:fill="FFFFFF"/>
            <w:tcMar>
              <w:top w:w="60" w:type="dxa"/>
              <w:left w:w="120" w:type="dxa"/>
              <w:bottom w:w="60" w:type="dxa"/>
              <w:right w:w="120" w:type="dxa"/>
            </w:tcMar>
          </w:tcPr>
          <w:p>
            <w:r>
              <w:rPr>
                <w:rFonts w:ascii="Arial" w:cs="Arial" w:eastAsia="Arial" w:hAnsi="Arial"/>
                <w:sz w:val="18"/>
                <w:szCs w:val="18"/>
              </w:rPr>
              <w:t>Chlorophyll degradation is one of the first visible heat-stress symptoms. Paler leaves in the control tunnel vs. greener leaves in the film tunnels is immediately convincing to any audience — no explanation needed.</w:t>
            </w:r>
          </w:p>
        </w:tc>
      </w:tr>
      <w:tr>
        <w:tc>
          <w:tcPr>
            <w:tcW w:w="2000" w:type="dxa"/>
            <w:shd w:val="clear" w:color="auto" w:fill="EAF4F1"/>
            <w:tcMar>
              <w:top w:w="60" w:type="dxa"/>
              <w:left w:w="120" w:type="dxa"/>
              <w:bottom w:w="60" w:type="dxa"/>
              <w:right w:w="120" w:type="dxa"/>
            </w:tcMar>
          </w:tcPr>
          <w:p>
            <w:r>
              <w:rPr>
                <w:rFonts w:ascii="Arial" w:cs="Arial" w:eastAsia="Arial" w:hAnsi="Arial"/>
                <w:b/>
                <w:bCs/>
                <w:color w:val="2A7F6F"/>
                <w:sz w:val="18"/>
                <w:szCs w:val="18"/>
              </w:rPr>
              <w:t>Soil water retention</w:t>
            </w:r>
          </w:p>
        </w:tc>
        <w:tc>
          <w:tcPr>
            <w:tcW w:w="2400" w:type="dxa"/>
            <w:shd w:val="clear" w:color="auto" w:fill="EAF4F1"/>
            <w:tcMar>
              <w:top w:w="60" w:type="dxa"/>
              <w:left w:w="120" w:type="dxa"/>
              <w:bottom w:w="60" w:type="dxa"/>
              <w:right w:w="120" w:type="dxa"/>
            </w:tcMar>
          </w:tcPr>
          <w:p>
            <w:r>
              <w:rPr>
                <w:rFonts w:ascii="Arial" w:cs="Arial" w:eastAsia="Arial" w:hAnsi="Arial"/>
                <w:sz w:val="18"/>
                <w:szCs w:val="18"/>
              </w:rPr>
              <w:t>Volumetric water content (%) via capacitive probe, same depth all tunnels. Same water input to all.</w:t>
            </w:r>
          </w:p>
        </w:tc>
        <w:tc>
          <w:tcPr>
            <w:tcW w:w="1280" w:type="dxa"/>
            <w:shd w:val="clear" w:color="auto" w:fill="EAF4F1"/>
            <w:tcMar>
              <w:top w:w="60" w:type="dxa"/>
              <w:left w:w="120" w:type="dxa"/>
              <w:bottom w:w="60" w:type="dxa"/>
              <w:right w:w="120" w:type="dxa"/>
            </w:tcMar>
          </w:tcPr>
          <w:p>
            <w:r>
              <w:rPr>
                <w:rFonts w:ascii="Arial" w:cs="Arial" w:eastAsia="Arial" w:hAnsi="Arial"/>
                <w:sz w:val="18"/>
                <w:szCs w:val="18"/>
              </w:rPr>
              <w:t>~$15 soil probe</w:t>
            </w:r>
          </w:p>
        </w:tc>
        <w:tc>
          <w:tcPr>
            <w:tcW w:w="1200" w:type="dxa"/>
            <w:shd w:val="clear" w:color="auto" w:fill="EAF4F1"/>
            <w:tcMar>
              <w:top w:w="60" w:type="dxa"/>
              <w:left w:w="120" w:type="dxa"/>
              <w:bottom w:w="60" w:type="dxa"/>
              <w:right w:w="120" w:type="dxa"/>
            </w:tcMar>
          </w:tcPr>
          <w:p>
            <w:r>
              <w:rPr>
                <w:rFonts w:ascii="Arial" w:cs="Arial" w:eastAsia="Arial" w:hAnsi="Arial"/>
                <w:sz w:val="18"/>
                <w:szCs w:val="18"/>
              </w:rPr>
              <w:t>Daily</w:t>
            </w:r>
          </w:p>
        </w:tc>
        <w:tc>
          <w:tcPr>
            <w:tcW w:w="3200" w:type="dxa"/>
            <w:shd w:val="clear" w:color="auto" w:fill="EAF4F1"/>
            <w:tcMar>
              <w:top w:w="60" w:type="dxa"/>
              <w:left w:w="120" w:type="dxa"/>
              <w:bottom w:w="60" w:type="dxa"/>
              <w:right w:w="120" w:type="dxa"/>
            </w:tcMar>
          </w:tcPr>
          <w:p>
            <w:r>
              <w:rPr>
                <w:rFonts w:ascii="Arial" w:cs="Arial" w:eastAsia="Arial" w:hAnsi="Arial"/>
                <w:sz w:val="18"/>
                <w:szCs w:val="18"/>
              </w:rPr>
              <w:t>Cooler tunnels lose less moisture to evaporation. Higher soil water content under the film = less irrigation needed. This is a standalone commercial claim, especially relevant in drought-prone Texas.</w:t>
            </w:r>
          </w:p>
        </w:tc>
      </w:tr>
      <w:tr>
        <w:tc>
          <w:tcPr>
            <w:tcW w:w="2000" w:type="dxa"/>
            <w:shd w:val="clear" w:color="auto" w:fill="FFFFFF"/>
            <w:tcMar>
              <w:top w:w="60" w:type="dxa"/>
              <w:left w:w="120" w:type="dxa"/>
              <w:bottom w:w="60" w:type="dxa"/>
              <w:right w:w="120" w:type="dxa"/>
            </w:tcMar>
          </w:tcPr>
          <w:p>
            <w:r>
              <w:rPr>
                <w:rFonts w:ascii="Arial" w:cs="Arial" w:eastAsia="Arial" w:hAnsi="Arial"/>
                <w:b/>
                <w:bCs/>
                <w:color w:val="2A7F6F"/>
                <w:sz w:val="18"/>
                <w:szCs w:val="18"/>
              </w:rPr>
              <w:t>Total biomass at harvest</w:t>
            </w:r>
          </w:p>
        </w:tc>
        <w:tc>
          <w:tcPr>
            <w:tcW w:w="2400" w:type="dxa"/>
            <w:shd w:val="clear" w:color="auto" w:fill="FFFFFF"/>
            <w:tcMar>
              <w:top w:w="60" w:type="dxa"/>
              <w:left w:w="120" w:type="dxa"/>
              <w:bottom w:w="60" w:type="dxa"/>
              <w:right w:w="120" w:type="dxa"/>
            </w:tcMar>
          </w:tcPr>
          <w:p>
            <w:r>
              <w:rPr>
                <w:rFonts w:ascii="Arial" w:cs="Arial" w:eastAsia="Arial" w:hAnsi="Arial"/>
                <w:sz w:val="18"/>
                <w:szCs w:val="18"/>
              </w:rPr>
              <w:t>Total above-ground fresh weight per plant (g) on harvest day. All 10 tagged plants per tunnel.</w:t>
            </w:r>
          </w:p>
        </w:tc>
        <w:tc>
          <w:tcPr>
            <w:tcW w:w="1280" w:type="dxa"/>
            <w:shd w:val="clear" w:color="auto" w:fill="FFFFFF"/>
            <w:tcMar>
              <w:top w:w="60" w:type="dxa"/>
              <w:left w:w="120" w:type="dxa"/>
              <w:bottom w:w="60" w:type="dxa"/>
              <w:right w:w="120" w:type="dxa"/>
            </w:tcMar>
          </w:tcPr>
          <w:p>
            <w:r>
              <w:rPr>
                <w:rFonts w:ascii="Arial" w:cs="Arial" w:eastAsia="Arial" w:hAnsi="Arial"/>
                <w:sz w:val="18"/>
                <w:szCs w:val="18"/>
              </w:rPr>
              <w:t>Kitchen scale (1 g precision)</w:t>
            </w:r>
          </w:p>
        </w:tc>
        <w:tc>
          <w:tcPr>
            <w:tcW w:w="1200" w:type="dxa"/>
            <w:shd w:val="clear" w:color="auto" w:fill="FFFFFF"/>
            <w:tcMar>
              <w:top w:w="60" w:type="dxa"/>
              <w:left w:w="120" w:type="dxa"/>
              <w:bottom w:w="60" w:type="dxa"/>
              <w:right w:w="120" w:type="dxa"/>
            </w:tcMar>
          </w:tcPr>
          <w:p>
            <w:r>
              <w:rPr>
                <w:rFonts w:ascii="Arial" w:cs="Arial" w:eastAsia="Arial" w:hAnsi="Arial"/>
                <w:sz w:val="18"/>
                <w:szCs w:val="18"/>
              </w:rPr>
              <w:t>Harvest day</w:t>
            </w:r>
          </w:p>
        </w:tc>
        <w:tc>
          <w:tcPr>
            <w:tcW w:w="3200" w:type="dxa"/>
            <w:shd w:val="clear" w:color="auto" w:fill="FFFFFF"/>
            <w:tcMar>
              <w:top w:w="60" w:type="dxa"/>
              <w:left w:w="120" w:type="dxa"/>
              <w:bottom w:w="60" w:type="dxa"/>
              <w:right w:w="120" w:type="dxa"/>
            </w:tcMar>
          </w:tcPr>
          <w:p>
            <w:r>
              <w:rPr>
                <w:rFonts w:ascii="Arial" w:cs="Arial" w:eastAsia="Arial" w:hAnsi="Arial"/>
                <w:sz w:val="18"/>
                <w:szCs w:val="18"/>
              </w:rPr>
              <w:t>The final number. This fills in the Y% in “Y% more yield.” A kitchen scale is sufficient. No lab required.</w:t>
            </w:r>
          </w:p>
        </w:tc>
      </w:tr>
    </w:tbl>
    <w:p>
      <w:pPr>
        <w:spacing w:before="60" w:after="40"/>
      </w:pPr>
      <w:r>
        <w:rPr>
          <w:sz w:val="18"/>
        </w:rPr>
        <w:t/>
      </w:r>
    </w:p>
    <w:p>
      <w:pPr>
        <w:spacing w:before="160" w:after="60"/>
      </w:pPr>
      <w:r>
        <w:rPr>
          <w:rFonts w:ascii="Arial" w:cs="Arial" w:eastAsia="Arial" w:hAnsi="Arial"/>
          <w:b/>
          <w:bCs/>
          <w:color w:val="1E3A5F"/>
          <w:sz w:val="22"/>
          <w:szCs w:val="22"/>
        </w:rPr>
        <w:t xml:space="preserve">8.4 The One Rule: Keep Everything Else the Same</w:t>
      </w:r>
    </w:p>
    <w:p>
      <w:pPr>
        <w:spacing w:before="40" w:after="40"/>
      </w:pPr>
      <w:r>
        <w:rPr>
          <w:rFonts w:ascii="Arial" w:cs="Arial" w:eastAsia="Arial" w:hAnsi="Arial"/>
          <w:color w:val="222222"/>
          <w:sz w:val="20"/>
          <w:szCs w:val="20"/>
        </w:rPr>
        <w:t xml:space="preserve">The film is the only variable. Same seed lot (randomly assigned), same grow bags filled from a single mixed batch, same water volume from a shared drip line on a timer, same planting depth, no active cooling or shade in any tunnel. The most common failure in small-scale trials is not bad materials — it is a subtle difference in watering or planting that accidentally explains the result. The horticulturalist’s primary job is preventing that.</w:t>
      </w:r>
    </w:p>
    <w:p>
      <w:pPr>
        <w:spacing w:before="160" w:after="60"/>
      </w:pPr>
      <w:r>
        <w:rPr>
          <w:rFonts w:ascii="Arial" w:cs="Arial" w:eastAsia="Arial" w:hAnsi="Arial"/>
          <w:b/>
          <w:bCs/>
          <w:color w:val="1E3A5F"/>
          <w:sz w:val="22"/>
          <w:szCs w:val="22"/>
        </w:rPr>
        <w:t xml:space="preserve">8.5 The Headline This Experiment Produces</w:t>
      </w:r>
    </w:p>
    <w:p>
      <w:pPr>
        <w:spacing w:before="40" w:after="40"/>
      </w:pPr>
      <w:r>
        <w:rPr>
          <w:rFonts w:ascii="Arial" w:cs="Arial" w:eastAsia="Arial" w:hAnsi="Arial"/>
          <w:color w:val="222222"/>
          <w:sz w:val="20"/>
          <w:szCs w:val="20"/>
        </w:rPr>
        <w:t xml:space="preserve">The experiment is engineered to produce one clear, investor-ready statement. After one summer run, that statement has this form:</w:t>
      </w:r>
    </w:p>
    <w:tbl>
      <w:tblPr>
        <w:tblW w:w="10080" w:type="dxa"/>
        <w:tblBorders>
          <w:top w:val="single" w:color="2A7F6F" w:sz="8"/>
          <w:left w:val="single" w:color="2A7F6F" w:sz="8"/>
          <w:bottom w:val="single" w:color="2A7F6F" w:sz="8"/>
          <w:right w:val="single" w:color="2A7F6F" w:sz="8"/>
          <w:insideH w:val="none"/>
          <w:insideV w:val="none"/>
        </w:tblBorders>
      </w:tblPr>
      <w:tblGrid>
        <w:gridCol w:w="10080"/>
      </w:tblGrid>
      <w:tr>
        <w:tc>
          <w:tcPr>
            <w:tcW w:w="10080" w:type="dxa"/>
            <w:shd w:val="clear" w:color="auto" w:fill="EAF4F1"/>
            <w:tcMar>
              <w:top w:w="200" w:type="dxa"/>
              <w:left w:w="280" w:type="dxa"/>
              <w:bottom w:w="200" w:type="dxa"/>
              <w:right w:w="280" w:type="dxa"/>
            </w:tcMar>
          </w:tcPr>
          <w:p>
            <w:pPr>
              <w:jc w:val="center"/>
              <w:spacing w:before="40" w:after="60"/>
            </w:pPr>
            <w:r>
              <w:rPr>
                <w:rFonts w:ascii="Arial" w:cs="Arial" w:eastAsia="Arial" w:hAnsi="Arial"/>
                <w:b/>
                <w:bCs/>
                <w:color w:val="1E3A5F"/>
                <w:sz w:val="22"/>
                <w:szCs w:val="22"/>
              </w:rPr>
              <w:t xml:space="preserve">“Our coating reduced internal greenhouse temperature by [X]°C during Texas peak summer heat — without any active cooling — and the plants inside grew [Y]% taller, produced [Z]% more leaves, retained [W]% more soil moisture, and yielded [V]% more biomass at harvest compared to standard film under identical conditions.”</w:t>
            </w:r>
          </w:p>
          <w:p>
            <w:pPr>
              <w:jc w:val="center"/>
              <w:spacing w:before="0" w:after="60"/>
            </w:pPr>
            <w:r>
              <w:rPr>
                <w:rFonts w:ascii="Arial" w:cs="Arial" w:eastAsia="Arial" w:hAnsi="Arial"/>
                <w:color w:val="2A7F6F"/>
                <w:sz w:val="17"/>
                <w:szCs w:val="17"/>
              </w:rPr>
              <w:t xml:space="preserve">X, Y, Z, W and V are filled in from the actual data. The structure is fixed now. Its credibility comes from a controlled setup, a named Texas location, a specific crop, weekly documented measurements, and a kitchen scale on harvest day.</w:t>
            </w:r>
          </w:p>
        </w:tc>
      </w:tr>
    </w:tbl>
    <w:p>
      <w:pPr>
        <w:spacing w:before="60" w:after="40"/>
      </w:pPr>
      <w:r>
        <w:rPr>
          <w:sz w:val="18"/>
        </w:rPr>
        <w:t/>
      </w:r>
    </w:p>
    <w:p>
      <w:pPr>
        <w:spacing w:before="160" w:after="60"/>
      </w:pPr>
      <w:r>
        <w:rPr>
          <w:rFonts w:ascii="Arial" w:cs="Arial" w:eastAsia="Arial" w:hAnsi="Arial"/>
          <w:b/>
          <w:bCs/>
          <w:color w:val="1E3A5F"/>
          <w:sz w:val="22"/>
          <w:szCs w:val="22"/>
        </w:rPr>
        <w:t xml:space="preserve">8.6 The Iteration Loop — Materials and Tunnels Talking to Each Other</w:t>
      </w:r>
    </w:p>
    <w:p>
      <w:pPr>
        <w:spacing w:before="40" w:after="60"/>
      </w:pPr>
      <w:r>
        <w:rPr>
          <w:rFonts w:ascii="Arial" w:cs="Arial" w:eastAsia="Arial" w:hAnsi="Arial"/>
          <w:color w:val="222222"/>
          <w:sz w:val="20"/>
          <w:szCs w:val="20"/>
        </w:rPr>
        <w:t xml:space="preserve">Corn takes 70–80 days from seed to harvest. Texas allows growing year-round. That gives the materials team three to four full feedback cycles per year — faster iteration than any optical bench proxy can provide, because the feedback is actual plant performance rather than a modeled approximation. Each cycle the AI discovery pipeline proposes a new composition, the chemist coats a tunnel, the horticulturalist records what happens, and the harvest data flows back into the next Bayesian optimization step. Over 12–18 months this loop produces a winning formulation and a documented dataset of temperature profiles, growth curves, and water-use figures for every candidate tested. That dataset is the proof that converts the headline claim from a startup pitch into a defensible product.</w:t>
      </w:r>
    </w:p>
    <w:tbl>
      <w:tblPr>
        <w:tblW w:w="10080" w:type="dxa"/>
        <w:tblBorders>
          <w:top w:val="none"/>
          <w:left w:val="none"/>
          <w:bottom w:val="none"/>
          <w:right w:val="none"/>
          <w:insideH w:val="none"/>
          <w:insideV w:val="none"/>
        </w:tblBorders>
      </w:tblPr>
      <w:tblGrid>
        <w:gridCol w:w="2200"/>
        <w:gridCol w:w="360"/>
        <w:gridCol w:w="2200"/>
        <w:gridCol w:w="360"/>
        <w:gridCol w:w="2200"/>
        <w:gridCol w:w="360"/>
        <w:gridCol w:w="2200"/>
        <w:gridCol w:w="200"/>
      </w:tblGrid>
      <w:tr>
        <w:tc>
          <w:tcPr>
            <w:tcW w:w="2200" w:type="dxa"/>
            <w:shd w:val="clear" w:color="auto" w:fill="1E3A5F"/>
            <w:tcMar>
              <w:top w:w="140" w:type="dxa"/>
              <w:left w:w="140" w:type="dxa"/>
              <w:bottom w:w="140" w:type="dxa"/>
              <w:right w:w="140" w:type="dxa"/>
            </w:tcMar>
          </w:tcPr>
          <w:p>
            <w:pPr>
              <w:jc w:val="center"/>
            </w:pPr>
            <w:r>
              <w:rPr>
                <w:rFonts w:ascii="Arial" w:cs="Arial" w:eastAsia="Arial" w:hAnsi="Arial"/>
                <w:b/>
                <w:bCs/>
                <w:color w:val="FFFFFF"/>
                <w:sz w:val="18"/>
                <w:szCs w:val="18"/>
              </w:rPr>
              <w:t>1. AI proposes</w:t>
            </w:r>
            <w:br/>
            <w:r>
              <w:rPr>
                <w:rFonts w:ascii="Arial" w:cs="Arial" w:eastAsia="Arial" w:hAnsi="Arial"/>
                <w:color w:val="D0EBE5"/>
                <w:sz w:val="16"/>
                <w:szCs w:val="16"/>
              </w:rPr>
              <w:t>new composition from Bayesian loop</w:t>
            </w:r>
          </w:p>
        </w:tc>
        <w:tc>
          <w:tcPr>
            <w:tcW w:w="360" w:type="dxa"/>
            <w:shd w:val="clear" w:color="auto" w:fill="FFFFFF"/>
            <w:tcMar>
              <w:top w:w="120" w:type="dxa"/>
              <w:left w:w="0" w:type="dxa"/>
              <w:bottom w:w="120" w:type="dxa"/>
              <w:right w:w="0" w:type="dxa"/>
            </w:tcMar>
          </w:tcPr>
          <w:p>
            <w:pPr>
              <w:jc w:val="center"/>
            </w:pPr>
            <w:r>
              <w:rPr>
                <w:rFonts w:ascii="Arial" w:cs="Arial" w:eastAsia="Arial" w:hAnsi="Arial"/>
                <w:b/>
                <w:bCs/>
                <w:color w:val="2A7F6F"/>
                <w:sz w:val="26"/>
                <w:szCs w:val="26"/>
              </w:rPr>
              <w:t>→</w:t>
            </w:r>
          </w:p>
        </w:tc>
        <w:tc>
          <w:tcPr>
            <w:tcW w:w="2200" w:type="dxa"/>
            <w:shd w:val="clear" w:color="auto" w:fill="2A7F6F"/>
            <w:tcMar>
              <w:top w:w="140" w:type="dxa"/>
              <w:left w:w="140" w:type="dxa"/>
              <w:bottom w:w="140" w:type="dxa"/>
              <w:right w:w="140" w:type="dxa"/>
            </w:tcMar>
          </w:tcPr>
          <w:p>
            <w:pPr>
              <w:jc w:val="center"/>
            </w:pPr>
            <w:r>
              <w:rPr>
                <w:rFonts w:ascii="Arial" w:cs="Arial" w:eastAsia="Arial" w:hAnsi="Arial"/>
                <w:b/>
                <w:bCs/>
                <w:color w:val="FFFFFF"/>
                <w:sz w:val="18"/>
                <w:szCs w:val="18"/>
              </w:rPr>
              <w:t>2. Chemist coats</w:t>
            </w:r>
            <w:br/>
            <w:r>
              <w:rPr>
                <w:rFonts w:ascii="Arial" w:cs="Arial" w:eastAsia="Arial" w:hAnsi="Arial"/>
                <w:color w:val="D0EBE5"/>
                <w:sz w:val="16"/>
                <w:szCs w:val="16"/>
              </w:rPr>
              <w:t>film; optical spec verified on bench</w:t>
            </w:r>
          </w:p>
        </w:tc>
        <w:tc>
          <w:tcPr>
            <w:tcW w:w="360" w:type="dxa"/>
            <w:shd w:val="clear" w:color="auto" w:fill="FFFFFF"/>
            <w:tcMar>
              <w:top w:w="120" w:type="dxa"/>
              <w:left w:w="0" w:type="dxa"/>
              <w:bottom w:w="120" w:type="dxa"/>
              <w:right w:w="0" w:type="dxa"/>
            </w:tcMar>
          </w:tcPr>
          <w:p>
            <w:pPr>
              <w:jc w:val="center"/>
            </w:pPr>
            <w:r>
              <w:rPr>
                <w:rFonts w:ascii="Arial" w:cs="Arial" w:eastAsia="Arial" w:hAnsi="Arial"/>
                <w:b/>
                <w:bCs/>
                <w:color w:val="2A7F6F"/>
                <w:sz w:val="26"/>
                <w:szCs w:val="26"/>
              </w:rPr>
              <w:t>→</w:t>
            </w:r>
          </w:p>
        </w:tc>
        <w:tc>
          <w:tcPr>
            <w:tcW w:w="2200" w:type="dxa"/>
            <w:shd w:val="clear" w:color="auto" w:fill="1E3A5F"/>
            <w:tcMar>
              <w:top w:w="140" w:type="dxa"/>
              <w:left w:w="140" w:type="dxa"/>
              <w:bottom w:w="140" w:type="dxa"/>
              <w:right w:w="140" w:type="dxa"/>
            </w:tcMar>
          </w:tcPr>
          <w:p>
            <w:pPr>
              <w:jc w:val="center"/>
            </w:pPr>
            <w:r>
              <w:rPr>
                <w:rFonts w:ascii="Arial" w:cs="Arial" w:eastAsia="Arial" w:hAnsi="Arial"/>
                <w:b/>
                <w:bCs/>
                <w:color w:val="FFFFFF"/>
                <w:sz w:val="18"/>
                <w:szCs w:val="18"/>
              </w:rPr>
              <w:t>3. Grow cycle</w:t>
            </w:r>
            <w:br/>
            <w:r>
              <w:rPr>
                <w:rFonts w:ascii="Arial" w:cs="Arial" w:eastAsia="Arial" w:hAnsi="Arial"/>
                <w:color w:val="D0EBE5"/>
                <w:sz w:val="16"/>
                <w:szCs w:val="16"/>
              </w:rPr>
              <w:t>height, leaves, temp, water, colour recorded weekly</w:t>
            </w:r>
          </w:p>
        </w:tc>
        <w:tc>
          <w:tcPr>
            <w:tcW w:w="360" w:type="dxa"/>
            <w:shd w:val="clear" w:color="auto" w:fill="FFFFFF"/>
            <w:tcMar>
              <w:top w:w="120" w:type="dxa"/>
              <w:left w:w="0" w:type="dxa"/>
              <w:bottom w:w="120" w:type="dxa"/>
              <w:right w:w="0" w:type="dxa"/>
            </w:tcMar>
          </w:tcPr>
          <w:p>
            <w:pPr>
              <w:jc w:val="center"/>
            </w:pPr>
            <w:r>
              <w:rPr>
                <w:rFonts w:ascii="Arial" w:cs="Arial" w:eastAsia="Arial" w:hAnsi="Arial"/>
                <w:b/>
                <w:bCs/>
                <w:color w:val="2A7F6F"/>
                <w:sz w:val="26"/>
                <w:szCs w:val="26"/>
              </w:rPr>
              <w:t>→</w:t>
            </w:r>
          </w:p>
        </w:tc>
        <w:tc>
          <w:tcPr>
            <w:tcW w:w="2200" w:type="dxa"/>
            <w:shd w:val="clear" w:color="auto" w:fill="2A7F6F"/>
            <w:tcMar>
              <w:top w:w="140" w:type="dxa"/>
              <w:left w:w="140" w:type="dxa"/>
              <w:bottom w:w="140" w:type="dxa"/>
              <w:right w:w="140" w:type="dxa"/>
            </w:tcMar>
          </w:tcPr>
          <w:p>
            <w:pPr>
              <w:jc w:val="center"/>
            </w:pPr>
            <w:r>
              <w:rPr>
                <w:rFonts w:ascii="Arial" w:cs="Arial" w:eastAsia="Arial" w:hAnsi="Arial"/>
                <w:b/>
                <w:bCs/>
                <w:color w:val="FFFFFF"/>
                <w:sz w:val="18"/>
                <w:szCs w:val="18"/>
              </w:rPr>
              <w:t>4. Harvest data</w:t>
            </w:r>
            <w:br/>
            <w:r>
              <w:rPr>
                <w:rFonts w:ascii="Arial" w:cs="Arial" w:eastAsia="Arial" w:hAnsi="Arial"/>
                <w:color w:val="D0EBE5"/>
                <w:sz w:val="16"/>
                <w:szCs w:val="16"/>
              </w:rPr>
              <w:t>feeds back into AI loop; best composition selected or improved</w:t>
            </w:r>
          </w:p>
        </w:tc>
        <w:tc>
          <w:tcPr>
            <w:tcW w:w="200" w:type="dxa"/>
            <w:shd w:val="clear" w:color="auto" w:fill="FFFFFF"/>
            <w:tcMar>
              <w:top w:w="100" w:type="dxa"/>
              <w:left w:w="0" w:type="dxa"/>
              <w:bottom w:w="100" w:type="dxa"/>
              <w:right w:w="0" w:type="dxa"/>
            </w:tcMar>
          </w:tcPr>
          <w:p>
            <w:pPr>
              <w:jc w:val="center"/>
            </w:pPr>
            <w:r>
              <w:rPr>
                <w:rFonts w:ascii="Arial" w:cs="Arial" w:eastAsia="Arial" w:hAnsi="Arial"/>
                <w:b/>
                <w:bCs/>
                <w:color w:val="2A7F6F"/>
                <w:sz w:val="22"/>
                <w:szCs w:val="22"/>
              </w:rPr>
              <w:t>↺</w:t>
            </w:r>
          </w:p>
        </w:tc>
      </w:tr>
    </w:tbl>
    <w:p>
      <w:pPr>
        <w:spacing w:before="80" w:after="40"/>
      </w:pPr>
      <w:r>
        <w:rPr>
          <w:sz w:val="18"/>
        </w:rPr>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A7F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2026-02-25T04:36:18.213Z</dcterms:created>
  <dcterms:modified xsi:type="dcterms:W3CDTF">2026-02-25T04:36:18.215Z</dcterms:modified>
</cp:coreProperties>
</file>

<file path=docProps/custom.xml><?xml version="1.0" encoding="utf-8"?>
<Properties xmlns="http://schemas.openxmlformats.org/officeDocument/2006/custom-properties" xmlns:vt="http://schemas.openxmlformats.org/officeDocument/2006/docPropsVTypes"/>
</file>