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Diseño y validación de una estrategia de recuperación híbrida jerárquica basada en PageIndex y Hybrid Tree Search para un sistema RAG de apoyo al aprendizaje de programación competitiva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Diego Pacori-Anccasi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vertAlign w:val="superscript"/>
          <w:rtl w:val="0"/>
        </w:rPr>
        <w:t xml:space="preserve">0009-0000-8571-7585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Universidad Nacional de San Agustín de Arequipa, Arequipa, Perú</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urier" w:cs="Courier" w:eastAsia="Courier" w:hAnsi="Courier"/>
          <w:sz w:val="18"/>
          <w:szCs w:val="18"/>
          <w:rtl w:val="0"/>
        </w:rPr>
        <w:t xml:space="preserve">{dpacoria}@unsa.edu.pe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sz w:val="18"/>
          <w:szCs w:val="18"/>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Abstract. </w:t>
      </w:r>
      <w:r>
        <w:rPr>
          <w:sz w:val="18"/>
          <w:szCs w:val="18"/>
          <w:rtl w:val="0"/>
        </w:rPr>
        <w:t>El aprendizaje autodirigido de programación competitiva presenta dificultades para estudiantes principiantes, debido a la dispersión de recursos, la complejidad de los enunciados y la necesidad de relacionar restricciones, técnicas algorítmicas y editoriales. Este artículo presenta el desarrollo y una evaluación preliminar de un sistema basado en RAG, PageIndex y Hybrid Tree Search. Cada problema se organiza en nodos semánticos para recuperar contexto antes de responder. Se comparó un baseline vectorial sobre Page Nodes con PageIndex Chunks mediante 40 consultas aplicadas a 40 de los 80 problemas de Codeforces del corpus. Page Nodes obtuvo 0.86 en Faithfulness y 0.86 en Answer Relevancy; PageIndex Chunks alcanzó 0.83 y 0.86, respectivamente. Ambas representaciones produjeron respuestas pertinentes, pero la muestra no evidencia una ventaja del modo jerárquico. Como GPT-4o-mini generó y juzgó las respuestas, y no hubo validación externa con estudiantes o entrenadores, los resultados se interpretan como evidencia técnica preliminar y no como una medición de eficacia educativa.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Retrieval-Augmented Generation, PageIndex, Hybrid Tree Search, competitive programming, semantic retrieval, educational technology, large language models.</w:t>
      </w:r>
      <w:r w:rsidDel="00000000" w:rsidR="00000000" w:rsidRPr="00000000">
        <w:rPr>
          <w:rtl w:val="0"/>
        </w:rPr>
      </w:r>
    </w:p>
    <w:p w:rsidR="00000000" w:rsidDel="00000000" w:rsidP="00000000" w:rsidRDefault="00000000" w:rsidRPr="00000000" w14:paraId="0000000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07">
      <w:pPr>
        <w:spacing w:after="240" w:before="240" w:lineRule="auto"/>
        <w:ind w:firstLine="0"/>
        <w:rPr/>
      </w:pPr>
      <w:r w:rsidDel="00000000" w:rsidR="00000000" w:rsidRPr="00000000">
        <w:rPr>
          <w:rtl w:val="0"/>
        </w:rPr>
        <w:t xml:space="preserve">El camino inicial hacia la programación competitiva no suele ser tan fácil y muchas veces se presentan diferentes tipos de complicaciones al tratar de resolver un problema algorítmico. La dificultad no solo aparece al escribir código o recordar la sintaxis de un lenguaje, sino también al momento de entender qué es lo que pide el problema, las restricciones y la estrategia que estamos construyendo en base al tiempo y la memoria. Comparándolo con ejercicios básicos de programación, los problemas competitivos suelen tener enunciados más largos, muchos caminos posibles de solución y una fuerte dependencia del análisis de complejidad. Por esa razón, un estudiante sin experiencia puede quedarse bloqueado no porque desconozca el lenguaje, sino porque no logra identificar la técnica adecuada, interpretar una editorial o relacionar las restricciones con un algoritmo eficiente [1].</w:t>
      </w:r>
    </w:p>
    <w:p w:rsidR="00000000" w:rsidDel="00000000" w:rsidP="00000000" w:rsidRDefault="00000000" w:rsidRPr="00000000" w14:paraId="00000008">
      <w:pPr>
        <w:spacing w:after="240" w:before="240" w:lineRule="auto"/>
        <w:ind w:firstLine="0"/>
        <w:rPr/>
      </w:pPr>
      <w:r w:rsidDel="00000000" w:rsidR="00000000" w:rsidRPr="00000000">
        <w:rPr>
          <w:rtl w:val="0"/>
        </w:rPr>
        <w:t xml:space="preserve">La programación competitiva se ha vuelto un pilar importante para mejorar la habilidad de pensamiento computacional y resolución de problemas. Plataformas como Codeforces y AtCoder permiten practicar con problemas organizados por dificultad, etiquetas algorítmicas y concursos periódicos. Además, el uso de jueces virtuales hace que el estudiante pueda recibir la retroalimentación suficiente para poder seguir pensando en un posible error sin necesidad de saber exactamente en qué está fallando, lo que mejora el proceso de práctica, error y mejora constante. Conforme a esto, la programación competitiva no solo funciona como una actividad de competencia, sino también como un entorno de entrenamiento sistemático para estudiantes de ingeniería de sistemas y ciencias de la computación [2].</w:t>
      </w:r>
    </w:p>
    <w:p w:rsidR="00000000" w:rsidDel="00000000" w:rsidP="00000000" w:rsidRDefault="00000000" w:rsidRPr="00000000" w14:paraId="00000009">
      <w:pPr>
        <w:spacing w:after="240" w:before="240" w:lineRule="auto"/>
        <w:ind w:firstLine="0"/>
        <w:rPr/>
      </w:pPr>
      <w:r w:rsidDel="00000000" w:rsidR="00000000" w:rsidRPr="00000000">
        <w:rPr>
          <w:rtl w:val="0"/>
        </w:rPr>
        <w:t xml:space="preserve">Con todo ello, el aprendizaje en este tipo de plataformas no siempre es el mejor para cada estudiante (estudiantes con experiencia en concursos de matemáticas, estudiantes con memoria extraordinaria para estructuras de datos, estudiantes con ambas habilidades pero poco desarrollada). En muchos casos, el estudiante debe seguir editoriales, tutoriales, blogs, videos, soluciones de otros usuarios o discusiones en foros como el de Codeforces. Aunque estos recursos son buenos, se encuentran dispersos por el internet y no siempre están al mismo nivel del estudiante y el problema no es que falten ejercicios o información, sino que muchas veces falta una guía que ayude a avanzar paso a paso, especialmente cuando el estudiante necesita una pista parcial y no una solución completa.</w:t>
      </w:r>
    </w:p>
    <w:p w:rsidR="00000000" w:rsidDel="00000000" w:rsidP="00000000" w:rsidRDefault="00000000" w:rsidRPr="00000000" w14:paraId="0000000A">
      <w:pPr>
        <w:spacing w:after="240" w:before="240" w:lineRule="auto"/>
        <w:ind w:firstLine="0"/>
        <w:rPr/>
      </w:pPr>
      <w:r w:rsidDel="00000000" w:rsidR="00000000" w:rsidRPr="00000000">
        <w:rPr>
          <w:rtl w:val="0"/>
        </w:rPr>
        <w:t xml:space="preserve">Hasta ahora un vacío es bastante notable: en su mayoría las soluciones encontradas en internet suelen mostrar de primera el código funcionando mas no el proceso de razonamiento para llegar a este. Para un principiante, entender por qué un problema requiere búsqueda binaria, programación dinámica o una estructura de datos específica puede ser más difícil que copiar la solución final. Por ello, una herramienta de apoyo debería ayudar a conectar el enunciado, las restricciones, las etiquetas, la editorial y la complejidad esperada, de manera que el estudiante pueda construir su propio razonamiento hacia el resultado y usarlo en futuros problemas.</w:t>
      </w:r>
    </w:p>
    <w:p w:rsidR="00000000" w:rsidDel="00000000" w:rsidP="00000000" w:rsidRDefault="00000000" w:rsidRPr="00000000" w14:paraId="0000000B">
      <w:pPr>
        <w:spacing w:after="240" w:before="240" w:lineRule="auto"/>
        <w:ind w:firstLine="0"/>
        <w:rPr/>
      </w:pPr>
      <w:r w:rsidDel="00000000" w:rsidR="00000000" w:rsidRPr="00000000">
        <w:rPr>
          <w:rtl w:val="0"/>
        </w:rPr>
        <w:t xml:space="preserve">Los LLMs (Large Language Models) al ser capaces de resolver problemas bastantes complejos son capaces de explicar cómo es que han llegado a la solución, qué técnica usaron e inclusive poder observar otros puntos de vista para resolverlo en base a nuestras ideas [3]. Sin embargo, usarlos con problemas demasiado complicados o triviales o no darle el suficiente contexto del problema puede generar alucinaciones y darnos respuestas muy alejadas de la esperada. En programación competitiva, este riesgo es especialmente relevante, porque una explicación incorrecta puede llevar al estudiante a elegir una técnica equivocada, asumir una complejidad inválida o confiar en una idea que no cumple con las restricciones del enunciado.</w:t>
      </w:r>
    </w:p>
    <w:p w:rsidR="00000000" w:rsidDel="00000000" w:rsidP="00000000" w:rsidRDefault="00000000" w:rsidRPr="00000000" w14:paraId="0000000C">
      <w:pPr>
        <w:spacing w:after="240" w:before="240" w:lineRule="auto"/>
        <w:ind w:firstLine="0"/>
        <w:rPr/>
      </w:pPr>
      <w:r w:rsidDel="00000000" w:rsidR="00000000" w:rsidRPr="00000000">
        <w:rPr>
          <w:rtl w:val="0"/>
        </w:rPr>
        <w:t xml:space="preserve">La Recuperación Aumentada por Generación, conocida como Retrieval-Augmented Generation (RAG), nos brinda una mejor manera de usar los LLMs. En vez de generar una respuesta únicamente del modelo, RAG permite recuperar información desde una base externa y usarla como contexto para generar una respuesta más acertada [4]. Esta idea resulta útil para este trabajo porque las respuestas no deberían basarse solo en la información con la que el modelo ha sido entrenado, sino en partes concretas del problema: enunciado, restricciones, ejemplos, etiquetas, editorial, complejidad y pistas. Además, estudios internacionales sobre RAG señalan que esta arquitectura puede ayudar a mejorar la trazabilidad de las respuestas y reducir problemas como las alucinaciones [5].</w:t>
      </w:r>
    </w:p>
    <w:p w:rsidR="00000000" w:rsidDel="00000000" w:rsidP="00000000" w:rsidRDefault="00000000" w:rsidRPr="00000000" w14:paraId="0000000D">
      <w:pPr>
        <w:spacing w:after="240" w:before="240" w:lineRule="auto"/>
        <w:ind w:firstLine="0"/>
        <w:rPr/>
      </w:pPr>
      <w:r w:rsidDel="00000000" w:rsidR="00000000" w:rsidRPr="00000000">
        <w:rPr>
          <w:rtl w:val="0"/>
        </w:rPr>
        <w:t xml:space="preserve">La evaluación de un sistema RAG debe tratarse con bastante cuidado. No basta con que una respuesta esté bien escrita o parezca correcta; en un ambiente educativo, la respuesta debe ser adecuada para la consulta del estudiante y, al mismo tiempo, estar sustentada en el contexto recuperado. Métricas como Answer Relevancy y Faithfulness resultan adecuadas para analizar dos aspectos distintos: si la respuesta coincide con la pregunta hecha y si las afirmaciones obtenidas se apoyan en la evidencia recuperada. En este mismo flujo, marcos como RAGAS (Retrieval-Augmented Generation Assessment ) y ARES (Automated RAG Evaluation System ) proponen criterios de evaluación orientados a medir relevancia, fidelidad y calidad de las respuestas en sistemas RAG [6] [7].</w:t>
      </w:r>
    </w:p>
    <w:p w:rsidR="00000000" w:rsidDel="00000000" w:rsidP="00000000" w:rsidRDefault="00000000" w:rsidRPr="00000000" w14:paraId="0000000E">
      <w:pPr>
        <w:spacing w:after="240" w:before="240" w:lineRule="auto"/>
        <w:ind w:firstLine="0"/>
        <w:rPr/>
      </w:pPr>
      <w:r w:rsidDel="00000000" w:rsidR="00000000" w:rsidRPr="00000000">
        <w:rPr>
          <w:rtl w:val="0"/>
        </w:rPr>
        <w:t xml:space="preserve">Sin embargo, la calidad de un sistema RAG depende en su mayoría de cómo recupera la información. En programación competitiva, consultas como estas: “¿cómo sé si este problema se resuelve con búsqueda binaria?, ¿Trabajar con los elementos de mi arreglo como un conjunto en potencias de 2 es viable?” no se responden solo buscando texto parecido. Para responder bien, el sistema debería revisar restricciones, patrones algorítmicos, etiquetas, explicación editorial, complejidad esperada y posibles casos borde. Por esta razón, una recuperación basada solo en fragmentos planos puede no ser suficiente, ya que no siempre mantiene la relación entre las distintas partes del problema.</w:t>
      </w:r>
    </w:p>
    <w:p w:rsidR="00000000" w:rsidDel="00000000" w:rsidP="00000000" w:rsidRDefault="00000000" w:rsidRPr="00000000" w14:paraId="0000000F">
      <w:pPr>
        <w:spacing w:after="240" w:before="240" w:lineRule="auto"/>
        <w:ind w:firstLine="0"/>
        <w:rPr/>
      </w:pPr>
      <w:r w:rsidDel="00000000" w:rsidR="00000000" w:rsidRPr="00000000">
        <w:rPr>
          <w:rtl w:val="0"/>
        </w:rPr>
        <w:t xml:space="preserve">Para abordar esta limitación correctamente, se presenta el desarrollo de un sistema RAG basado en PageIndex para consultas educativas en el proceso del desarrollo de problemas de programación competitiva. PageIndex plantea una recuperación basada en razonamiento sobre estructuras jerárquicas (árboles), lo que permite navegar en el contenido de forma similar a como un lector identifica secciones relevantes dentro de un texto [8]. En este trabajo, esa idea se adapta al campo de programación competitiva: cada problema se organiza mediante nodos semánticos que representan el enunciado, las restricciones, los ejemplos, las etiquetas, la editorial, la complejidad, la prueba de corrección y las pistas progresivas.</w:t>
      </w:r>
    </w:p>
    <w:p w:rsidR="00000000" w:rsidDel="00000000" w:rsidP="00000000" w:rsidRDefault="00000000" w:rsidRPr="00000000" w14:paraId="00000010">
      <w:pPr>
        <w:spacing w:after="240" w:before="240" w:lineRule="auto"/>
        <w:ind w:firstLine="0"/>
        <w:rPr/>
      </w:pPr>
      <w:r w:rsidDel="00000000" w:rsidR="00000000" w:rsidRPr="00000000">
        <w:rPr>
          <w:rtl w:val="0"/>
        </w:rPr>
        <w:t xml:space="preserve">Sobre esa estructura, nuestro trabajo propone una estrategia de recuperación híbrida jerárquica mediante PageIndex y Hybrid Tree Search. El objetivo es seleccionar un contexto más adecuado antes de generar la respuesta final, en vez de depender únicamente de similitud semántica entre fragmentos. Esta propuesta se relaciona con estudios recientes sobre recuperación no vectorial e híbrida, los cuales muestran que los enfoques jerárquicos pueden ser útiles cuando una consulta requiere integrar información de varias secciones de un documento [9] [10]. Es muy común tener problemas de este tipo en programación competitiva, porque una sola duda puede depender al mismo tiempo de restricciones, técnica algorítmica, complejidad y explicación editorial.</w:t>
      </w:r>
    </w:p>
    <w:p w:rsidR="00000000" w:rsidDel="00000000" w:rsidP="00000000" w:rsidRDefault="00000000" w:rsidRPr="00000000" w14:paraId="00000011">
      <w:pPr>
        <w:spacing w:after="240" w:before="240" w:lineRule="auto"/>
        <w:ind w:firstLine="0"/>
        <w:rPr/>
      </w:pPr>
      <w:r w:rsidDel="00000000" w:rsidR="00000000" w:rsidRPr="00000000">
        <w:rPr>
          <w:rtl w:val="0"/>
        </w:rPr>
        <w:t xml:space="preserve">El sistema propuesto no busca reemplazar el razonamiento del estudiante ni entregar siempre una solución completa. Su finalidad es funcionar como un entrenador, que no solo te diga rechazado o aceptado sino que trate de analizar tu respuesta y en base a ello encontrar fallas (restricciones, mala lectura, fórmulas mal usadas, etc). En ese sentido, la propuesta se relaciona con trabajos recientes como AlgoAce, que explora el uso de RAG para ayudar a competidores a partir de información de problemas, metadatos y personalización basada en el historial del estudiante [11]. La diferencia principal de este trabajo está en el enfoque de recuperación: aquí se prioriza una organización jerárquica basada en PageIndex y Hybrid Tree Search para seleccionar contexto educativo antes de la generación.</w:t>
      </w:r>
    </w:p>
    <w:p w:rsidR="00000000" w:rsidDel="00000000" w:rsidP="00000000" w:rsidRDefault="00000000" w:rsidRPr="00000000" w14:paraId="00000012">
      <w:pPr>
        <w:spacing w:after="240" w:before="240" w:lineRule="auto"/>
        <w:ind w:firstLine="0"/>
        <w:rPr/>
      </w:pPr>
      <w:r w:rsidDel="00000000" w:rsidR="00000000" w:rsidRPr="00000000">
        <w:rPr>
          <w:rtl w:val="0"/>
        </w:rPr>
        <w:t xml:space="preserve">La evaluación del sistema considera las métricas Answer Relevancy y Faithfulness, debido a que ambas permiten analizar dimensiones complementarias de la calidad de las respuestas generadas. Answer Relevancy mide el grado en que la respuesta producida se relaciona con la consulta formulada por el estudiante, mientras que -Faithfulness evalúa si las afirmaciones generadas se encuentran sustentadas en el contexto recuperado. Estas métricas resultan adecuadas para el sistema propuesto porque el objetivo no es únicamente generar respuestas fluidas, sino ofrecer explicaciones pertinentes, verificables y alineadas con el material recuperado, de manera que puedan apoyar el aprendizaje de estudiantes que practican programación competitiva [6] [7].</w:t>
      </w:r>
    </w:p>
    <w:p w:rsidR="00000000" w:rsidDel="00000000" w:rsidP="00000000" w:rsidRDefault="00000000" w:rsidRPr="00000000" w14:paraId="00000013">
      <w:pPr>
        <w:spacing w:after="240" w:before="240" w:lineRule="auto"/>
        <w:ind w:firstLine="0"/>
        <w:rPr/>
      </w:pPr>
      <w:r w:rsidDel="00000000" w:rsidR="00000000" w:rsidRPr="00000000">
        <w:rPr>
          <w:rtl w:val="0"/>
        </w:rPr>
        <w:t xml:space="preserve">En consecuencia, este artículo tiene como objetivo desarrollar y validar un sistema de asistencia educativa basado en RAG, PageIndex y Hybrid Tree Search para apoyar consultas de estudiantes en programación competitiva. El enfoque adoptado es de tipo aplicativo y experimental, dado que se implementa una solución funcional y se evalúa su capacidad para generar respuestas fundamentadas en el contexto recuperado.</w:t>
      </w:r>
    </w:p>
    <w:p w:rsidR="00000000" w:rsidDel="00000000" w:rsidP="00000000" w:rsidRDefault="00000000" w:rsidRPr="00000000" w14:paraId="00000014">
      <w:pPr>
        <w:spacing w:after="240" w:before="240" w:lineRule="auto"/>
        <w:ind w:firstLine="0"/>
        <w:rPr/>
      </w:pPr>
      <w:r>
        <w:rPr>
          <w:rtl w:val="0"/>
        </w:rPr>
        <w:t>El artículo se organiza en siete secciones: introducción; conceptos y definiciones; revisión de la literatura; conceptos de desarrollo; metodología y arquitectura; resultados y discusión; y conclusiones con trabajo futuro.</w:t>
      </w:r>
    </w:p>
    <w:p w:rsidR="00000000" w:rsidDel="00000000" w:rsidP="00000000" w:rsidRDefault="00000000" w:rsidRPr="00000000" w14:paraId="00000015">
      <w:pPr>
        <w:spacing w:after="240" w:before="240" w:lineRule="auto"/>
        <w:ind w:firstLine="0"/>
        <w:rPr/>
      </w:pPr>
      <w:r w:rsidDel="00000000" w:rsidR="00000000" w:rsidRPr="00000000">
        <w:rPr>
          <w:rtl w:val="0"/>
        </w:rPr>
      </w:r>
    </w:p>
    <w:p w:rsidR="00000000" w:rsidDel="00000000" w:rsidP="00000000" w:rsidRDefault="00000000" w:rsidRPr="00000000" w14:paraId="00000016">
      <w:pPr>
        <w:spacing w:after="240" w:before="240" w:lineRule="auto"/>
        <w:ind w:firstLine="0"/>
        <w:rPr/>
      </w:pPr>
      <w:r w:rsidDel="00000000" w:rsidR="00000000" w:rsidRPr="00000000">
        <w:rPr>
          <w:rtl w:val="0"/>
        </w:rPr>
      </w:r>
    </w:p>
    <w:p w:rsidR="00000000" w:rsidDel="00000000" w:rsidP="00000000" w:rsidRDefault="00000000" w:rsidRPr="00000000" w14:paraId="00000017">
      <w:pPr>
        <w:keepNext w:val="1"/>
        <w:keepLines w:val="1"/>
        <w:numPr>
          <w:ilvl w:val="0"/>
          <w:numId w:val="1"/>
        </w:numPr>
        <w:spacing w:after="240" w:before="360" w:lineRule="auto"/>
        <w:ind w:left="567" w:hanging="567"/>
        <w:jc w:val="left"/>
      </w:pPr>
      <w:r w:rsidDel="00000000" w:rsidR="00000000" w:rsidRPr="00000000">
        <w:rPr>
          <w:b w:val="1"/>
          <w:bCs w:val="1"/>
          <w:sz w:val="24"/>
          <w:szCs w:val="24"/>
          <w:rtl w:val="0"/>
        </w:rPr>
        <w:t xml:space="preserve">Conceptos y Definiciones</w:t>
      </w:r>
    </w:p>
    <w:p w:rsidR="00000000" w:rsidDel="00000000" w:rsidP="00000000" w:rsidRDefault="00000000" w:rsidRPr="00000000" w14:paraId="00000018">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Programación competitiva</w:t>
      </w:r>
    </w:p>
    <w:p w:rsidR="00000000" w:rsidDel="00000000" w:rsidP="00000000" w:rsidRDefault="00000000" w:rsidRPr="00000000" w14:paraId="00000019">
      <w:pPr>
        <w:keepNext w:val="1"/>
        <w:keepLines w:val="1"/>
        <w:spacing w:after="160" w:lineRule="auto"/>
        <w:ind w:left="0" w:firstLine="0"/>
        <w:jc w:val="left"/>
        <w:rPr/>
      </w:pPr>
      <w:r w:rsidDel="00000000" w:rsidR="00000000" w:rsidRPr="00000000">
        <w:rPr>
          <w:rtl w:val="0"/>
        </w:rPr>
        <w:t xml:space="preserve">Moreno Cadavid y Pineda Corcho [22] definen la programación competitiva como una metodología para crear ambientes donde se cultive el trabajo en grupo y la competencia sana a su vez que se desarrollan habilidades no solo de codificación sino también lógico-matemáticas, algorítmicas y de intuición.</w:t>
      </w:r>
    </w:p>
    <w:p w:rsidR="00000000" w:rsidDel="00000000" w:rsidP="00000000" w:rsidRDefault="00000000" w:rsidRPr="00000000" w14:paraId="0000001A">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Aprendizaje de programación y retroalimentación </w:t>
      </w:r>
    </w:p>
    <w:p w:rsidR="00000000" w:rsidDel="00000000" w:rsidP="00000000" w:rsidRDefault="00000000" w:rsidRPr="00000000" w14:paraId="0000001B">
      <w:pPr>
        <w:keepNext w:val="1"/>
        <w:keepLines w:val="1"/>
        <w:spacing w:after="160" w:lineRule="auto"/>
        <w:ind w:left="0" w:firstLine="0"/>
        <w:jc w:val="left"/>
        <w:rPr/>
      </w:pPr>
      <w:r w:rsidDel="00000000" w:rsidR="00000000" w:rsidRPr="00000000">
        <w:rPr>
          <w:rtl w:val="0"/>
        </w:rPr>
        <w:t xml:space="preserve">La programación competitiva es una disciplina donde el competidor resuelve problemas computacionales (optimización tanto en memoria como en tiempo) utilizando conocimientos de estructuras de datos, matemática y creatividad. Yuen et al. [2] muestran que la programación competitiva ayuda en el desarrollo de estas habilidades al estar en un entorno de práctica, falla y retroalimentación utilizando un juez virtual con Python.</w:t>
      </w:r>
    </w:p>
    <w:p w:rsidR="00000000" w:rsidDel="00000000" w:rsidP="00000000" w:rsidRDefault="00000000" w:rsidRPr="00000000" w14:paraId="0000001C">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Recuperación Aumentada por Generación </w:t>
      </w:r>
    </w:p>
    <w:p w:rsidR="00000000" w:rsidDel="00000000" w:rsidP="00000000" w:rsidRDefault="00000000" w:rsidRPr="00000000" w14:paraId="0000001D">
      <w:pPr>
        <w:keepNext w:val="1"/>
        <w:keepLines w:val="1"/>
        <w:spacing w:after="160" w:lineRule="auto"/>
        <w:ind w:left="0" w:firstLine="0"/>
        <w:jc w:val="left"/>
        <w:rPr/>
      </w:pPr>
      <w:r w:rsidDel="00000000" w:rsidR="00000000" w:rsidRPr="00000000">
        <w:rPr>
          <w:rtl w:val="0"/>
        </w:rPr>
        <w:t xml:space="preserve">La Recuperación Aumentada por Generación (RAG) es una alternativa a los modelos de inteligencia artificial tradicionales ya que estos solo responden en base a su pre-entrenamiento (información paramétrica) en cambio un RAG es capaz de obtener más información de otros documentos en nuestra base de datos y así generar una respuesta más precisa [4] [5]</w:t>
      </w:r>
    </w:p>
    <w:p w:rsidR="00000000" w:rsidDel="00000000" w:rsidP="00000000" w:rsidRDefault="00000000" w:rsidRPr="00000000" w14:paraId="0000001E">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Recuperación híbrida jerárquica </w:t>
      </w:r>
    </w:p>
    <w:p w:rsidR="00000000" w:rsidDel="00000000" w:rsidP="00000000" w:rsidRDefault="00000000" w:rsidRPr="00000000" w14:paraId="0000001F">
      <w:pPr>
        <w:keepNext w:val="1"/>
        <w:keepLines w:val="1"/>
        <w:spacing w:after="160" w:lineRule="auto"/>
        <w:ind w:left="0" w:firstLine="0"/>
        <w:jc w:val="left"/>
        <w:rPr/>
      </w:pPr>
      <w:r w:rsidDel="00000000" w:rsidR="00000000" w:rsidRPr="00000000">
        <w:rPr>
          <w:rtl w:val="0"/>
        </w:rPr>
        <w:t xml:space="preserve">La recuperación híbrida jerárquica combina distintas señales de búsqueda, como similitud semántica, coincidencia léxica, metadatos y estructura documental. En el sistema propuesto, esta estrategia permite recuperar información desde distintas partes de un problema de programación competitiva, como el enunciado, las restricciones, la editorial o la complejidad. Esto resulta importante porque una consulta educativa puede requerir más que texto semánticamente parecido; puede necesitar relaciones entre técnica algorítmica, límites de entrada y explicación de solución [8] [9] [10]. </w:t>
      </w:r>
    </w:p>
    <w:p w:rsidR="00000000" w:rsidDel="00000000" w:rsidP="00000000" w:rsidRDefault="00000000" w:rsidRPr="00000000" w14:paraId="00000020">
      <w:pPr>
        <w:keepNext w:val="1"/>
        <w:keepLines w:val="1"/>
        <w:spacing w:after="160" w:lineRule="auto"/>
        <w:ind w:left="0" w:firstLine="0"/>
        <w:jc w:val="left"/>
        <w:rPr/>
      </w:pPr>
      <w:r w:rsidDel="00000000" w:rsidR="00000000" w:rsidRPr="00000000">
        <w:rPr>
          <w:rtl w:val="0"/>
        </w:rPr>
      </w:r>
    </w:p>
    <w:p w:rsidR="00000000" w:rsidDel="00000000" w:rsidP="00000000" w:rsidRDefault="00000000" w:rsidRPr="00000000" w14:paraId="00000021">
      <w:pPr>
        <w:keepNext w:val="1"/>
        <w:keepLines w:val="1"/>
        <w:spacing w:after="160" w:lineRule="auto"/>
        <w:ind w:left="0" w:firstLine="0"/>
        <w:jc w:val="left"/>
        <w:rPr/>
      </w:pPr>
      <w:r w:rsidDel="00000000" w:rsidR="00000000" w:rsidRPr="00000000">
        <w:rPr>
          <w:rtl w:val="0"/>
        </w:rPr>
      </w:r>
    </w:p>
    <w:p w:rsidR="00000000" w:rsidDel="00000000" w:rsidP="00000000" w:rsidRDefault="00000000" w:rsidRPr="00000000" w14:paraId="00000022">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PageIndex y Hybrid Tree Search </w:t>
      </w:r>
    </w:p>
    <w:p w:rsidR="00000000" w:rsidDel="00000000" w:rsidP="00000000" w:rsidRDefault="00000000" w:rsidRPr="00000000" w14:paraId="00000023">
      <w:pPr>
        <w:keepNext w:val="1"/>
        <w:keepLines w:val="1"/>
        <w:spacing w:after="160" w:lineRule="auto"/>
        <w:ind w:firstLine="0"/>
        <w:jc w:val="left"/>
        <w:rPr/>
      </w:pPr>
      <w:r w:rsidDel="00000000" w:rsidR="00000000" w:rsidRPr="00000000">
        <w:rPr>
          <w:rtl w:val="0"/>
        </w:rPr>
        <w:t xml:space="preserve">PageIndex es una estrategia de recuperación basada en razonamiento que organiza documentos en una estructura jerárquica similar a una tabla de contenidos. En lugar de depender únicamente de fragmentos planos, permite navegar nodos y recuperar secciones específicas del contenido [8]. En este artículo, PageIndex se adapta al dominio de programación competitiva representando cada problema mediante nodos como enunciado, restricciones, ejemplos, etiquetas, editorial, complejidad, prueba de corrección y pistas. Hybrid Tree Search se emplea como mecanismo para recorrer dicha estructura y seleccionar el contexto más útil según la consulta del estudiante. </w:t>
      </w:r>
    </w:p>
    <w:p w:rsidR="00000000" w:rsidDel="00000000" w:rsidP="00000000" w:rsidRDefault="00000000" w:rsidRPr="00000000" w14:paraId="00000024">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Revisión de la Literatura</w:t>
      </w:r>
    </w:p>
    <w:p w:rsidR="00000000" w:rsidDel="00000000" w:rsidP="00000000" w:rsidRDefault="00000000" w:rsidRPr="00000000" w14:paraId="00000025">
      <w:pPr>
        <w:keepNext w:val="1"/>
        <w:keepLines w:val="1"/>
        <w:spacing w:after="240" w:before="360" w:lineRule="auto"/>
        <w:ind w:left="0" w:firstLine="0"/>
        <w:jc w:val="left"/>
        <w:rPr/>
      </w:pPr>
      <w:r w:rsidDel="00000000" w:rsidR="00000000" w:rsidRPr="00000000">
        <w:rPr>
          <w:rtl w:val="0"/>
        </w:rPr>
        <w:t xml:space="preserve">En esta sección se revisan cinco líneas de trabajo directamente relacionadas con la propuesta: dificultades en el aprendizaje de programación, modelos de lenguaje en educación de programación, fundamentos de RAG, recuperación jerárquica basada en PageIndex y aplicaciones RAG en programación competitiva.</w:t>
      </w:r>
      <w:r w:rsidDel="00000000" w:rsidR="00000000" w:rsidRPr="00000000">
        <w:rPr>
          <w:rtl w:val="0"/>
        </w:rPr>
      </w:r>
    </w:p>
    <w:p w:rsidR="00000000" w:rsidDel="00000000" w:rsidP="00000000" w:rsidRDefault="00000000" w:rsidRPr="00000000" w14:paraId="00000026">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Generative AI for Programming Education: Benchmarking ChatGPT, GPT-4, and Human Tutors</w:t>
      </w:r>
    </w:p>
    <w:p w:rsidR="00000000" w:rsidDel="00000000" w:rsidP="00000000" w:rsidRDefault="00000000" w:rsidRPr="00000000" w14:paraId="00000027">
      <w:pPr>
        <w:keepNext w:val="1"/>
        <w:keepLines w:val="1"/>
        <w:spacing w:after="240" w:before="360" w:lineRule="auto"/>
        <w:ind w:left="0" w:firstLine="0"/>
        <w:jc w:val="left"/>
        <w:rPr/>
      </w:pPr>
      <w:r w:rsidDel="00000000" w:rsidR="00000000" w:rsidRPr="00000000">
        <w:rPr>
          <w:rtl w:val="0"/>
        </w:rPr>
        <w:t xml:space="preserve">Phung et al. [3] estudian el uso de modelos generativos al momento de enseñar programación, comparando respuestas de ChatGPT, GPT-4 y tutores humanos en tareas relacionadas con explicación de código, resolución de consultas y apoyo al aprendizaje. Lo interesante de este trabajo no es solo que los modelos puedan responder preguntas de programación, sino que su rendimiento no es igual en todos los casos. En algunas tareas pueden acercarse al desempeño de un tutor real, pero también pueden fallar cuando la consulta requiere mayor precisión, interpretación del contexto o una explicación más cuidadosa. También por el hecho de que dependiendo del modelo utilizado las respuestas son mejores, por lo que su aportación para este proyecto es bastante ya que podemos probar diferentes API-KEYS de modelos online o modelos locales para probar su eficiencia.</w:t>
      </w:r>
    </w:p>
    <w:p w:rsidR="00000000" w:rsidDel="00000000" w:rsidP="00000000" w:rsidRDefault="00000000" w:rsidRPr="00000000" w14:paraId="00000028">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Retrieval-Augmented Generation for Knowledge-Intensive NLP Tasks</w:t>
      </w:r>
    </w:p>
    <w:p w:rsidR="00000000" w:rsidDel="00000000" w:rsidP="00000000" w:rsidRDefault="00000000" w:rsidRPr="00000000" w14:paraId="00000029">
      <w:pPr>
        <w:keepNext w:val="1"/>
        <w:keepLines w:val="1"/>
        <w:spacing w:after="240" w:before="360" w:lineRule="auto"/>
        <w:ind w:left="0" w:firstLine="0"/>
        <w:jc w:val="left"/>
        <w:rPr/>
      </w:pPr>
      <w:r w:rsidDel="00000000" w:rsidR="00000000" w:rsidRPr="00000000">
        <w:rPr>
          <w:rtl w:val="0"/>
        </w:rPr>
        <w:t xml:space="preserve">Lewis et al. [4] presentan la arquitectura Retrieval-Augmented Generation como una forma de hacer que un modelo de inteligencia artificial no dependa solo de su conocimiento interno. La idea central es simple, pero importante: antes de responder, el sistema recupera documentos o fragmentos relevantes y los usa como apoyo para generar una respuesta más fundamentada. Siguiendo esta idea, la información recuperada funciona como una memoria externa, mientras que el modelo se encarga de transformar ese contexto en una respuesta entendible para el competidor. Para este trabajo, esta base es importante porque en programación competitiva no basta con que el modelo “sepa” de algoritmos; también necesita revisar partes concretas del problema, como restricciones, etiquetas, editorial, complejidad o pistas. Por eso, la arquitectura RAG es la base para poder construir respuestas que estén más relacionadas con el material recuperado y no solo con lo que el modelo pueda generar por sí mismo. </w:t>
      </w:r>
    </w:p>
    <w:p w:rsidR="00000000" w:rsidDel="00000000" w:rsidP="00000000" w:rsidRDefault="00000000" w:rsidRPr="00000000" w14:paraId="0000002A">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PageIndex: Next-Generation Vectorless, Reasoning-based RAG</w:t>
      </w:r>
    </w:p>
    <w:p w:rsidR="00000000" w:rsidDel="00000000" w:rsidP="00000000" w:rsidRDefault="00000000" w:rsidRPr="00000000" w14:paraId="0000002B">
      <w:pPr>
        <w:keepNext w:val="1"/>
        <w:keepLines w:val="1"/>
        <w:spacing w:after="240" w:before="360" w:lineRule="auto"/>
        <w:ind w:left="0" w:firstLine="0"/>
        <w:jc w:val="left"/>
        <w:rPr>
          <w:b w:val="1"/>
          <w:bCs w:val="1"/>
        </w:rPr>
      </w:pPr>
      <w:r w:rsidDel="00000000" w:rsidR="00000000" w:rsidRPr="00000000">
        <w:rPr>
          <w:rtl w:val="0"/>
        </w:rPr>
        <w:t xml:space="preserve">Zhang et al. [8] proponen PageIndex como una alternativa a la recuperación vectorial tradicional. Ellos señalan que la similitud semántica no siempre significa relevancia. Es decir, un fragmento puede parecerse a la pregunta del usuario, pero no necesariamente contener la parte que realmente sirve. Para evitar eso, PageIndex organiza la información como si fuera un árbol donde cada nodo representa una parte de cada documento y podríamos navegar en él hasta encontrar la parte más relevante. Esta idea se acopla bastante a la programación competitiva, porque un problema no solo tiene texto: también tiene restricciones, ejemplos, etiquetas, editorial, complejidad, prueba de corrección y pistas. En este trabajo, esas partes se representan como nodos para que el sistema pueda recuperar contexto más preciso según lo que el estudiante está preguntando.</w:t>
      </w:r>
      <w:r w:rsidDel="00000000" w:rsidR="00000000" w:rsidRPr="00000000">
        <w:rPr>
          <w:rtl w:val="0"/>
        </w:rPr>
      </w:r>
    </w:p>
    <w:p w:rsidR="00000000" w:rsidDel="00000000" w:rsidP="00000000" w:rsidRDefault="00000000" w:rsidRPr="00000000" w14:paraId="0000002C">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Rethinking Retrieval: From Traditional Retrieval Augmented Generation to Agentic and Non-Vector Reasoning Systems </w:t>
      </w:r>
    </w:p>
    <w:p w:rsidR="00000000" w:rsidDel="00000000" w:rsidP="00000000" w:rsidRDefault="00000000" w:rsidRPr="00000000" w14:paraId="0000002D">
      <w:pPr>
        <w:keepNext w:val="1"/>
        <w:keepLines w:val="1"/>
        <w:spacing w:after="240" w:before="360" w:lineRule="auto"/>
        <w:ind w:left="0" w:firstLine="0"/>
        <w:jc w:val="left"/>
        <w:rPr/>
      </w:pPr>
      <w:r w:rsidDel="00000000" w:rsidR="00000000" w:rsidRPr="00000000">
        <w:rPr>
          <w:rtl w:val="0"/>
        </w:rPr>
        <w:t xml:space="preserve">Lumer et al. [9] comparan sistemas RAG tradicionales basados en recuperación vectorial con arquitecturas jerárquicas no-vectoriales en entornos financieros. Los autores evalúan métricas como MRR, Recall@5, calidad de respuesta mediante LLM-as-a-Judge, latencia y costos de preprocesamiento. Sus resultados muestran que los sistemas vectoriales con técnicas avanzadas pueden obtener buenos resultados, pero también evidencian que los enfoques jerárquicos son relevantes cuando la estructura documental influye en la búsqueda de evidencia. Este estudio es importante para el presente artículo porque permite sustentar que la recuperación jerárquica no debe asumirse como superior en todos los casos, sino evaluarse según el tipo de consulta y la estructura del corpus. En programación competitiva, esta idea es especialmente pertinente, ya que una consulta puede requerir relacionar varias partes del problema, como restricciones, técnica algorítmica, editorial y complejidad.</w:t>
      </w:r>
    </w:p>
    <w:p w:rsidR="00000000" w:rsidDel="00000000" w:rsidP="00000000" w:rsidRDefault="00000000" w:rsidRPr="00000000" w14:paraId="0000002E">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Adaptive Query Routing: A Tier-Based Framework for Hybrid Retrieval Across Financial, Legal, and Medical Documents</w:t>
      </w:r>
    </w:p>
    <w:p w:rsidR="00000000" w:rsidDel="00000000" w:rsidP="00000000" w:rsidRDefault="00000000" w:rsidRPr="00000000" w14:paraId="0000002F">
      <w:pPr>
        <w:keepNext w:val="1"/>
        <w:keepLines w:val="1"/>
        <w:spacing w:after="240" w:before="360" w:lineRule="auto"/>
        <w:ind w:left="0" w:firstLine="0"/>
        <w:jc w:val="left"/>
        <w:rPr/>
      </w:pPr>
      <w:r w:rsidDel="00000000" w:rsidR="00000000" w:rsidRPr="00000000">
        <w:rPr>
          <w:rtl w:val="0"/>
        </w:rPr>
        <w:t xml:space="preserve">En el trabajo de Hashmi [10] se evalúan tres arquitecturas de recuperación: Vector RAG, Tree Reasoning y Adaptive Hybrid Retrieval, aplicadas a documentos financieros, legales y médicos. El estudio organiza las consultas por niveles de complejidad y muestra que ningún paradigma domina en todos los escenarios. Sin embargo, los enfoques jerárquicos e híbridos obtienen mejores resultados en consultas multi-sección y de referencias cruzadas, donde es necesario recuperar información desde diferentes partes del documento. Este antecedente respalda la decisión de utilizar una estrategia híbrida jerárquica basada en PageIndex. En el dominio de programación competitiva, muchas consultas educativas también son multi-sección: por ejemplo, una pregunta sobre búsqueda binaria puede requerir revisar restricciones, etiquetas, editorial y complejidad. Por ello, el uso de PageIndex e Hybrid Tree Search permite adaptar la recuperación al tipo de información que necesita el estudiante.</w:t>
      </w:r>
    </w:p>
    <w:p w:rsidR="00000000" w:rsidDel="00000000" w:rsidP="00000000" w:rsidRDefault="00000000" w:rsidRPr="00000000" w14:paraId="00000030">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AlgoAce: Retrieval-Augmented Generation for Assistance in Competitive Programming </w:t>
      </w:r>
    </w:p>
    <w:p w:rsidR="00000000" w:rsidDel="00000000" w:rsidP="00000000" w:rsidRDefault="00000000" w:rsidRPr="00000000" w14:paraId="00000031">
      <w:pPr>
        <w:keepNext w:val="1"/>
        <w:keepLines w:val="1"/>
        <w:spacing w:after="240" w:before="360" w:lineRule="auto"/>
        <w:ind w:left="0" w:firstLine="0"/>
        <w:jc w:val="left"/>
        <w:rPr>
          <w:b w:val="1"/>
          <w:bCs w:val="1"/>
          <w:sz w:val="24"/>
          <w:szCs w:val="24"/>
        </w:rPr>
      </w:pPr>
      <w:r w:rsidDel="00000000" w:rsidR="00000000" w:rsidRPr="00000000">
        <w:rPr>
          <w:rtl w:val="0"/>
        </w:rPr>
        <w:t xml:space="preserve">En el artículo de Agrawal y Vie [11] se presenta AlgoAce, un asistente basado en RAG para apoyar la práctica de programación competitiva en Codeforces. El sistema utiliza información como metadatos de problemas, historial de envíos, etiquetas, dificultad y datos del usuario para brindar asistencia personalizada. Este trabajo demuestra la viabilidad de aplicar RAG en el dominio de programación competitiva y evidencia la utilidad de incorporar señales propias de este entorno. Este antecedente es el más cercano al presente proyecto, ya que ambos trabajos comparten el objetivo de usar RAG para apoyar a estudiantes o practicantes de programación competitiva. No obstante, el sistema propuesto en este artículo se diferencia porque se enfoca en la estructuración jerárquica del corpus mediante PageIndex y en la validación de la fidelidad de las respuestas generadas respecto al contexto recuperado.</w:t>
      </w:r>
      <w:r w:rsidDel="00000000" w:rsidR="00000000" w:rsidRPr="00000000">
        <w:rPr>
          <w:rtl w:val="0"/>
        </w:rPr>
      </w:r>
    </w:p>
    <w:p w:rsidR="00000000" w:rsidDel="00000000" w:rsidP="00000000" w:rsidRDefault="00000000" w:rsidRPr="00000000" w14:paraId="00000032">
      <w:pPr>
        <w:keepNext w:val="1"/>
        <w:keepLines w:val="1"/>
        <w:numPr>
          <w:ilvl w:val="0"/>
          <w:numId w:val="1"/>
        </w:numPr>
        <w:spacing w:after="240" w:before="360" w:lineRule="auto"/>
        <w:ind w:left="567" w:hanging="567"/>
        <w:jc w:val="left"/>
        <w:rPr>
          <w:b w:val="1"/>
          <w:bCs w:val="1"/>
        </w:rPr>
      </w:pPr>
      <w:r w:rsidDel="00000000" w:rsidR="00000000" w:rsidRPr="00000000">
        <w:rPr>
          <w:b w:val="1"/>
          <w:bCs w:val="1"/>
          <w:sz w:val="24"/>
          <w:szCs w:val="24"/>
          <w:rtl w:val="0"/>
        </w:rPr>
        <w:t xml:space="preserve">Conceptos de Desarrollo de Software</w:t>
      </w:r>
    </w:p>
    <w:p w:rsidR="00000000" w:rsidDel="00000000" w:rsidP="00000000" w:rsidRDefault="00000000" w:rsidRPr="00000000" w14:paraId="00000033">
      <w:pPr>
        <w:keepNext w:val="1"/>
        <w:keepLines w:val="1"/>
        <w:spacing w:after="240" w:before="360" w:lineRule="auto"/>
        <w:ind w:left="0" w:firstLine="0"/>
        <w:jc w:val="left"/>
        <w:rPr/>
      </w:pPr>
      <w:r w:rsidDel="00000000" w:rsidR="00000000" w:rsidRPr="00000000">
        <w:rPr>
          <w:rtl w:val="0"/>
        </w:rPr>
        <w:t xml:space="preserve">En esta sección se presentan los principales conceptos de desarrollo de software considerados para el diseño, implementación y evaluación del componente de recuperación híbrida del sistema RAG propuesto. </w:t>
      </w:r>
    </w:p>
    <w:p w:rsidR="00000000" w:rsidDel="00000000" w:rsidP="00000000" w:rsidRDefault="00000000" w:rsidRPr="00000000" w14:paraId="00000034">
      <w:pPr>
        <w:pStyle w:val="Heading2"/>
        <w:numPr>
          <w:ilvl w:val="1"/>
          <w:numId w:val="1"/>
        </w:numPr>
        <w:spacing w:after="80" w:lineRule="auto"/>
        <w:rPr/>
      </w:pPr>
      <w:bookmarkStart w:colFirst="0" w:colLast="0" w:name="_yplrwhcywzn5" w:id="0"/>
      <w:bookmarkEnd w:id="0"/>
      <w:r w:rsidDel="00000000" w:rsidR="00000000" w:rsidRPr="00000000">
        <w:rPr>
          <w:rtl w:val="0"/>
        </w:rPr>
        <w:t xml:space="preserve">Python</w:t>
      </w:r>
    </w:p>
    <w:p w:rsidR="00000000" w:rsidDel="00000000" w:rsidP="00000000" w:rsidRDefault="00000000" w:rsidRPr="00000000" w14:paraId="00000035">
      <w:pPr>
        <w:keepNext w:val="1"/>
        <w:keepLines w:val="1"/>
        <w:spacing w:after="240" w:before="240" w:lineRule="auto"/>
        <w:ind w:left="0" w:firstLine="0"/>
        <w:jc w:val="left"/>
        <w:rPr/>
      </w:pPr>
      <w:r w:rsidDel="00000000" w:rsidR="00000000" w:rsidRPr="00000000">
        <w:rPr>
          <w:rtl w:val="0"/>
        </w:rPr>
        <w:t xml:space="preserve">Python se utiliza como lenguaje principal para implementar el pipeline del sistema. Su ecosistema permite desarrollar módulos de limpieza de texto, procesamiento del corpus, generación de embeddings, recuperación de información y evaluación automática. En este proyecto, Python integra las etapas de adquisición de problemas, estructuración PageIndex, indexación, recuperación y cálculo de métricas [18].</w:t>
      </w:r>
      <w:r w:rsidDel="00000000" w:rsidR="00000000" w:rsidRPr="00000000">
        <w:rPr>
          <w:rtl w:val="0"/>
        </w:rPr>
      </w:r>
    </w:p>
    <w:p w:rsidR="00000000" w:rsidDel="00000000" w:rsidP="00000000" w:rsidRDefault="00000000" w:rsidRPr="00000000" w14:paraId="00000036">
      <w:pPr>
        <w:pStyle w:val="Heading2"/>
        <w:numPr>
          <w:ilvl w:val="1"/>
          <w:numId w:val="1"/>
        </w:numPr>
        <w:spacing w:after="80" w:lineRule="auto"/>
        <w:rPr/>
      </w:pPr>
      <w:bookmarkStart w:colFirst="0" w:colLast="0" w:name="_ljgq3c8fvf15" w:id="1"/>
      <w:bookmarkEnd w:id="1"/>
      <w:r w:rsidDel="00000000" w:rsidR="00000000" w:rsidRPr="00000000">
        <w:rPr>
          <w:rtl w:val="0"/>
        </w:rPr>
        <w:t xml:space="preserve">PageIndex</w:t>
      </w:r>
      <w:r w:rsidDel="00000000" w:rsidR="00000000" w:rsidRPr="00000000">
        <w:rPr>
          <w:rtl w:val="0"/>
        </w:rPr>
      </w:r>
    </w:p>
    <w:p w:rsidR="00000000" w:rsidDel="00000000" w:rsidP="00000000" w:rsidRDefault="00000000" w:rsidRPr="00000000" w14:paraId="00000037">
      <w:pPr>
        <w:keepNext w:val="1"/>
        <w:keepLines w:val="1"/>
        <w:spacing w:after="240" w:before="240" w:lineRule="auto"/>
        <w:ind w:left="0" w:firstLine="0"/>
        <w:jc w:val="left"/>
        <w:rPr/>
      </w:pPr>
      <w:r w:rsidDel="00000000" w:rsidR="00000000" w:rsidRPr="00000000">
        <w:rPr>
          <w:rtl w:val="0"/>
        </w:rPr>
        <w:t xml:space="preserve">PageIndex se utiliza como componente de estructuración jerárquica del corpus. Cada problema de programación competitiva se representa mediante nodos semánticos: problema, enunciado, restricciones, ejemplos, etiquetas, editorial, complejidad, prueba de corrección y pistas. Esta organización permite recuperar secciones específicas según la consulta del estudiante, evitando depender únicamente de fragmentos planos [8].</w:t>
      </w:r>
      <w:r w:rsidDel="00000000" w:rsidR="00000000" w:rsidRPr="00000000">
        <w:rPr>
          <w:rtl w:val="0"/>
        </w:rPr>
      </w:r>
    </w:p>
    <w:p w:rsidR="00000000" w:rsidDel="00000000" w:rsidP="00000000" w:rsidRDefault="00000000" w:rsidRPr="00000000" w14:paraId="00000038">
      <w:pPr>
        <w:pStyle w:val="Heading2"/>
        <w:numPr>
          <w:ilvl w:val="1"/>
          <w:numId w:val="1"/>
        </w:numPr>
        <w:spacing w:after="80" w:lineRule="auto"/>
        <w:rPr/>
      </w:pPr>
      <w:bookmarkStart w:colFirst="0" w:colLast="0" w:name="_bysbum27g27s" w:id="2"/>
      <w:bookmarkEnd w:id="2"/>
      <w:r w:rsidDel="00000000" w:rsidR="00000000" w:rsidRPr="00000000">
        <w:rPr>
          <w:rtl w:val="0"/>
        </w:rPr>
        <w:t xml:space="preserve">Embeddings </w:t>
      </w:r>
      <w:r w:rsidDel="00000000" w:rsidR="00000000" w:rsidRPr="00000000">
        <w:rPr>
          <w:rtl w:val="0"/>
        </w:rPr>
      </w:r>
    </w:p>
    <w:p w:rsidR="00000000" w:rsidDel="00000000" w:rsidP="00000000" w:rsidRDefault="00000000" w:rsidRPr="00000000" w14:paraId="00000039">
      <w:pPr>
        <w:keepNext w:val="1"/>
        <w:keepLines w:val="1"/>
        <w:spacing w:after="240" w:before="240" w:lineRule="auto"/>
        <w:ind w:left="0" w:firstLine="0"/>
        <w:jc w:val="left"/>
        <w:rPr/>
      </w:pPr>
      <w:r w:rsidDel="00000000" w:rsidR="00000000" w:rsidRPr="00000000">
        <w:rPr>
          <w:rtl w:val="0"/>
        </w:rPr>
        <w:t xml:space="preserve">Los embeddings permiten representar consultas y nodos como vectores numéricos para calcular similitud semántica. En el sistema propuesto, cada nodo PageIndex puede transformarse en un embedding para facilitar la recuperación de contenido relacionado con la consulta del usuario. Sentence-BERT es una referencia relevante para este componente, debido a su uso en tareas de similitud semántica de oraciones [15].</w:t>
      </w:r>
      <w:r w:rsidDel="00000000" w:rsidR="00000000" w:rsidRPr="00000000">
        <w:rPr>
          <w:rtl w:val="0"/>
        </w:rPr>
      </w:r>
    </w:p>
    <w:p w:rsidR="00000000" w:rsidDel="00000000" w:rsidP="00000000" w:rsidRDefault="00000000" w:rsidRPr="00000000" w14:paraId="0000003A">
      <w:pPr>
        <w:pStyle w:val="Heading2"/>
        <w:numPr>
          <w:ilvl w:val="1"/>
          <w:numId w:val="1"/>
        </w:numPr>
        <w:spacing w:after="80" w:lineRule="auto"/>
        <w:rPr/>
      </w:pPr>
      <w:bookmarkStart w:colFirst="0" w:colLast="0" w:name="_o1esrlbi9cul" w:id="3"/>
      <w:bookmarkEnd w:id="3"/>
      <w:r w:rsidDel="00000000" w:rsidR="00000000" w:rsidRPr="00000000">
        <w:rPr>
          <w:rtl w:val="0"/>
        </w:rPr>
        <w:t xml:space="preserve">Chroma</w:t>
      </w:r>
    </w:p>
    <w:p w:rsidR="00000000" w:rsidDel="00000000" w:rsidP="00000000" w:rsidRDefault="00000000" w:rsidRPr="00000000" w14:paraId="0000003B">
      <w:pPr>
        <w:keepNext w:val="1"/>
        <w:keepLines w:val="1"/>
        <w:spacing w:after="240" w:before="240" w:lineRule="auto"/>
        <w:ind w:left="0" w:firstLine="0"/>
        <w:jc w:val="left"/>
        <w:rPr/>
      </w:pPr>
      <w:r w:rsidDel="00000000" w:rsidR="00000000" w:rsidRPr="00000000">
        <w:rPr>
          <w:rtl w:val="0"/>
        </w:rPr>
        <w:t xml:space="preserve">Chroma se emplea como base vectorial para almacenar embeddings y recuperar nodos por similitud. Dentro de la arquitectura, permite implementar la recuperación semántica de enunciados, restricciones, editoriales, etiquetas y pistas. Esta base vectorial funciona como soporte del componente semántico dentro de la recuperación híbrida [19].</w:t>
      </w:r>
      <w:r w:rsidDel="00000000" w:rsidR="00000000" w:rsidRPr="00000000">
        <w:rPr>
          <w:rtl w:val="0"/>
        </w:rPr>
      </w:r>
    </w:p>
    <w:p w:rsidR="00000000" w:rsidDel="00000000" w:rsidP="00000000" w:rsidRDefault="00000000" w:rsidRPr="00000000" w14:paraId="0000003C">
      <w:pPr>
        <w:pStyle w:val="Heading2"/>
        <w:numPr>
          <w:ilvl w:val="1"/>
          <w:numId w:val="1"/>
        </w:numPr>
        <w:spacing w:after="80" w:lineRule="auto"/>
        <w:rPr/>
      </w:pPr>
      <w:bookmarkStart w:colFirst="0" w:colLast="0" w:name="_c8sebgdnw84l" w:id="4"/>
      <w:bookmarkEnd w:id="4"/>
      <w:r w:rsidDel="00000000" w:rsidR="00000000" w:rsidRPr="00000000">
        <w:rPr>
          <w:rtl w:val="0"/>
        </w:rPr>
        <w:t xml:space="preserve">LangChain </w:t>
      </w:r>
      <w:r w:rsidDel="00000000" w:rsidR="00000000" w:rsidRPr="00000000">
        <w:rPr>
          <w:rtl w:val="0"/>
        </w:rPr>
      </w:r>
    </w:p>
    <w:p w:rsidR="00000000" w:rsidDel="00000000" w:rsidP="00000000" w:rsidRDefault="00000000" w:rsidRPr="00000000" w14:paraId="0000003D">
      <w:pPr>
        <w:keepNext w:val="1"/>
        <w:keepLines w:val="1"/>
        <w:spacing w:after="240" w:before="240" w:lineRule="auto"/>
        <w:ind w:left="0" w:firstLine="0"/>
        <w:jc w:val="left"/>
        <w:rPr/>
      </w:pPr>
      <w:r w:rsidDel="00000000" w:rsidR="00000000" w:rsidRPr="00000000">
        <w:rPr>
          <w:rtl w:val="0"/>
        </w:rPr>
        <w:t xml:space="preserve">LangChain permite construir aplicaciones basadas en modelos de lenguaje mediante la integración de recuperadores, prompts, modelos generativos y fuentes externas de datos. En este sistema, su función es conectar el recuperador con el modelo generativo y estructurar el flujo RAG desde la consulta del usuario hasta la respuesta final [20].</w:t>
      </w:r>
      <w:r w:rsidDel="00000000" w:rsidR="00000000" w:rsidRPr="00000000">
        <w:rPr>
          <w:rtl w:val="0"/>
        </w:rPr>
      </w:r>
    </w:p>
    <w:p w:rsidR="00000000" w:rsidDel="00000000" w:rsidP="00000000" w:rsidRDefault="00000000" w:rsidRPr="00000000" w14:paraId="0000003E">
      <w:pPr>
        <w:pStyle w:val="Heading2"/>
        <w:numPr>
          <w:ilvl w:val="1"/>
          <w:numId w:val="1"/>
        </w:numPr>
        <w:spacing w:after="80" w:lineRule="auto"/>
        <w:rPr/>
      </w:pPr>
      <w:bookmarkStart w:colFirst="0" w:colLast="0" w:name="_hx2euu214d69" w:id="5"/>
      <w:bookmarkEnd w:id="5"/>
      <w:r w:rsidDel="00000000" w:rsidR="00000000" w:rsidRPr="00000000">
        <w:rPr>
          <w:rtl w:val="0"/>
        </w:rPr>
        <w:t xml:space="preserve">LangGraph </w:t>
      </w:r>
      <w:r w:rsidDel="00000000" w:rsidR="00000000" w:rsidRPr="00000000">
        <w:rPr>
          <w:rtl w:val="0"/>
        </w:rPr>
      </w:r>
    </w:p>
    <w:p w:rsidR="00000000" w:rsidDel="00000000" w:rsidP="00000000" w:rsidRDefault="00000000" w:rsidRPr="00000000" w14:paraId="0000003F">
      <w:pPr>
        <w:keepNext w:val="1"/>
        <w:keepLines w:val="1"/>
        <w:spacing w:after="240" w:before="240" w:lineRule="auto"/>
        <w:ind w:left="0" w:firstLine="0"/>
        <w:jc w:val="left"/>
        <w:rPr/>
      </w:pPr>
      <w:r w:rsidDel="00000000" w:rsidR="00000000" w:rsidRPr="00000000">
        <w:rPr>
          <w:rtl w:val="0"/>
        </w:rPr>
        <w:t xml:space="preserve">LangGraph permite modelar el flujo del sistema mediante estados y transiciones. En la arquitectura propuesta, puede organizar etapas como recepción de consulta, recuperación jerárquica, selección de contexto, generación de respuesta y evaluación. Su uso es pertinente porque el sistema requiere un flujo controlado y no una llamada directa al modelo de lenguaje [21].</w:t>
      </w:r>
      <w:r w:rsidDel="00000000" w:rsidR="00000000" w:rsidRPr="00000000">
        <w:rPr>
          <w:rtl w:val="0"/>
        </w:rPr>
      </w:r>
    </w:p>
    <w:p w:rsidR="00000000" w:rsidDel="00000000" w:rsidP="00000000" w:rsidRDefault="00000000" w:rsidRPr="00000000" w14:paraId="00000040">
      <w:pPr>
        <w:pStyle w:val="Heading2"/>
        <w:numPr>
          <w:ilvl w:val="1"/>
          <w:numId w:val="1"/>
        </w:numPr>
        <w:spacing w:after="80" w:lineRule="auto"/>
      </w:pPr>
      <w:bookmarkStart w:colFirst="0" w:colLast="0" w:name="_55avokgdehv9" w:id="6"/>
      <w:bookmarkEnd w:id="6"/>
      <w:r w:rsidDel="00000000" w:rsidR="00000000" w:rsidRPr="00000000">
        <w:rPr>
          <w:rtl w:val="0"/>
        </w:rPr>
        <w:t xml:space="preserve">Modelo de Lenguaje</w:t>
      </w:r>
    </w:p>
    <w:p w:rsidR="00000000" w:rsidDel="00000000" w:rsidP="00000000" w:rsidRDefault="00000000" w:rsidRPr="00000000" w14:paraId="00000041">
      <w:pPr>
        <w:ind w:firstLine="0"/>
        <w:rPr/>
      </w:pPr>
      <w:r w:rsidDel="00000000" w:rsidR="00000000" w:rsidRPr="00000000">
        <w:rPr>
          <w:rtl w:val="0"/>
        </w:rPr>
        <w:t xml:space="preserve">El modelo de lenguaje genera la respuesta final a partir del contexto recuperado. En el sistema propuesto, el modelo no debe responder únicamente con su conocimiento interno, sino utilizar los nodos seleccionados por el proceso de recuperación. Esta decisión busca reducir respuestas no sustentadas y mejorar la trazabilidad de la explicación generada [4] [5]. </w:t>
      </w:r>
    </w:p>
    <w:p w:rsidR="00000000" w:rsidDel="00000000" w:rsidP="00000000" w:rsidRDefault="00000000" w:rsidRPr="00000000" w14:paraId="00000042">
      <w:pPr>
        <w:pStyle w:val="Heading2"/>
        <w:numPr>
          <w:ilvl w:val="1"/>
          <w:numId w:val="1"/>
        </w:numPr>
        <w:spacing w:after="80" w:lineRule="auto"/>
        <w:rPr/>
      </w:pPr>
      <w:bookmarkStart w:colFirst="0" w:colLast="0" w:name="_kd70eekey9m9" w:id="7"/>
      <w:bookmarkEnd w:id="7"/>
      <w:r w:rsidDel="00000000" w:rsidR="00000000" w:rsidRPr="00000000">
        <w:rPr>
          <w:rtl w:val="0"/>
        </w:rPr>
        <w:t xml:space="preserve">Herramienta de evaluación </w:t>
      </w:r>
    </w:p>
    <w:p w:rsidR="00000000" w:rsidDel="00000000" w:rsidP="00000000" w:rsidRDefault="00000000" w:rsidRPr="00000000" w14:paraId="00000043">
      <w:pPr>
        <w:ind w:left="0" w:firstLine="0"/>
        <w:rPr>
          <w:b w:val="1"/>
          <w:bCs w:val="1"/>
        </w:rPr>
      </w:pPr>
      <w:r w:rsidDel="00000000" w:rsidR="00000000" w:rsidRPr="00000000">
        <w:rPr>
          <w:rtl w:val="0"/>
        </w:rPr>
        <w:t xml:space="preserve">La evaluación automática puede implementarse mediante una herramienta compatible con métricas RAG, como RAGAS o DeepEval. Su función es calcular Faithfulness a partir de la consulta, el contexto recuperado y la respuesta generada. Esta fase del trabajo permite validar si la salida del modelo propuesto está bien encaminada con la información recuperada [6] [7].</w:t>
      </w:r>
      <w:r w:rsidDel="00000000" w:rsidR="00000000" w:rsidRPr="00000000">
        <w:rPr>
          <w:rtl w:val="0"/>
        </w:rPr>
      </w:r>
    </w:p>
    <w:p w:rsidR="00000000" w:rsidDel="00000000" w:rsidP="00000000" w:rsidRDefault="00000000" w:rsidRPr="00000000" w14:paraId="00000044">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Metodología</w:t>
      </w:r>
      <w:r w:rsidDel="00000000" w:rsidR="00000000" w:rsidRPr="00000000">
        <w:rPr>
          <w:rtl w:val="0"/>
        </w:rPr>
      </w:r>
    </w:p>
    <w:p w:rsidR="00000000" w:rsidDel="00000000" w:rsidP="00000000" w:rsidRDefault="00000000" w:rsidRPr="00000000" w14:paraId="00000045">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Tipo de investigación </w:t>
      </w:r>
      <w:r w:rsidDel="00000000" w:rsidR="00000000" w:rsidRPr="00000000">
        <w:rPr>
          <w:rtl w:val="0"/>
        </w:rPr>
      </w:r>
    </w:p>
    <w:p w:rsidR="00000000" w:rsidDel="00000000" w:rsidP="00000000" w:rsidRDefault="00000000" w:rsidRPr="00000000" w14:paraId="00000046">
      <w:pPr>
        <w:keepNext w:val="1"/>
        <w:keepLines w:val="1"/>
        <w:spacing w:after="240" w:before="360" w:lineRule="auto"/>
        <w:ind w:left="0" w:firstLine="0"/>
        <w:jc w:val="left"/>
        <w:rPr/>
      </w:pPr>
      <w:r>
        <w:rPr>
          <w:rtl w:val="0"/>
        </w:rPr>
        <w:t>La investigación sigue un enfoque aplicativo con evaluación experimental exploratoria: se diseña e implementa un prototipo RAG y se comparan dos representaciones de recuperación bajo las mismas consultas. El estudio no incorpora un grupo de control ni participantes humanos; por ello, el análisis se limita al comportamiento técnico del prototipo y no permite afirmar todavía una mejora del aprendizaje.</w:t>
      </w:r>
    </w:p>
    <w:p w:rsidR="00000000" w:rsidDel="00000000" w:rsidP="00000000" w:rsidRDefault="00000000" w:rsidRPr="00000000" w14:paraId="00000047">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Enfoque de Desarrollo</w:t>
      </w:r>
    </w:p>
    <w:p w:rsidR="00000000" w:rsidDel="00000000" w:rsidP="00000000" w:rsidRDefault="00000000" w:rsidRPr="00000000" w14:paraId="00000048">
      <w:pPr>
        <w:keepNext w:val="1"/>
        <w:keepLines w:val="1"/>
        <w:spacing w:after="240" w:before="360" w:lineRule="auto"/>
        <w:ind w:firstLine="0"/>
        <w:jc w:val="left"/>
        <w:rPr/>
      </w:pPr>
      <w:r w:rsidDel="00000000" w:rsidR="00000000" w:rsidRPr="00000000">
        <w:rPr>
          <w:rtl w:val="0"/>
        </w:rPr>
        <w:t xml:space="preserve">En el desarrollo de este proyecto se utilizó la metodología Scrum [19], esta metodología introduce un enfoque más flexible y adaptable en el desarrollo de sistemas, teniendo en cuenta que las condiciones y requisitos pueden cambiar durante el proyecto. Scrum gestiona procesos definidos y de caja negra reconociendo que algunos aspectos del desarrollo del sistema pueden ser impredecibles. Esto hace que Scrum sea lo suficientemente dinámico para adaptarse a cambios tanto de requisitos del cliente, plazos, competencia, calidad y visión del sistema.</w:t>
      </w:r>
    </w:p>
    <w:p w:rsidR="00000000" w:rsidDel="00000000" w:rsidP="00000000" w:rsidRDefault="00000000" w:rsidRPr="00000000" w14:paraId="00000049">
      <w:pPr>
        <w:keepNext w:val="1"/>
        <w:keepLines w:val="1"/>
        <w:spacing w:after="240" w:before="360" w:lineRule="auto"/>
        <w:ind w:firstLine="0"/>
        <w:jc w:val="left"/>
        <w:rPr/>
      </w:pPr>
      <w:r w:rsidDel="00000000" w:rsidR="00000000" w:rsidRPr="00000000">
        <w:rPr>
          <w:rtl w:val="0"/>
        </w:rPr>
        <w:t xml:space="preserve">Se escogió esta metodología porque varios autores [20] [21] hallaron beneficios en sus investigaciones con respecto a la satisfacción del cliente gracias a la entrega de productos de alta calidad y en tiempos bastantes atractivos. En resumen, Scrum ha sido una metodología de trabajo que ha ayudado a mejorar a las organizaciones en mejorar la calidad del producto, reducir costos y aumentar la satisfacción del cliente.</w:t>
      </w:r>
      <w:r w:rsidDel="00000000" w:rsidR="00000000" w:rsidRPr="00000000">
        <w:rPr>
          <w:rtl w:val="0"/>
        </w:rPr>
      </w:r>
    </w:p>
    <w:p w:rsidR="00000000" w:rsidDel="00000000" w:rsidP="00000000" w:rsidRDefault="00000000" w:rsidRPr="00000000" w14:paraId="0000004A">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Fases metodológicas por sprint </w:t>
      </w:r>
    </w:p>
    <w:p w:rsidR="00000000" w:rsidDel="00000000" w:rsidP="00000000" w:rsidRDefault="00000000" w:rsidRPr="00000000" w14:paraId="0000004B">
      <w:pPr>
        <w:keepNext w:val="1"/>
        <w:keepLines w:val="1"/>
        <w:spacing w:after="240" w:before="360" w:lineRule="auto"/>
        <w:ind w:left="0" w:firstLine="0"/>
        <w:jc w:val="left"/>
        <w:rPr/>
      </w:pPr>
      <w:r>
        <w:rPr>
          <w:b w:val="1"/>
          <w:bCs w:val="1"/>
          <w:rtl w:val="0"/>
        </w:rPr>
        <w:t xml:space="preserve">Sprint 1: Recolección y procesamiento del corpus de programación competitiva. </w:t>
      </w:r>
      <w:r>
        <w:rPr>
          <w:rtl w:val="0"/>
        </w:rPr>
        <w:t>Se empleó un script de Python para obtener metadatos y recuperar editoriales oficiales mediante solicitudes controladas y cache. El módulo admite Codeforces y AtCoder; sin embargo, el corpus utilizado en esta evaluación está formado por 80 problemas de Codeforces correspondientes a concursos Division 4 recientes. El contenido se conservó junto con su URL y estado de extracción, sin completar de forma artificial las editoriales que no pudieron recuperarse.</w:t>
      </w:r>
    </w:p>
    <w:p w:rsidR="00000000" w:rsidDel="00000000" w:rsidP="00000000" w:rsidRDefault="00000000" w:rsidRPr="00000000" w14:paraId="0000004C">
      <w:pPr>
        <w:keepNext w:val="1"/>
        <w:keepLines w:val="1"/>
        <w:spacing w:after="240" w:before="360" w:lineRule="auto"/>
        <w:ind w:left="0" w:firstLine="0"/>
        <w:jc w:val="left"/>
        <w:rPr/>
      </w:pPr>
      <w:r w:rsidDel="00000000" w:rsidR="00000000" w:rsidRPr="00000000">
        <w:rPr>
          <w:b w:val="1"/>
          <w:bCs w:val="1"/>
          <w:rtl w:val="0"/>
        </w:rPr>
        <w:t xml:space="preserve">Sprint 2: Estructuración semántica de los problemas. </w:t>
      </w:r>
      <w:r w:rsidDel="00000000" w:rsidR="00000000" w:rsidRPr="00000000">
        <w:rPr>
          <w:rtl w:val="0"/>
        </w:rPr>
        <w:t xml:space="preserve">La información de los problemas fueron divididas siguiendo la estructura de un árbol [14], separando partes como enunciado, restricciones, ejemplos, etiquetas, editorial, prueba, algoritmo, complejidad, pistas de implementación y errores comunes. Esta división fue necesaria porque una consulta del competidor no siempre requiere recuperar el problema completo; por ejemplo, una duda sobre búsqueda binaria puede depender más de las restricciones y de la editorial, mientras que una pregunta sobre programación dinámica puede requerir la transición, el estado y la justificación. Gracias a esta organización se preparó con éxito la base estructurada que luego sería utilizada por PageIndex y por la estrategia de búsqueda híbrida.  </w:t>
      </w:r>
    </w:p>
    <w:p w:rsidR="00000000" w:rsidDel="00000000" w:rsidP="00000000" w:rsidRDefault="00000000" w:rsidRPr="00000000" w14:paraId="0000004D">
      <w:pPr>
        <w:keepNext w:val="1"/>
        <w:keepLines w:val="1"/>
        <w:spacing w:after="240" w:before="360" w:lineRule="auto"/>
        <w:ind w:left="0" w:firstLine="0"/>
        <w:jc w:val="left"/>
        <w:rPr/>
      </w:pPr>
      <w:r>
        <w:rPr>
          <w:b w:val="1"/>
          <w:bCs w:val="1"/>
          <w:rtl w:val="0"/>
        </w:rPr>
        <w:t xml:space="preserve">Sprint 3: Implementación del baseline de recuperación vectorial. </w:t>
      </w:r>
      <w:r>
        <w:rPr>
          <w:rtl w:val="0"/>
        </w:rPr>
        <w:t>Se utilizó Page Nodes como baseline plano. El texto de cada nodo se representó con TF-IDF de unigramas y bigramas, reducción TruncatedSVD de hasta 128 dimensiones y normalización L2; la recuperación se calculó mediante producto interno, equivalente a similitud coseno para vectores normalizados. Los mismos vectores fueron consultados en matriz local, FAISS y ChromaDB. Esta configuración permitió separar el efecto del backend del efecto de la organización jerárquica y mantener una referencia reproducible antes de aplicar PageIndex.</w:t>
      </w:r>
    </w:p>
    <w:p w:rsidR="00000000" w:rsidDel="00000000" w:rsidP="00000000" w:rsidRDefault="00000000" w:rsidRPr="00000000" w14:paraId="0000004E">
      <w:pPr>
        <w:keepNext w:val="1"/>
        <w:keepLines w:val="1"/>
        <w:spacing w:after="240" w:before="360" w:lineRule="auto"/>
        <w:ind w:left="0" w:firstLine="0"/>
        <w:jc w:val="left"/>
        <w:rPr/>
      </w:pPr>
      <w:r w:rsidDel="00000000" w:rsidR="00000000" w:rsidRPr="00000000">
        <w:rPr>
          <w:b w:val="1"/>
          <w:bCs w:val="1"/>
          <w:rtl w:val="0"/>
        </w:rPr>
        <w:t xml:space="preserve">Sprint 4: Implementación de la estrategia híbrida basada en PageIndex. </w:t>
      </w:r>
      <w:r w:rsidDel="00000000" w:rsidR="00000000" w:rsidRPr="00000000">
        <w:rPr>
          <w:rtl w:val="0"/>
        </w:rPr>
        <w:t xml:space="preserve">Se comenzó a desarrollar la estrategia propuesta de recuperación híbrida apoyada en PageIndex y Hybrid Tree Search, combinando la similitud del contenido con la estructura jerárquica de los nodos. Lo cual permitió que el sistema no solo buscara fragmentos parecidos a la consulta, sino que también considerara el tipo de nodo y su relación con el problema. Esto es relevante porque una pista, una restricción y una prueba de corrección cumplen funciones distintas al momento de resolver un problema; por ejemplo, una restricción como n &lt;= 2 * 10^5 puede orientar hacia búsqueda binaria o estructuras de datos, mientras que la editorial puede explicar por qué ese enfoque funciona.</w:t>
      </w:r>
    </w:p>
    <w:p w:rsidR="00000000" w:rsidDel="00000000" w:rsidP="00000000" w:rsidRDefault="00000000" w:rsidRPr="00000000" w14:paraId="0000004F">
      <w:pPr>
        <w:keepNext w:val="1"/>
        <w:keepLines w:val="1"/>
        <w:spacing w:after="240" w:before="360" w:lineRule="auto"/>
        <w:ind w:left="0" w:firstLine="0"/>
        <w:jc w:val="left"/>
        <w:rPr/>
      </w:pPr>
      <w:r>
        <w:rPr>
          <w:b w:val="1"/>
          <w:bCs w:val="1"/>
          <w:rtl w:val="0"/>
        </w:rPr>
        <w:t xml:space="preserve">Sprint 5: Construcción del conjunto de evaluación. </w:t>
      </w:r>
      <w:r>
        <w:rPr>
          <w:rtl w:val="0"/>
        </w:rPr>
        <w:t>Se seleccionaron 40 problemas del corpus de 80 mediante un muestreo determinista distribuido por dificultad. Para cada problema se formuló una consulta y se asignaron diez consultas a cada una de cuatro categorías: observación y algoritmo, restricciones y complejidad, prueba de corrección y riesgos de implementación. Page Nodes y PageIndex Chunks recibieron las mismas 40 consultas, con recuperación global top-5 y sin restringir previamente la búsqueda al problema esperado. Las respuestas se evaluaron con Faithfulness y Answer Relevancy mediante LLM-as-a-Judge.</w:t>
      </w:r>
    </w:p>
    <w:p w:rsidR="00000000" w:rsidDel="00000000" w:rsidP="00000000" w:rsidRDefault="00000000" w:rsidRPr="00000000" w14:paraId="00000050">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Arquitectura</w:t>
      </w:r>
    </w:p>
    <w:p w:rsidR="00000000" w:rsidDel="00000000" w:rsidP="00000000" w:rsidRDefault="00000000" w:rsidRPr="00000000" w14:paraId="00000051">
      <w:pPr>
        <w:keepNext w:val="1"/>
        <w:keepLines w:val="1"/>
        <w:spacing w:after="240" w:before="360" w:lineRule="auto"/>
        <w:ind w:left="0" w:firstLine="0"/>
        <w:jc w:val="left"/>
        <w:rPr/>
      </w:pPr>
      <w:r w:rsidDel="00000000" w:rsidR="00000000" w:rsidRPr="00000000">
        <w:rPr>
          <w:rtl w:val="0"/>
        </w:rPr>
        <w:t xml:space="preserve">La arquitectura de la propuesta Figura 1 demuestra lo mencionado en los sprints. Une la capa de recolección de información de los problemas (script en python), su descomposición en nodos correctamente distribuidos, el núcleo de la generación de la respuesta (LangGraph - GPT-4o mini) y la parte de mediciones de calidad, siguiendo todo lo mencionado en las fases de desarrollo.</w:t>
      </w:r>
    </w:p>
    <w:p w:rsidR="00000000" w:rsidDel="00000000" w:rsidP="00000000" w:rsidRDefault="00000000" w:rsidRPr="00000000" w14:paraId="00000052">
      <w:pPr>
        <w:keepNext w:val="1"/>
        <w:keepLines w:val="1"/>
        <w:spacing w:after="240" w:before="360" w:lineRule="auto"/>
        <w:ind w:left="0" w:firstLine="0"/>
        <w:jc w:val="center"/>
        <w:rPr/>
      </w:pPr>
      <w:r w:rsidDel="00000000" w:rsidR="00000000" w:rsidRPr="00000000">
        <w:rPr/>
        <w:drawing>
          <wp:inline distB="114300" distT="114300" distL="114300" distR="114300">
            <wp:extent cx="4392620" cy="24765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2620" cy="2476500"/>
                    </a:xfrm>
                    <a:prstGeom prst="rect"/>
                    <a:ln w="12700">
                      <a:solidFill>
                        <a:srgbClr val="000000"/>
                      </a:solidFill>
                      <a:prstDash val="solid"/>
                    </a:ln>
                  </pic:spPr>
                </pic:pic>
              </a:graphicData>
            </a:graphic>
          </wp:inline>
        </w:drawing>
      </w:r>
      <w:r w:rsidDel="00000000" w:rsidR="00000000" w:rsidRPr="00000000">
        <w:rPr>
          <w:b w:val="1"/>
          <w:bCs w:val="1"/>
          <w:sz w:val="18"/>
          <w:szCs w:val="18"/>
          <w:rtl w:val="0"/>
        </w:rPr>
        <w:t xml:space="preserve">Fig. 1.</w:t>
      </w:r>
      <w:r w:rsidDel="00000000" w:rsidR="00000000" w:rsidRPr="00000000">
        <w:rPr>
          <w:sz w:val="18"/>
          <w:szCs w:val="18"/>
          <w:rtl w:val="0"/>
        </w:rPr>
        <w:t xml:space="preserve"> Diagrama de Arquitectura del Sistema</w:t>
      </w:r>
      <w:r w:rsidDel="00000000" w:rsidR="00000000" w:rsidRPr="00000000">
        <w:rPr>
          <w:rtl w:val="0"/>
        </w:rPr>
      </w:r>
    </w:p>
    <w:p w:rsidR="00000000" w:rsidDel="00000000" w:rsidP="00000000" w:rsidRDefault="00000000" w:rsidRPr="00000000" w14:paraId="00000053">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Métricas de Evaluación</w:t>
      </w: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t xml:space="preserve">Para poder medir correctamente la calidad de las respuestas se utilizaron los siguientes indicadores: FaithFulness y Answer Relevancy. Estas métricas pertenecen a la familia de indicadores usados en sistemas RAG y producen valores normalizados en [0,1], donde 1 representa un desempeño óptimo. Su finalidad es medir si las afirmaciones generadas por el modelo están sustentadas en el contexto recuperado [6] [7].</w:t>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ind w:firstLine="0"/>
        <w:rPr/>
      </w:pPr>
      <w:r w:rsidDel="00000000" w:rsidR="00000000" w:rsidRPr="00000000">
        <w:rPr>
          <w:b w:val="1"/>
          <w:bCs w:val="1"/>
          <w:rtl w:val="0"/>
        </w:rPr>
        <w:t xml:space="preserve">Faithfulness (Fidelidad). </w:t>
      </w:r>
      <w:r w:rsidDel="00000000" w:rsidR="00000000" w:rsidRPr="00000000">
        <w:rPr>
          <w:rtl w:val="0"/>
        </w:rPr>
        <w:t xml:space="preserve">Mide la alineación factual entre la respuesta generada y el contexto recuperado. Sea </w:t>
      </w:r>
      <m:oMath>
        <m:sSub>
          <m:sSubPr>
            <m:ctrlPr>
              <w:rPr/>
            </m:ctrlPr>
          </m:sSubPr>
          <m:e>
            <m:r>
              <w:rPr/>
              <m:t xml:space="preserve">C</m:t>
            </m:r>
          </m:e>
          <m:sub>
            <m:r>
              <w:rPr/>
              <m:t xml:space="preserve">truth</m:t>
            </m:r>
          </m:sub>
        </m:sSub>
      </m:oMath>
      <w:r w:rsidDel="00000000" w:rsidR="00000000" w:rsidRPr="00000000">
        <w:rPr>
          <w:rtl w:val="0"/>
        </w:rPr>
        <w:t xml:space="preserve"> el número de afirmaciones del </w:t>
      </w:r>
      <w:r w:rsidDel="00000000" w:rsidR="00000000" w:rsidRPr="00000000">
        <w:rPr>
          <w:i w:val="1"/>
          <w:iCs w:val="1"/>
          <w:rtl w:val="0"/>
        </w:rPr>
        <w:t xml:space="preserve">actual output</w:t>
      </w:r>
      <w:r w:rsidDel="00000000" w:rsidR="00000000" w:rsidRPr="00000000">
        <w:rPr>
          <w:rtl w:val="0"/>
        </w:rPr>
        <w:t xml:space="preserve"> que están sustentadas por el </w:t>
      </w:r>
      <w:r w:rsidDel="00000000" w:rsidR="00000000" w:rsidRPr="00000000">
        <w:rPr>
          <w:i w:val="1"/>
          <w:iCs w:val="1"/>
          <w:rtl w:val="0"/>
        </w:rPr>
        <w:t xml:space="preserve">retrieval context</w:t>
      </w:r>
      <w:r w:rsidDel="00000000" w:rsidR="00000000" w:rsidRPr="00000000">
        <w:rPr>
          <w:rtl w:val="0"/>
        </w:rPr>
        <w:t xml:space="preserve">, y </w:t>
      </w:r>
      <m:oMath>
        <m:sSub>
          <m:sSubPr>
            <m:ctrlPr>
              <w:rPr/>
            </m:ctrlPr>
          </m:sSubPr>
          <m:e>
            <m:r>
              <w:rPr/>
              <m:t xml:space="preserve">C</m:t>
            </m:r>
          </m:e>
          <m:sub>
            <m:r>
              <w:rPr/>
              <m:t xml:space="preserve">tot</m:t>
            </m:r>
          </m:sub>
        </m:sSub>
      </m:oMath>
      <w:r w:rsidDel="00000000" w:rsidR="00000000" w:rsidRPr="00000000">
        <w:rPr>
          <w:rtl w:val="0"/>
        </w:rPr>
        <w:t xml:space="preserve"> el número total de afirmaciones extraídas de la respuesta, la métrica se expresa como [6] [7]: </w:t>
      </w:r>
    </w:p>
    <w:p w:rsidR="00000000" w:rsidDel="00000000" w:rsidP="00000000" w:rsidRDefault="00000000" w:rsidRPr="00000000" w14:paraId="00000057">
      <w:pPr>
        <w:keepNext w:val="1"/>
        <w:keepLines w:val="1"/>
        <w:spacing w:after="240" w:before="360" w:lineRule="auto"/>
        <w:ind w:left="567" w:firstLine="0"/>
        <w:jc w:val="center"/>
        <w:rPr>
          <w:b w:val="1"/>
          <w:bCs w:val="1"/>
          <w:sz w:val="24"/>
          <w:szCs w:val="24"/>
        </w:rPr>
      </w:pPr>
      <m:oMath>
        <m:r>
          <w:rPr>
            <w:b w:val="1"/>
            <w:bCs w:val="1"/>
            <w:sz w:val="24"/>
            <w:szCs w:val="24"/>
          </w:rPr>
          <m:t xml:space="preserve">FaithFulness =</m:t>
        </m:r>
        <m:f>
          <m:fPr>
            <m:ctrlPr>
              <w:rPr>
                <w:b w:val="1"/>
                <w:bCs w:val="1"/>
                <w:sz w:val="24"/>
                <w:szCs w:val="24"/>
              </w:rPr>
            </m:ctrlPr>
          </m:fPr>
          <m:num>
            <m:sSub>
              <m:sSubPr>
                <m:ctrlPr>
                  <w:rPr>
                    <w:b w:val="1"/>
                    <w:bCs w:val="1"/>
                    <w:sz w:val="24"/>
                    <w:szCs w:val="24"/>
                  </w:rPr>
                </m:ctrlPr>
              </m:sSubPr>
              <m:e>
                <m:r>
                  <w:rPr>
                    <w:b w:val="1"/>
                    <w:bCs w:val="1"/>
                    <w:sz w:val="24"/>
                    <w:szCs w:val="24"/>
                  </w:rPr>
                  <m:t xml:space="preserve">C</m:t>
                </m:r>
              </m:e>
              <m:sub>
                <m:r>
                  <w:rPr>
                    <w:b w:val="1"/>
                    <w:bCs w:val="1"/>
                    <w:sz w:val="24"/>
                    <w:szCs w:val="24"/>
                  </w:rPr>
                  <m:t xml:space="preserve">truth</m:t>
                </m:r>
              </m:sub>
            </m:sSub>
          </m:num>
          <m:den>
            <m:sSub>
              <m:sSubPr>
                <m:ctrlPr>
                  <w:rPr>
                    <w:b w:val="1"/>
                    <w:bCs w:val="1"/>
                    <w:sz w:val="24"/>
                    <w:szCs w:val="24"/>
                  </w:rPr>
                </m:ctrlPr>
              </m:sSubPr>
              <m:e>
                <m:r>
                  <w:rPr>
                    <w:b w:val="1"/>
                    <w:bCs w:val="1"/>
                    <w:sz w:val="24"/>
                    <w:szCs w:val="24"/>
                  </w:rPr>
                  <m:t xml:space="preserve">C</m:t>
                </m:r>
              </m:e>
              <m:sub>
                <m:r>
                  <w:rPr>
                    <w:b w:val="1"/>
                    <w:bCs w:val="1"/>
                    <w:sz w:val="24"/>
                    <w:szCs w:val="24"/>
                  </w:rPr>
                  <m:t xml:space="preserve">tot</m:t>
                </m:r>
              </m:sub>
            </m:sSub>
          </m:den>
        </m:f>
      </m:oMath>
      <w:r w:rsidDel="00000000" w:rsidR="00000000" w:rsidRPr="00000000">
        <w:rPr>
          <w:rtl w:val="0"/>
        </w:rPr>
      </w:r>
    </w:p>
    <w:p w:rsidR="00000000" w:rsidDel="00000000" w:rsidP="00000000" w:rsidRDefault="00000000" w:rsidRPr="00000000" w14:paraId="00000058">
      <w:pPr>
        <w:keepNext w:val="1"/>
        <w:keepLines w:val="1"/>
        <w:spacing w:after="240" w:before="360" w:lineRule="auto"/>
        <w:ind w:left="0" w:firstLine="0"/>
        <w:jc w:val="left"/>
        <w:rPr/>
      </w:pPr>
      <w:r w:rsidDel="00000000" w:rsidR="00000000" w:rsidRPr="00000000">
        <w:rPr>
          <w:rFonts w:ascii="Gungsuh" w:cs="Gungsuh" w:eastAsia="Gungsuh" w:hAnsi="Gungsuh"/>
          <w:rtl w:val="0"/>
        </w:rPr>
        <w:t xml:space="preserve">Se adopta como umbral satisfactorio Faithfulness ≥ 0.80. Esta métrica se selecciona porque el sistema propuesto está orientado al apoyo educativo en programación competitiva, donde una respuesta no sustentada podría sugerir una técnica algorítmica incorrecta, interpretar mal una restricción o generar una explicación que no aparece en el contexto recuperado.</w:t>
      </w:r>
    </w:p>
    <w:p w:rsidR="00000000" w:rsidDel="00000000" w:rsidP="00000000" w:rsidRDefault="00000000" w:rsidRPr="00000000" w14:paraId="00000059">
      <w:pPr>
        <w:keepNext w:val="1"/>
        <w:keepLines w:val="1"/>
        <w:spacing w:after="240" w:before="240" w:lineRule="auto"/>
        <w:ind w:firstLine="0"/>
        <w:jc w:val="left"/>
        <w:rPr/>
      </w:pPr>
      <w:r w:rsidDel="00000000" w:rsidR="00000000" w:rsidRPr="00000000">
        <w:rPr>
          <w:b w:val="1"/>
          <w:bCs w:val="1"/>
          <w:rtl w:val="0"/>
        </w:rPr>
        <w:t xml:space="preserve">Answer Relevancy (Relevancia de la respuesta). </w:t>
      </w:r>
      <w:r w:rsidDel="00000000" w:rsidR="00000000" w:rsidRPr="00000000">
        <w:rPr>
          <w:rtl w:val="0"/>
        </w:rPr>
        <w:t xml:space="preserve">Evalúa el grado de pertinencia de la respuesta generada con respecto a la consulta formulada por el usuario. Esta métrica permite determinar si el sistema responde directamente a la necesidad del estudiante o si genera información secundaria, incompleta o poco relacionada con la pregunta original. Sea N_rel el número de enunciados del </w:t>
      </w:r>
      <w:r w:rsidDel="00000000" w:rsidR="00000000" w:rsidRPr="00000000">
        <w:rPr>
          <w:i w:val="1"/>
          <w:iCs w:val="1"/>
          <w:rtl w:val="0"/>
        </w:rPr>
        <w:t xml:space="preserve">actual output</w:t>
      </w:r>
      <w:r w:rsidDel="00000000" w:rsidR="00000000" w:rsidRPr="00000000">
        <w:rPr>
          <w:rtl w:val="0"/>
        </w:rPr>
        <w:t xml:space="preserve"> clasificados como relevantes para la consulta, y (N_tot) el número total de enunciados evaluados en la respuesta, la métrica se expresa como [6] [7]:</w:t>
      </w:r>
    </w:p>
    <w:p w:rsidR="00000000" w:rsidDel="00000000" w:rsidP="00000000" w:rsidRDefault="00000000" w:rsidRPr="00000000" w14:paraId="0000005A">
      <w:pPr>
        <w:keepNext w:val="1"/>
        <w:keepLines w:val="1"/>
        <w:spacing w:after="240" w:before="240" w:lineRule="auto"/>
        <w:ind w:firstLine="0"/>
        <w:jc w:val="left"/>
        <w:rPr/>
      </w:pPr>
      <w:r w:rsidDel="00000000" w:rsidR="00000000" w:rsidRPr="00000000">
        <w:rPr>
          <w:rtl w:val="0"/>
        </w:rPr>
        <w:br w:type="textWrapping"/>
        <w:t xml:space="preserve">Answer Relevancy = N_rel / N_tot</w:t>
        <w:br w:type="textWrapping"/>
      </w:r>
    </w:p>
    <w:p w:rsidR="00000000" w:rsidDel="00000000" w:rsidP="00000000" w:rsidRDefault="00000000" w:rsidRPr="00000000" w14:paraId="0000005B">
      <w:pPr>
        <w:keepNext w:val="1"/>
        <w:keepLines w:val="1"/>
        <w:spacing w:after="240" w:before="240" w:lineRule="auto"/>
        <w:ind w:firstLine="0"/>
        <w:jc w:val="left"/>
        <w:rPr/>
      </w:pPr>
      <w:r w:rsidDel="00000000" w:rsidR="00000000" w:rsidRPr="00000000">
        <w:rPr>
          <w:rtl w:val="0"/>
        </w:rPr>
        <w:t xml:space="preserve">Se adopta como umbral satisfactorio (Answer\ Relevancy \geq 0.85).</w:t>
      </w:r>
    </w:p>
    <w:p w:rsidR="00000000" w:rsidDel="00000000" w:rsidP="00000000" w:rsidRDefault="00000000" w:rsidRPr="00000000" w14:paraId="0000005C">
      <w:pPr>
        <w:keepNext w:val="1"/>
        <w:keepLines w:val="1"/>
        <w:spacing w:after="240" w:before="360" w:lineRule="auto"/>
        <w:ind w:left="0" w:firstLine="0"/>
        <w:jc w:val="left"/>
        <w:rPr/>
      </w:pPr>
      <w:r>
        <w:rPr>
          <w:rtl w:val="0"/>
        </w:rPr>
        <w:t>Ambos indicadores se calcularon mediante LLM-as-a-Judge. GPT-4o-mini, con temperatura 0, se utilizó tanto para generar las respuestas como para producir los puntajes en formato estructurado. Esta decisión favorece la reproducibilidad del prototipo, pero introduce un posible sesgo de auto-preferencia, porque el generador y el evaluador son el mismo modelo. Por esta razón, los puntajes se interpretan como una medida automática de consistencia interna y no como validación independiente.</w:t>
      </w:r>
    </w:p>
    <w:p w:rsidR="00000000" w:rsidDel="00000000" w:rsidP="00000000" w:rsidRDefault="00000000" w:rsidRPr="00000000" w14:paraId="0000005D">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Resultado y discusión </w:t>
      </w:r>
      <w:r w:rsidDel="00000000" w:rsidR="00000000" w:rsidRPr="00000000">
        <w:rPr>
          <w:rtl w:val="0"/>
        </w:rPr>
      </w:r>
    </w:p>
    <w:p w:rsidR="00000000" w:rsidDel="00000000" w:rsidP="00000000" w:rsidRDefault="00000000" w:rsidRPr="00000000" w14:paraId="0000005E">
      <w:pPr>
        <w:ind w:firstLine="0"/>
        <w:rPr/>
      </w:pPr>
      <w:r>
        <w:rPr>
          <w:rtl w:val="0"/>
        </w:rPr>
        <w:t>El desempeño del sistema se evaluó con 40 consultas sobre 40 problemas, equivalentes al 50 % del corpus disponible. Se compararon el baseline vectorial Page Nodes y la representación PageIndex Chunks bajo recuperación global top-5, usando el mismo conjunto de consultas y GPT-4o-mini. Se adoptaron los umbrales definidos en la metodología: 0.80 para Faithfulness y 0.85 para Answer Relevancy. La Tabla I presenta los resultados desagregados por modo de indexación.</w:t>
      </w:r>
    </w:p>
    <w:p w:rsidR="00000000" w:rsidDel="00000000" w:rsidP="00000000" w:rsidRDefault="00000000" w:rsidRPr="00000000" w14:paraId="0000005F">
      <w:pPr>
        <w:ind w:firstLine="0"/>
        <w:rPr/>
      </w:pPr>
      <w:r w:rsidDel="00000000" w:rsidR="00000000" w:rsidRPr="00000000">
        <w:rPr>
          <w:rtl w:val="0"/>
        </w:rPr>
      </w:r>
    </w:p>
    <w:p w:rsidR="00000000" w:rsidDel="00000000" w:rsidP="00000000" w:rsidRDefault="00000000" w:rsidRPr="00000000" w14:paraId="00000060">
      <w:pPr>
        <w:ind w:firstLine="0"/>
        <w:rPr/>
      </w:pPr>
      <w:r w:rsidDel="00000000" w:rsidR="00000000" w:rsidRPr="00000000">
        <w:rPr>
          <w:rtl w:val="0"/>
        </w:rPr>
      </w:r>
    </w:p>
    <w:p w:rsidR="00000000" w:rsidDel="00000000" w:rsidP="00000000" w:rsidRDefault="00000000" w:rsidRPr="00000000" w14:paraId="00000061">
      <w:pPr>
        <w:ind w:firstLine="0"/>
        <w:rPr/>
      </w:pPr>
      <w:r w:rsidDel="00000000" w:rsidR="00000000" w:rsidRPr="00000000">
        <w:rPr>
          <w:rtl w:val="0"/>
        </w:rPr>
      </w:r>
    </w:p>
    <w:p w:rsidR="00000000" w:rsidDel="00000000" w:rsidP="00000000" w:rsidRDefault="00000000" w:rsidRPr="00000000" w14:paraId="00000062">
      <w:pPr>
        <w:keepNext w:val="1"/>
        <w:keepLines w:val="1"/>
        <w:spacing w:after="120" w:before="240" w:lineRule="auto"/>
        <w:ind w:firstLine="0"/>
        <w:jc w:val="center"/>
        <w:rPr>
          <w:sz w:val="18"/>
          <w:szCs w:val="18"/>
        </w:rPr>
      </w:pPr>
      <w:r>
        <w:rPr>
          <w:b w:val="1"/>
          <w:bCs w:val="1"/>
          <w:sz w:val="18"/>
          <w:szCs w:val="18"/>
          <w:rtl w:val="0"/>
        </w:rPr>
        <w:t>Table 1.</w:t>
      </w:r>
      <w:r>
        <w:rPr>
          <w:sz w:val="18"/>
          <w:szCs w:val="18"/>
          <w:rtl w:val="0"/>
        </w:rPr>
        <w:t xml:space="preserve"> Comparación LLM-as-a-Judge entre Page Nodes y PageIndex Chunks (n = 40)</w:t>
      </w:r>
    </w:p>
    <w:tbl>
      <w:tblPr>
        <w:tblStyle w:val="Table1"/>
        <w:tblW w:w="6917.511811023624" w:type="dxa"/>
        <w:jc w:val="center"/>
        <w:tblLayout w:type="fixed"/>
        <w:tblLook w:val="0000"/>
      </w:tblPr>
      <w:tblGrid>
        <w:gridCol w:w="1872"/>
        <w:gridCol w:w="835"/>
        <w:gridCol w:w="950"/>
        <w:gridCol w:w="1613"/>
        <w:gridCol w:w="1037"/>
        <w:tblGridChange w:id="0">
          <w:tblGrid>
            <w:gridCol w:w="1125.96729045233"/>
            <w:gridCol w:w="2291.8624990058065"/>
            <w:gridCol w:w="1166.5606738551626"/>
            <w:gridCol w:w="1166.5606738551626"/>
            <w:gridCol w:w="1166.5606738551626"/>
          </w:tblGrid>
        </w:tblGridChange>
      </w:tblGrid>
      <w:tr>
        <w:trPr>
          <w:cantSplit w:val="0"/>
          <w:tblHeader w:val="0"/>
          <w:tblHeader w:val="true"/>
        </w:trPr>
        <w:tc>
          <w:tcPr>
            <w:tcW w:type="dxa" w:w="1872"/>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3">
            <w:pPr>
              <w:spacing w:before="0" w:after="0" w:line="240" w:lineRule="auto"/>
              <w:ind w:firstLine="0"/>
              <w:jc w:val="center"/>
              <w:rPr>
                <w:sz w:val="18"/>
                <w:szCs w:val="18"/>
              </w:rPr>
            </w:pPr>
            <w:r>
              <w:rPr>
                <w:rFonts w:ascii="Times New Roman" w:hAnsi="Times New Roman"/>
                <w:b/>
                <w:sz w:val="15"/>
                <w:szCs w:val="18"/>
                <w:rtl w:val="0"/>
              </w:rPr>
              <w:t>Modo / Métrica</w:t>
            </w:r>
          </w:p>
        </w:tc>
        <w:tc>
          <w:tcPr>
            <w:tcW w:type="dxa" w:w="835"/>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4">
            <w:pPr>
              <w:spacing w:before="0" w:after="0" w:line="240" w:lineRule="auto"/>
              <w:ind w:firstLine="0"/>
              <w:jc w:val="center"/>
              <w:rPr>
                <w:sz w:val="18"/>
                <w:szCs w:val="18"/>
              </w:rPr>
            </w:pPr>
            <w:r>
              <w:rPr>
                <w:rFonts w:ascii="Times New Roman" w:hAnsi="Times New Roman"/>
                <w:b/>
                <w:sz w:val="15"/>
                <w:szCs w:val="18"/>
                <w:rtl w:val="0"/>
              </w:rPr>
              <w:t>Umbral</w:t>
            </w:r>
          </w:p>
        </w:tc>
        <w:tc>
          <w:tcPr>
            <w:tcW w:type="dxa" w:w="950"/>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5">
            <w:pPr>
              <w:spacing w:before="0" w:after="0" w:line="240" w:lineRule="auto"/>
              <w:ind w:firstLine="0"/>
              <w:jc w:val="center"/>
              <w:rPr>
                <w:sz w:val="18"/>
                <w:szCs w:val="18"/>
              </w:rPr>
            </w:pPr>
            <w:r>
              <w:rPr>
                <w:rFonts w:ascii="Times New Roman" w:hAnsi="Times New Roman"/>
                <w:b/>
                <w:sz w:val="15"/>
                <w:szCs w:val="18"/>
                <w:rtl w:val="0"/>
              </w:rPr>
              <w:t>Promedio</w:t>
            </w:r>
          </w:p>
        </w:tc>
        <w:tc>
          <w:tcPr>
            <w:tcW w:type="dxa" w:w="1613"/>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6">
            <w:pPr>
              <w:spacing w:before="0" w:after="0" w:line="240" w:lineRule="auto"/>
              <w:ind w:firstLine="0"/>
              <w:jc w:val="center"/>
              <w:rPr>
                <w:sz w:val="18"/>
                <w:szCs w:val="18"/>
              </w:rPr>
            </w:pPr>
            <w:r>
              <w:rPr>
                <w:rFonts w:ascii="Times New Roman" w:hAnsi="Times New Roman"/>
                <w:b/>
                <w:sz w:val="15"/>
                <w:szCs w:val="18"/>
                <w:rtl w:val="0"/>
              </w:rPr>
              <w:t>Desviación estándar</w:t>
            </w:r>
          </w:p>
        </w:tc>
        <w:tc>
          <w:tcPr>
            <w:tcW w:type="dxa" w:w="1037"/>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7">
            <w:pPr>
              <w:spacing w:before="0" w:after="0" w:line="240" w:lineRule="auto"/>
              <w:ind w:firstLine="0"/>
              <w:jc w:val="center"/>
              <w:rPr>
                <w:sz w:val="18"/>
                <w:szCs w:val="18"/>
              </w:rPr>
            </w:pPr>
            <w:r>
              <w:rPr>
                <w:rFonts w:ascii="Times New Roman" w:hAnsi="Times New Roman"/>
                <w:b/>
                <w:sz w:val="15"/>
                <w:szCs w:val="18"/>
                <w:rtl w:val="0"/>
              </w:rPr>
              <w:t>Cumplimiento</w:t>
            </w:r>
          </w:p>
        </w:tc>
      </w:tr>
      <w:tr>
        <w:trPr>
          <w:cantSplit w:val="0"/>
          <w:trHeight w:val="284" w:hRule="atLeast"/>
          <w:tblHeader w:val="0"/>
        </w:trPr>
        <w:tc>
          <w:tcPr>
            <w:tcW w:type="dxa" w:w="1872"/>
            <w:vAlign w:val="center"/>
            <w:tcMar>
              <w:top w:w="55" w:type="dxa"/>
              <w:start w:w="55" w:type="dxa"/>
              <w:bottom w:w="55" w:type="dxa"/>
              <w:end w:w="55" w:type="dxa"/>
            </w:tcMar>
          </w:tcPr>
          <w:p w:rsidR="00000000" w:rsidDel="00000000" w:rsidP="00000000" w:rsidRDefault="00000000" w:rsidRPr="00000000" w14:paraId="00000068">
            <w:pPr>
              <w:spacing w:before="0" w:after="0" w:line="240" w:lineRule="auto"/>
              <w:ind w:firstLine="0"/>
              <w:jc w:val="center"/>
              <w:rPr>
                <w:sz w:val="18"/>
                <w:szCs w:val="18"/>
              </w:rPr>
            </w:pPr>
            <w:r>
              <w:rPr>
                <w:rFonts w:ascii="Times New Roman" w:hAnsi="Times New Roman"/>
                <w:b w:val="0"/>
                <w:sz w:val="14"/>
                <w:szCs w:val="18"/>
                <w:rtl w:val="0"/>
              </w:rPr>
              <w:t>Page Nodes</w:t>
              <w:br/>
              <w:t>Faithfulness</w:t>
            </w:r>
          </w:p>
        </w:tc>
        <w:tc>
          <w:tcPr>
            <w:tcW w:type="dxa" w:w="835"/>
            <w:vAlign w:val="center"/>
            <w:tcMar>
              <w:top w:w="55" w:type="dxa"/>
              <w:start w:w="55" w:type="dxa"/>
              <w:bottom w:w="55" w:type="dxa"/>
              <w:end w:w="55" w:type="dxa"/>
            </w:tcMar>
          </w:tcPr>
          <w:p w:rsidR="00000000" w:rsidDel="00000000" w:rsidP="00000000" w:rsidRDefault="00000000" w:rsidRPr="00000000" w14:paraId="00000069">
            <w:pPr>
              <w:spacing w:before="0" w:after="0" w:line="240" w:lineRule="auto"/>
              <w:ind w:firstLine="0"/>
              <w:jc w:val="center"/>
              <w:rPr>
                <w:sz w:val="18"/>
                <w:szCs w:val="18"/>
              </w:rPr>
            </w:pPr>
            <w:r>
              <w:rPr>
                <w:rFonts w:ascii="Times New Roman" w:hAnsi="Times New Roman"/>
                <w:b w:val="0"/>
                <w:sz w:val="14"/>
                <w:szCs w:val="18"/>
                <w:rtl w:val="0"/>
              </w:rPr>
              <w:t>0.80</w:t>
            </w:r>
          </w:p>
        </w:tc>
        <w:tc>
          <w:tcPr>
            <w:tcW w:type="dxa" w:w="950"/>
            <w:vAlign w:val="center"/>
            <w:tcMar>
              <w:top w:w="55" w:type="dxa"/>
              <w:start w:w="55" w:type="dxa"/>
              <w:bottom w:w="55" w:type="dxa"/>
              <w:end w:w="55" w:type="dxa"/>
            </w:tcMar>
          </w:tcPr>
          <w:p w:rsidR="00000000" w:rsidDel="00000000" w:rsidP="00000000" w:rsidRDefault="00000000" w:rsidRPr="00000000" w14:paraId="0000006A">
            <w:pPr>
              <w:spacing w:before="0" w:after="0" w:line="240" w:lineRule="auto"/>
              <w:ind w:firstLine="0"/>
              <w:jc w:val="center"/>
              <w:rPr>
                <w:sz w:val="18"/>
                <w:szCs w:val="18"/>
              </w:rPr>
            </w:pPr>
            <w:r>
              <w:rPr>
                <w:rFonts w:ascii="Times New Roman" w:hAnsi="Times New Roman"/>
                <w:b w:val="0"/>
                <w:sz w:val="14"/>
                <w:szCs w:val="18"/>
                <w:rtl w:val="0"/>
              </w:rPr>
              <w:t>0.86</w:t>
            </w:r>
          </w:p>
        </w:tc>
        <w:tc>
          <w:tcPr>
            <w:tcW w:type="dxa" w:w="1613"/>
            <w:vAlign w:val="center"/>
            <w:tcMar>
              <w:top w:w="55" w:type="dxa"/>
              <w:start w:w="55" w:type="dxa"/>
              <w:bottom w:w="55" w:type="dxa"/>
              <w:end w:w="55" w:type="dxa"/>
            </w:tcMar>
          </w:tcPr>
          <w:p w:rsidR="00000000" w:rsidDel="00000000" w:rsidP="00000000" w:rsidRDefault="00000000" w:rsidRPr="00000000" w14:paraId="0000006B">
            <w:pPr>
              <w:spacing w:before="0" w:after="0" w:line="240" w:lineRule="auto"/>
              <w:ind w:firstLine="0"/>
              <w:jc w:val="center"/>
              <w:rPr>
                <w:sz w:val="18"/>
                <w:szCs w:val="18"/>
              </w:rPr>
            </w:pPr>
            <w:r>
              <w:rPr>
                <w:rFonts w:ascii="Times New Roman" w:hAnsi="Times New Roman"/>
                <w:b w:val="0"/>
                <w:sz w:val="14"/>
                <w:szCs w:val="18"/>
                <w:rtl w:val="0"/>
              </w:rPr>
              <w:t>0.086</w:t>
            </w:r>
          </w:p>
        </w:tc>
        <w:tc>
          <w:tcPr>
            <w:tcW w:type="dxa" w:w="1037"/>
            <w:vAlign w:val="center"/>
            <w:tcMar>
              <w:top w:w="55" w:type="dxa"/>
              <w:start w:w="55" w:type="dxa"/>
              <w:bottom w:w="55" w:type="dxa"/>
              <w:end w:w="55" w:type="dxa"/>
            </w:tcMar>
          </w:tcPr>
          <w:p w:rsidR="00000000" w:rsidDel="00000000" w:rsidP="00000000" w:rsidRDefault="00000000" w:rsidRPr="00000000" w14:paraId="0000006C">
            <w:pPr>
              <w:spacing w:before="0" w:after="0" w:line="240" w:lineRule="auto"/>
              <w:ind w:firstLine="0"/>
              <w:jc w:val="center"/>
              <w:rPr>
                <w:sz w:val="18"/>
                <w:szCs w:val="18"/>
              </w:rPr>
            </w:pPr>
            <w:r>
              <w:rPr>
                <w:rFonts w:ascii="Times New Roman" w:hAnsi="Times New Roman"/>
                <w:b w:val="0"/>
                <w:sz w:val="14"/>
                <w:szCs w:val="18"/>
                <w:rtl w:val="0"/>
              </w:rPr>
              <w:t>90 %</w:t>
            </w:r>
          </w:p>
        </w:tc>
      </w:tr>
      <w:tr>
        <w:trPr>
          <w:cantSplit w:val="0"/>
          <w:trHeight w:val="284" w:hRule="atLeast"/>
          <w:tblHeader w:val="0"/>
        </w:trPr>
        <w:tc>
          <w:tcPr>
            <w:tcW w:type="dxa" w:w="1872"/>
            <w:vAlign w:val="center"/>
            <w:tcMar>
              <w:top w:w="55" w:type="dxa"/>
              <w:start w:w="55" w:type="dxa"/>
              <w:bottom w:w="55" w:type="dxa"/>
              <w:end w:w="55" w:type="dxa"/>
            </w:tcMar>
          </w:tcPr>
          <w:p w:rsidR="00000000" w:rsidDel="00000000" w:rsidP="00000000" w:rsidRDefault="00000000" w:rsidRPr="00000000" w14:paraId="0000006D">
            <w:pPr>
              <w:spacing w:before="0" w:after="0" w:line="240" w:lineRule="auto"/>
              <w:ind w:firstLine="0"/>
              <w:jc w:val="center"/>
              <w:rPr>
                <w:sz w:val="18"/>
                <w:szCs w:val="18"/>
              </w:rPr>
            </w:pPr>
            <w:r>
              <w:rPr>
                <w:rFonts w:ascii="Times New Roman" w:hAnsi="Times New Roman"/>
                <w:b w:val="0"/>
                <w:sz w:val="14"/>
                <w:szCs w:val="18"/>
                <w:rtl w:val="0"/>
              </w:rPr>
              <w:t>Page Nodes</w:t>
              <w:br/>
              <w:t>Answer Relevancy</w:t>
            </w:r>
          </w:p>
        </w:tc>
        <w:tc>
          <w:tcPr>
            <w:tcW w:type="dxa" w:w="835"/>
            <w:vAlign w:val="center"/>
            <w:tcMar>
              <w:top w:w="55" w:type="dxa"/>
              <w:start w:w="55" w:type="dxa"/>
              <w:bottom w:w="55" w:type="dxa"/>
              <w:end w:w="55" w:type="dxa"/>
            </w:tcMar>
          </w:tcPr>
          <w:p w:rsidR="00000000" w:rsidDel="00000000" w:rsidP="00000000" w:rsidRDefault="00000000" w:rsidRPr="00000000" w14:paraId="0000006E">
            <w:pPr>
              <w:spacing w:before="0" w:after="0" w:line="240" w:lineRule="auto"/>
              <w:ind w:firstLine="0"/>
              <w:jc w:val="center"/>
              <w:rPr>
                <w:sz w:val="18"/>
                <w:szCs w:val="18"/>
              </w:rPr>
            </w:pPr>
            <w:r>
              <w:rPr>
                <w:rFonts w:ascii="Times New Roman" w:hAnsi="Times New Roman"/>
                <w:b w:val="0"/>
                <w:sz w:val="14"/>
                <w:szCs w:val="18"/>
                <w:rtl w:val="0"/>
              </w:rPr>
              <w:t>0.85</w:t>
            </w:r>
          </w:p>
        </w:tc>
        <w:tc>
          <w:tcPr>
            <w:tcW w:type="dxa" w:w="950"/>
            <w:vAlign w:val="center"/>
            <w:tcMar>
              <w:top w:w="55" w:type="dxa"/>
              <w:start w:w="55" w:type="dxa"/>
              <w:bottom w:w="55" w:type="dxa"/>
              <w:end w:w="55" w:type="dxa"/>
            </w:tcMar>
          </w:tcPr>
          <w:p w:rsidR="00000000" w:rsidDel="00000000" w:rsidP="00000000" w:rsidRDefault="00000000" w:rsidRPr="00000000" w14:paraId="0000006F">
            <w:pPr>
              <w:spacing w:before="0" w:after="0" w:line="240" w:lineRule="auto"/>
              <w:ind w:firstLine="0"/>
              <w:jc w:val="center"/>
              <w:rPr>
                <w:sz w:val="18"/>
                <w:szCs w:val="18"/>
              </w:rPr>
            </w:pPr>
            <w:r>
              <w:rPr>
                <w:rFonts w:ascii="Times New Roman" w:hAnsi="Times New Roman"/>
                <w:b w:val="0"/>
                <w:sz w:val="14"/>
                <w:szCs w:val="18"/>
                <w:rtl w:val="0"/>
              </w:rPr>
              <w:t>0.86</w:t>
            </w:r>
          </w:p>
        </w:tc>
        <w:tc>
          <w:tcPr>
            <w:tcW w:type="dxa" w:w="1613"/>
            <w:vAlign w:val="center"/>
            <w:tcMar>
              <w:top w:w="55" w:type="dxa"/>
              <w:start w:w="55" w:type="dxa"/>
              <w:bottom w:w="55" w:type="dxa"/>
              <w:end w:w="55" w:type="dxa"/>
            </w:tcMar>
          </w:tcPr>
          <w:p w:rsidR="00000000" w:rsidDel="00000000" w:rsidP="00000000" w:rsidRDefault="00000000" w:rsidRPr="00000000" w14:paraId="00000070">
            <w:pPr>
              <w:spacing w:before="0" w:after="0" w:line="240" w:lineRule="auto"/>
              <w:ind w:firstLine="0"/>
              <w:jc w:val="center"/>
              <w:rPr>
                <w:sz w:val="18"/>
                <w:szCs w:val="18"/>
              </w:rPr>
            </w:pPr>
            <w:r>
              <w:rPr>
                <w:rFonts w:ascii="Times New Roman" w:hAnsi="Times New Roman"/>
                <w:b w:val="0"/>
                <w:sz w:val="14"/>
                <w:szCs w:val="18"/>
                <w:rtl w:val="0"/>
              </w:rPr>
              <w:t>0.107</w:t>
            </w:r>
          </w:p>
        </w:tc>
        <w:tc>
          <w:tcPr>
            <w:tcW w:type="dxa" w:w="1037"/>
            <w:vAlign w:val="center"/>
            <w:tcMar>
              <w:top w:w="55" w:type="dxa"/>
              <w:start w:w="55" w:type="dxa"/>
              <w:bottom w:w="55" w:type="dxa"/>
              <w:end w:w="55" w:type="dxa"/>
            </w:tcMar>
          </w:tcPr>
          <w:p w:rsidR="00000000" w:rsidDel="00000000" w:rsidP="00000000" w:rsidRDefault="00000000" w:rsidRPr="00000000" w14:paraId="00000071">
            <w:pPr>
              <w:spacing w:before="0" w:after="0" w:line="240" w:lineRule="auto"/>
              <w:ind w:firstLine="0"/>
              <w:jc w:val="center"/>
              <w:rPr>
                <w:sz w:val="18"/>
                <w:szCs w:val="18"/>
              </w:rPr>
            </w:pPr>
            <w:r>
              <w:rPr>
                <w:rFonts w:ascii="Times New Roman" w:hAnsi="Times New Roman"/>
                <w:b w:val="0"/>
                <w:sz w:val="14"/>
                <w:szCs w:val="18"/>
                <w:rtl w:val="0"/>
              </w:rPr>
              <w:t>82 %</w:t>
            </w:r>
          </w:p>
        </w:tc>
      </w:tr>
      <w:tr>
        <w:trPr>
          <w:cantSplit w:val="0"/>
          <w:trHeight w:val="284" w:hRule="atLeast"/>
          <w:tblHeader w:val="0"/>
        </w:trPr>
        <w:tc>
          <w:tcPr>
            <w:tcW w:type="dxa" w:w="1872"/>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2">
            <w:pPr>
              <w:spacing w:before="0" w:after="0" w:line="240" w:lineRule="auto"/>
              <w:ind w:firstLine="0"/>
              <w:jc w:val="center"/>
              <w:rPr>
                <w:sz w:val="18"/>
                <w:szCs w:val="18"/>
              </w:rPr>
            </w:pPr>
            <w:r>
              <w:rPr>
                <w:rFonts w:ascii="Times New Roman" w:hAnsi="Times New Roman"/>
                <w:b w:val="0"/>
                <w:sz w:val="14"/>
                <w:rtl w:val="0"/>
              </w:rPr>
              <w:t>PageIndex Chunks</w:t>
              <w:br/>
              <w:t>Faithfulness</w:t>
            </w:r>
          </w:p>
        </w:tc>
        <w:tc>
          <w:tcPr>
            <w:tcW w:type="dxa" w:w="835"/>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3">
            <w:pPr>
              <w:spacing w:before="0" w:after="0" w:line="240" w:lineRule="auto"/>
              <w:ind w:firstLine="0"/>
              <w:jc w:val="center"/>
              <w:rPr>
                <w:sz w:val="18"/>
                <w:szCs w:val="18"/>
              </w:rPr>
            </w:pPr>
            <w:r>
              <w:rPr>
                <w:rFonts w:ascii="Times New Roman" w:hAnsi="Times New Roman"/>
                <w:b w:val="0"/>
                <w:sz w:val="14"/>
                <w:rtl w:val="0"/>
              </w:rPr>
              <w:t>0.80</w:t>
            </w:r>
          </w:p>
        </w:tc>
        <w:tc>
          <w:tcPr>
            <w:tcW w:type="dxa" w:w="950"/>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4">
            <w:pPr>
              <w:spacing w:before="0" w:after="0" w:line="240" w:lineRule="auto"/>
              <w:ind w:firstLine="0"/>
              <w:jc w:val="center"/>
              <w:rPr>
                <w:sz w:val="18"/>
                <w:szCs w:val="18"/>
              </w:rPr>
            </w:pPr>
            <w:r>
              <w:rPr>
                <w:rFonts w:ascii="Times New Roman" w:hAnsi="Times New Roman"/>
                <w:b w:val="0"/>
                <w:sz w:val="14"/>
                <w:rtl w:val="0"/>
              </w:rPr>
              <w:t>0.83</w:t>
            </w:r>
          </w:p>
        </w:tc>
        <w:tc>
          <w:tcPr>
            <w:tcW w:type="dxa" w:w="1613"/>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5">
            <w:pPr>
              <w:spacing w:before="0" w:after="0" w:line="240" w:lineRule="auto"/>
              <w:ind w:firstLine="0"/>
              <w:jc w:val="center"/>
              <w:rPr>
                <w:sz w:val="18"/>
                <w:szCs w:val="18"/>
              </w:rPr>
            </w:pPr>
            <w:r>
              <w:rPr>
                <w:rFonts w:ascii="Times New Roman" w:hAnsi="Times New Roman"/>
                <w:b w:val="0"/>
                <w:sz w:val="14"/>
                <w:rtl w:val="0"/>
              </w:rPr>
              <w:t>0.126</w:t>
            </w:r>
          </w:p>
        </w:tc>
        <w:tc>
          <w:tcPr>
            <w:tcW w:type="dxa" w:w="1037"/>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6">
            <w:pPr>
              <w:spacing w:before="0" w:after="0" w:line="240" w:lineRule="auto"/>
              <w:ind w:firstLine="0"/>
              <w:jc w:val="center"/>
              <w:rPr>
                <w:sz w:val="18"/>
                <w:szCs w:val="18"/>
              </w:rPr>
            </w:pPr>
            <w:r>
              <w:rPr>
                <w:rFonts w:ascii="Times New Roman" w:hAnsi="Times New Roman"/>
                <w:b w:val="0"/>
                <w:sz w:val="14"/>
                <w:rtl w:val="0"/>
              </w:rPr>
              <w:t>88 %</w:t>
            </w:r>
          </w:p>
        </w:tc>
      </w:tr>
      <w:tr>
        <w:trPr>
          <w:cantSplit w:val="0"/>
          <w:trHeight w:val="284" w:hRule="atLeast"/>
          <w:tblHeader w:val="0"/>
        </w:trPr>
        <w:tc>
          <w:tcPr>
            <w:tcW w:type="dxa" w:w="1872"/>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2">
            <w:pPr>
              <w:spacing w:before="0" w:after="0" w:line="240" w:lineRule="auto"/>
              <w:ind w:firstLine="0"/>
              <w:jc w:val="center"/>
              <w:rPr>
                <w:sz w:val="18"/>
                <w:szCs w:val="18"/>
              </w:rPr>
            </w:pPr>
            <w:r>
              <w:rPr>
                <w:rFonts w:ascii="Times New Roman" w:hAnsi="Times New Roman"/>
                <w:b w:val="0"/>
                <w:sz w:val="14"/>
                <w:rtl w:val="0"/>
              </w:rPr>
              <w:t>PageIndex Chunks</w:t>
              <w:br/>
              <w:t>Answer Relevancy</w:t>
            </w:r>
          </w:p>
        </w:tc>
        <w:tc>
          <w:tcPr>
            <w:tcW w:type="dxa" w:w="835"/>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3">
            <w:pPr>
              <w:spacing w:before="0" w:after="0" w:line="240" w:lineRule="auto"/>
              <w:ind w:firstLine="0"/>
              <w:jc w:val="center"/>
              <w:rPr>
                <w:sz w:val="18"/>
                <w:szCs w:val="18"/>
              </w:rPr>
            </w:pPr>
            <w:r>
              <w:rPr>
                <w:rFonts w:ascii="Times New Roman" w:hAnsi="Times New Roman"/>
                <w:b w:val="0"/>
                <w:sz w:val="14"/>
                <w:rtl w:val="0"/>
              </w:rPr>
              <w:t>0.85</w:t>
            </w:r>
          </w:p>
        </w:tc>
        <w:tc>
          <w:tcPr>
            <w:tcW w:type="dxa" w:w="950"/>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4">
            <w:pPr>
              <w:spacing w:before="0" w:after="0" w:line="240" w:lineRule="auto"/>
              <w:ind w:firstLine="0"/>
              <w:jc w:val="center"/>
              <w:rPr>
                <w:sz w:val="18"/>
                <w:szCs w:val="18"/>
              </w:rPr>
            </w:pPr>
            <w:r>
              <w:rPr>
                <w:rFonts w:ascii="Times New Roman" w:hAnsi="Times New Roman"/>
                <w:b w:val="0"/>
                <w:sz w:val="14"/>
                <w:rtl w:val="0"/>
              </w:rPr>
              <w:t>0.86</w:t>
            </w:r>
          </w:p>
        </w:tc>
        <w:tc>
          <w:tcPr>
            <w:tcW w:type="dxa" w:w="1613"/>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5">
            <w:pPr>
              <w:spacing w:before="0" w:after="0" w:line="240" w:lineRule="auto"/>
              <w:ind w:firstLine="0"/>
              <w:jc w:val="center"/>
              <w:rPr>
                <w:sz w:val="18"/>
                <w:szCs w:val="18"/>
              </w:rPr>
            </w:pPr>
            <w:r>
              <w:rPr>
                <w:rFonts w:ascii="Times New Roman" w:hAnsi="Times New Roman"/>
                <w:b w:val="0"/>
                <w:sz w:val="14"/>
                <w:rtl w:val="0"/>
              </w:rPr>
              <w:t>0.088</w:t>
            </w:r>
          </w:p>
        </w:tc>
        <w:tc>
          <w:tcPr>
            <w:tcW w:type="dxa" w:w="1037"/>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6">
            <w:pPr>
              <w:spacing w:before="0" w:after="0" w:line="240" w:lineRule="auto"/>
              <w:ind w:firstLine="0"/>
              <w:jc w:val="center"/>
              <w:rPr>
                <w:sz w:val="18"/>
                <w:szCs w:val="18"/>
              </w:rPr>
            </w:pPr>
            <w:r>
              <w:rPr>
                <w:rFonts w:ascii="Times New Roman" w:hAnsi="Times New Roman"/>
                <w:b w:val="0"/>
                <w:sz w:val="14"/>
                <w:rtl w:val="0"/>
              </w:rPr>
              <w:t>78 %</w:t>
            </w:r>
          </w:p>
        </w:tc>
      </w:tr>
    </w:tbl>
    <w:p w:rsidR="00000000" w:rsidDel="00000000" w:rsidP="00000000" w:rsidRDefault="00000000" w:rsidRPr="00000000" w14:paraId="00000077">
      <w:pPr>
        <w:ind w:firstLine="0"/>
        <w:rPr/>
      </w:pPr>
      <w:r w:rsidDel="00000000" w:rsidR="00000000" w:rsidRPr="00000000">
        <w:rPr>
          <w:rtl w:val="0"/>
        </w:rPr>
      </w:r>
    </w:p>
    <w:p w:rsidR="00000000" w:rsidDel="00000000" w:rsidP="00000000" w:rsidRDefault="00000000" w:rsidRPr="00000000" w14:paraId="00000078">
      <w:pPr>
        <w:ind w:firstLine="0"/>
        <w:rPr/>
      </w:pPr>
      <w:r>
        <w:rPr>
          <w:rtl w:val="0"/>
        </w:rPr>
        <w:t>Page Nodes alcanzó un promedio de 0.86 en Faithfulness, con desviación estándar de 0.086 y 90 % de casos sobre el umbral. PageIndex Chunks obtuvo 0.83, desviación estándar de 0.126 y 88 % sobre el umbral. En Answer Relevancy, ambos modos promediaron 0.86; Page Nodes presentó una desviación estándar de 0.107 y 82 % de cumplimiento, mientras PageIndex Chunks obtuvo 0.088 y 78 %. En esta muestra, la representación jerárquica no superó al baseline plano: la diferencia en relevancia fue nula al redondear y Page Nodes conservó una ventaja de 0.03 en fidelidad.</w:t>
      </w:r>
    </w:p>
    <w:p w:rsidR="00000000" w:rsidDel="00000000" w:rsidP="00000000" w:rsidRDefault="00000000" w:rsidRPr="00000000" w14:paraId="00000079">
      <w:pPr>
        <w:ind w:firstLine="0"/>
        <w:rPr/>
      </w:pPr>
      <w:r w:rsidDel="00000000" w:rsidR="00000000" w:rsidRPr="00000000">
        <w:rPr>
          <w:rtl w:val="0"/>
        </w:rPr>
      </w:r>
    </w:p>
    <w:p w:rsidR="00000000" w:rsidDel="00000000" w:rsidP="00000000" w:rsidRDefault="00000000" w:rsidRPr="00000000" w14:paraId="0000007A">
      <w:pPr>
        <w:ind w:firstLine="0"/>
        <w:rPr/>
      </w:pPr>
      <w:r>
        <w:rPr>
          <w:rtl w:val="0"/>
        </w:rPr>
        <w:t>Para completar la comparación con el baseline del Sprint 3, una prueba exploratoria adicional de recuperación sobre cinco consultas produjo el mismo ranking con matriz local, FAISS y ChromaDB: Precision@8 = 0.05, Recall@8 = 0.04 y MRR = 0.1667. Las latencias medias fueron 10.277 ms, 74.251 ms y 1729.670 ms, respectivamente. La coincidencia de calidad se explica porque los tres backends recibieron los mismos vectores TF-IDF+SVD normalizados y ejecutaron una búsqueda exacta equivalente a coseno. Por tanto, esta prueba compara infraestructura y latencia; no demuestra por sí sola una mejora de calidad atribuible a Hybrid Tree Search.</w:t>
      </w:r>
    </w:p>
    <w:p w:rsidR="00000000" w:rsidDel="00000000" w:rsidP="00000000" w:rsidRDefault="00000000" w:rsidRPr="00000000" w14:paraId="0000007B">
      <w:pPr>
        <w:ind w:firstLine="0"/>
        <w:rPr/>
      </w:pPr>
      <w:r w:rsidDel="00000000" w:rsidR="00000000" w:rsidRPr="00000000">
        <w:rPr>
          <w:rtl w:val="0"/>
        </w:rPr>
      </w:r>
    </w:p>
    <w:p w:rsidR="00000000" w:rsidDel="00000000" w:rsidP="00000000" w:rsidRDefault="00000000" w:rsidRPr="00000000" w14:paraId="0000007C">
      <w:pPr>
        <w:ind w:firstLine="0"/>
        <w:rPr>
          <w:b w:val="1"/>
          <w:bCs w:val="1"/>
          <w:sz w:val="24"/>
          <w:szCs w:val="24"/>
        </w:rPr>
      </w:pPr>
      <w:r>
        <w:rPr>
          <w:rtl w:val="0"/>
        </w:rPr>
        <w:t>En conjunto, los resultados respaldan la viabilidad técnica del prototipo, pero no permiten concluir que la recuperación jerárquica sea superior al baseline vectorial. Además, las consultas y plantillas fueron definidas por el autor, el mismo GPT-4o-mini generó y juzgó las respuestas, y no participó un segundo evaluador, un entrenador ni un grupo de estudiantes. El muestreo por dificultad y el uso de plantillas fijas reducen parte de la selección oportunista, pero no eliminan el sesgo de confirmación ni sustituyen una evaluación externa.</w:t>
      </w:r>
    </w:p>
    <w:p w:rsidR="00000000" w:rsidDel="00000000" w:rsidP="00000000" w:rsidRDefault="00000000" w:rsidRPr="00000000" w14:paraId="0000007D">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Conclusiones y Trabajo Futuro </w:t>
      </w:r>
    </w:p>
    <w:p w:rsidR="00000000" w:rsidDel="00000000" w:rsidP="00000000" w:rsidRDefault="00000000" w:rsidRPr="00000000" w14:paraId="0000007E">
      <w:pPr>
        <w:ind w:firstLine="0"/>
        <w:rPr/>
      </w:pPr>
      <w:r w:rsidDel="00000000" w:rsidR="00000000" w:rsidRPr="00000000">
        <w:rPr>
          <w:rtl w:val="0"/>
        </w:rPr>
        <w:t xml:space="preserve">Este artículo presentó un sistema de asistencia educativa basado en arquitectura RAG para apoyar consultas de estudiantes en programación competitiva. La propuesta organiza los problemas en un árbol de nodos, incluyendo enunciado, restricciones, ejemplos, etiquetas, editorial, complejidad y pistas, con el objetivo de recuperar información más útil antes de generar una respuesta. Para ello, se integró una estrategia de recuperación basada en PageIndex y Hybrid Tree Search, además de un flujo RAG implementado con LangChain y GPT-4o-mini. Esta arquitectura busca que el sistema no dependa solo del conocimiento interno del modelo, sino de información estructurada del problema que pueda servir como apoyo para explicar, orientar o dar pistas al estudiante. </w:t>
      </w:r>
    </w:p>
    <w:p w:rsidR="00000000" w:rsidDel="00000000" w:rsidP="00000000" w:rsidRDefault="00000000" w:rsidRPr="00000000" w14:paraId="0000007F">
      <w:pPr>
        <w:ind w:firstLine="0"/>
        <w:rPr/>
      </w:pPr>
      <w:r w:rsidDel="00000000" w:rsidR="00000000" w:rsidRPr="00000000">
        <w:rPr>
          <w:rtl w:val="0"/>
        </w:rPr>
      </w:r>
    </w:p>
    <w:p w:rsidR="00000000" w:rsidDel="00000000" w:rsidP="00000000" w:rsidRDefault="00000000" w:rsidRPr="00000000" w14:paraId="00000080">
      <w:pPr>
        <w:ind w:firstLine="0"/>
        <w:rPr/>
      </w:pPr>
      <w:r>
        <w:rPr>
          <w:rtl w:val="0"/>
        </w:rPr>
        <w:t>La evaluación automática mediante LLM-as-a-Judge se amplió a 40 problemas y mostró resultados cercanos entre las dos representaciones. Page Nodes obtuvo 0.86 en Faithfulness y 0.86 en Answer Relevancy; PageIndex Chunks obtuvo 0.83 y 0.86. Estos resultados indican que el prototipo puede producir respuestas relacionadas con las consultas y apoyadas en el contexto recuperado, pero no muestran una mejora del modo jerárquico frente al baseline plano. En consecuencia, la contribución validada en esta etapa es la construcción del corpus, su estructuración y el flujo experimental reproducible, no una superioridad general de PageIndex ni un efecto demostrado sobre el aprendizaje.</w:t>
      </w:r>
    </w:p>
    <w:p w:rsidR="00000000" w:rsidDel="00000000" w:rsidP="00000000" w:rsidRDefault="00000000" w:rsidRPr="00000000" w14:paraId="00000081">
      <w:pPr>
        <w:ind w:firstLine="0"/>
        <w:rPr/>
      </w:pPr>
      <w:r w:rsidDel="00000000" w:rsidR="00000000" w:rsidRPr="00000000">
        <w:rPr>
          <w:rtl w:val="0"/>
        </w:rPr>
      </w:r>
    </w:p>
    <w:p w:rsidR="00000000" w:rsidDel="00000000" w:rsidP="00000000" w:rsidRDefault="00000000" w:rsidRPr="00000000" w14:paraId="00000082">
      <w:pPr>
        <w:ind w:firstLine="0"/>
        <w:rPr/>
      </w:pPr>
      <w:r>
        <w:rPr>
          <w:rtl w:val="0"/>
        </w:rPr>
        <w:t>Como trabajo futuro se plantea evaluar el recorrido completo de Hybrid Tree Search frente al baseline vectorial con el mismo ground truth de relevancia y un conjunto mayor de consultas. También se requiere incorporar un juez de otra familia de modelos y una revisión humana independiente para estimar el acuerdo entre evaluadores. Finalmente, se propone realizar sesiones con estudiantes y entrenadores de programación competitiva, registrar utilidad percibida, calidad de las pistas y cambios en el proceso de resolución. Estas pruebas permitirán determinar si la consistencia técnica observada se traduce en apoyo educativo real.</w:t>
      </w:r>
    </w:p>
    <w:p w:rsidR="00000000" w:rsidDel="00000000" w:rsidP="00000000" w:rsidRDefault="00000000" w:rsidRPr="00000000" w14:paraId="00000083">
      <w:pPr>
        <w:ind w:firstLine="0"/>
        <w:rPr/>
      </w:pP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85">
      <w:pPr>
        <w:numPr>
          <w:ilvl w:val="0"/>
          <w:numId w:val="2"/>
        </w:numPr>
        <w:spacing w:after="240" w:before="240" w:lineRule="auto"/>
        <w:ind w:left="341" w:hanging="113.99999999999999"/>
      </w:pPr>
      <w:r w:rsidDel="00000000" w:rsidR="00000000" w:rsidRPr="00000000">
        <w:rPr>
          <w:sz w:val="18"/>
          <w:szCs w:val="18"/>
          <w:rtl w:val="0"/>
        </w:rPr>
        <w:t xml:space="preserve">C. S. Cheah, “Factors Contributing to the Difficulties in Teaching and Learning of Computer Programming: A Literature Review,” Contemporary Educational Technology, vol. 12, no. 2, 2020, doi: 10.30935/cedtech/8247. [Online]. Available: https://www.cedtech.net/article/factors-contributing-to-the-difficulties-in-teaching-and-learning-of-computer-programming-a-8247</w:t>
      </w:r>
    </w:p>
    <w:p w:rsidR="00000000" w:rsidDel="00000000" w:rsidP="00000000" w:rsidRDefault="00000000" w:rsidRPr="00000000" w14:paraId="00000086">
      <w:pPr>
        <w:numPr>
          <w:ilvl w:val="0"/>
          <w:numId w:val="2"/>
        </w:numPr>
        <w:spacing w:after="240" w:before="240" w:lineRule="auto"/>
        <w:ind w:left="341" w:hanging="113.99999999999999"/>
      </w:pPr>
      <w:r w:rsidDel="00000000" w:rsidR="00000000" w:rsidRPr="00000000">
        <w:rPr>
          <w:sz w:val="18"/>
          <w:szCs w:val="18"/>
          <w:rtl w:val="0"/>
        </w:rPr>
        <w:t xml:space="preserve">K. K. F. Yuen, D. Y. W. Liu, and H. V. Leong, “Competitive Programming in Computational Thinking and Problem Solving Education,” Computer Applications in Engineering Education, vol. 31, no. 4, pp. 850–866, 2023, doi: 10.1002/cae.22610.</w:t>
      </w:r>
    </w:p>
    <w:p w:rsidR="00000000" w:rsidDel="00000000" w:rsidP="00000000" w:rsidRDefault="00000000" w:rsidRPr="00000000" w14:paraId="00000087">
      <w:pPr>
        <w:numPr>
          <w:ilvl w:val="0"/>
          <w:numId w:val="2"/>
        </w:numPr>
        <w:spacing w:after="240" w:before="240" w:lineRule="auto"/>
        <w:ind w:left="341" w:hanging="113.99999999999999"/>
      </w:pPr>
      <w:r w:rsidDel="00000000" w:rsidR="00000000" w:rsidRPr="00000000">
        <w:rPr>
          <w:sz w:val="18"/>
          <w:szCs w:val="18"/>
          <w:rtl w:val="0"/>
        </w:rPr>
        <w:t xml:space="preserve">T. Phung, V.-A. Pădurean, J. Cambronero, S. Gulwani, T. Kohn, R. Majumdar, A. Singla, and G. Soares, “Generative AI for Programming Education: Benchmarking ChatGPT, GPT-4, and Human Tutors,” arXiv preprint arXiv:2306.17156, 2023, doi: 10.48550/arXiv.2306.17156. [Online]. Available: https://arxiv.org/pdf/2306.17156.pdf</w:t>
      </w:r>
    </w:p>
    <w:p w:rsidR="00000000" w:rsidDel="00000000" w:rsidP="00000000" w:rsidRDefault="00000000" w:rsidRPr="00000000" w14:paraId="00000088">
      <w:pPr>
        <w:numPr>
          <w:ilvl w:val="0"/>
          <w:numId w:val="2"/>
        </w:numPr>
        <w:spacing w:after="240" w:before="240" w:lineRule="auto"/>
        <w:ind w:left="341" w:hanging="113.99999999999999"/>
      </w:pPr>
      <w:r w:rsidDel="00000000" w:rsidR="00000000" w:rsidRPr="00000000">
        <w:rPr>
          <w:sz w:val="18"/>
          <w:szCs w:val="18"/>
          <w:rtl w:val="0"/>
        </w:rPr>
        <w:t xml:space="preserve">P. Lewis et al., “Retrieval-Augmented Generation for Knowledge-Intensive NLP Tasks,” in Advances in Neural Information Processing Systems, vol. 33, pp. 9459–9474, 2020, doi: 10.48550/arXiv.2005.11401. [Online]. Available: https://arxiv.org/pdf/2005.11401.pdf</w:t>
      </w:r>
    </w:p>
    <w:p w:rsidR="00000000" w:rsidDel="00000000" w:rsidP="00000000" w:rsidRDefault="00000000" w:rsidRPr="00000000" w14:paraId="00000089">
      <w:pPr>
        <w:numPr>
          <w:ilvl w:val="0"/>
          <w:numId w:val="2"/>
        </w:numPr>
        <w:spacing w:after="240" w:before="240" w:lineRule="auto"/>
        <w:ind w:left="341" w:hanging="113.99999999999999"/>
      </w:pPr>
      <w:r w:rsidDel="00000000" w:rsidR="00000000" w:rsidRPr="00000000">
        <w:rPr>
          <w:sz w:val="18"/>
          <w:szCs w:val="18"/>
          <w:rtl w:val="0"/>
        </w:rPr>
        <w:t xml:space="preserve">Y. Gao et al., “Retrieval-Augmented Generation for Large Language Models: A Survey,” arXiv preprint arXiv:2312.10997, 2024, doi: 10.48550/arXiv.2312.10997. [Online]. Available: https://arxiv.org/pdf/2312.10997.pdf</w:t>
      </w:r>
    </w:p>
    <w:p w:rsidR="00000000" w:rsidDel="00000000" w:rsidP="00000000" w:rsidRDefault="00000000" w:rsidRPr="00000000" w14:paraId="0000008A">
      <w:pPr>
        <w:numPr>
          <w:ilvl w:val="0"/>
          <w:numId w:val="2"/>
        </w:numPr>
        <w:spacing w:after="240" w:before="240" w:lineRule="auto"/>
        <w:ind w:left="341" w:hanging="113.99999999999999"/>
      </w:pPr>
      <w:r w:rsidDel="00000000" w:rsidR="00000000" w:rsidRPr="00000000">
        <w:rPr>
          <w:sz w:val="18"/>
          <w:szCs w:val="18"/>
          <w:rtl w:val="0"/>
        </w:rPr>
        <w:t xml:space="preserve">S. Es, J. James, L. Espinosa-Anke, and S. Schockaert, “RAGAS: Automated Evaluation of Retrieval Augmented Generation,” arXiv preprint arXiv:2309.15217, 2023, doi: 10.48550/arXiv.2309.15217. [Online]. Available: https://arxiv.org/pdf/2309.15217.pdf</w:t>
      </w:r>
    </w:p>
    <w:p w:rsidR="00000000" w:rsidDel="00000000" w:rsidP="00000000" w:rsidRDefault="00000000" w:rsidRPr="00000000" w14:paraId="0000008B">
      <w:pPr>
        <w:numPr>
          <w:ilvl w:val="0"/>
          <w:numId w:val="2"/>
        </w:numPr>
        <w:spacing w:after="240" w:before="240" w:lineRule="auto"/>
        <w:ind w:left="341" w:hanging="113.99999999999999"/>
      </w:pPr>
      <w:r w:rsidDel="00000000" w:rsidR="00000000" w:rsidRPr="00000000">
        <w:rPr>
          <w:sz w:val="18"/>
          <w:szCs w:val="18"/>
          <w:rtl w:val="0"/>
        </w:rPr>
        <w:t xml:space="preserve">J. Saad-Falcon, O. Khattab, C. Potts, and M. Zaharia, “ARES: An Automated Evaluation Framework for Retrieval-Augmented Generation Systems,” arXiv preprint arXiv:2311.09476, 2024, doi: 10.48550/arXiv.2311.09476. [Online]. Available: https://arxiv.org/pdf/2311.09476.pdf</w:t>
      </w:r>
    </w:p>
    <w:p w:rsidR="00000000" w:rsidDel="00000000" w:rsidP="00000000" w:rsidRDefault="00000000" w:rsidRPr="00000000" w14:paraId="0000008C">
      <w:pPr>
        <w:numPr>
          <w:ilvl w:val="0"/>
          <w:numId w:val="2"/>
        </w:numPr>
        <w:spacing w:after="240" w:before="240" w:lineRule="auto"/>
        <w:ind w:left="341" w:hanging="113.99999999999999"/>
      </w:pPr>
      <w:r w:rsidDel="00000000" w:rsidR="00000000" w:rsidRPr="00000000">
        <w:rPr>
          <w:sz w:val="18"/>
          <w:szCs w:val="18"/>
          <w:rtl w:val="0"/>
        </w:rPr>
        <w:t xml:space="preserve">M. Zhang, Y. Tang, and PageIndex Team, “PageIndex: Next-Generation Vectorless, Reasoning-based RAG,” PageIndex Blog, Sep. 2025. [Online]. Available: https://pageindex.ai/blog/pageindex-intro</w:t>
      </w:r>
    </w:p>
    <w:p w:rsidR="00000000" w:rsidDel="00000000" w:rsidP="00000000" w:rsidRDefault="00000000" w:rsidRPr="00000000" w14:paraId="0000008D">
      <w:pPr>
        <w:numPr>
          <w:ilvl w:val="0"/>
          <w:numId w:val="2"/>
        </w:numPr>
        <w:spacing w:after="240" w:before="240" w:lineRule="auto"/>
        <w:ind w:left="341" w:hanging="113.99999999999999"/>
      </w:pPr>
      <w:r w:rsidDel="00000000" w:rsidR="00000000" w:rsidRPr="00000000">
        <w:rPr>
          <w:sz w:val="18"/>
          <w:szCs w:val="18"/>
          <w:rtl w:val="0"/>
        </w:rPr>
        <w:t xml:space="preserve">E. Lumer et al., “Rethinking Retrieval: From Traditional Retrieval Augmented Generation to Agentic and Non-Vector Reasoning Systems in the Financial Domain for Large Language Models,” arXiv preprint arXiv:2511.18177, 2025, doi: 10.48550/arXiv.2511.18177. [Online]. Available: https://arxiv.org/pdf/2511.18177.pdf</w:t>
      </w:r>
    </w:p>
    <w:p w:rsidR="00000000" w:rsidDel="00000000" w:rsidP="00000000" w:rsidRDefault="00000000" w:rsidRPr="00000000" w14:paraId="0000008E">
      <w:pPr>
        <w:numPr>
          <w:ilvl w:val="0"/>
          <w:numId w:val="2"/>
        </w:numPr>
        <w:spacing w:after="240" w:before="240" w:lineRule="auto"/>
        <w:ind w:left="341" w:hanging="113.99999999999999"/>
      </w:pPr>
      <w:r w:rsidDel="00000000" w:rsidR="00000000" w:rsidRPr="00000000">
        <w:rPr>
          <w:sz w:val="18"/>
          <w:szCs w:val="18"/>
          <w:rtl w:val="0"/>
        </w:rPr>
        <w:t xml:space="preserve">A. Hashmi, “Adaptive Query Routing: A Tier-Based Framework for Hybrid Retrieval Across Financial, Legal, and Medical Documents,” arXiv preprint arXiv:2604.14222, 2026, doi: 10.48550/arXiv.2604.14222. [Online]. Available: https://arxiv.org/pdf/2604.14222.pdf</w:t>
      </w:r>
    </w:p>
    <w:p w:rsidR="00000000" w:rsidDel="00000000" w:rsidP="00000000" w:rsidRDefault="00000000" w:rsidRPr="00000000" w14:paraId="0000008F">
      <w:pPr>
        <w:numPr>
          <w:ilvl w:val="0"/>
          <w:numId w:val="2"/>
        </w:numPr>
        <w:spacing w:after="240" w:before="240" w:lineRule="auto"/>
        <w:ind w:left="341" w:hanging="113.99999999999999"/>
      </w:pPr>
      <w:r w:rsidDel="00000000" w:rsidR="00000000" w:rsidRPr="00000000">
        <w:rPr>
          <w:sz w:val="18"/>
          <w:szCs w:val="18"/>
          <w:rtl w:val="0"/>
        </w:rPr>
        <w:t xml:space="preserve">A. Agrawal and J.-J. Vie, “AlgoAce: Retrieval-Augmented Generation for Assistance in Competitive Programming,” CEUR Workshop Proceedings, vol. 4019, 2025. [Online]. Available: https://ceur-ws.org/Vol-4019/paper_11.pdf</w:t>
      </w:r>
    </w:p>
    <w:p w:rsidR="00000000" w:rsidDel="00000000" w:rsidP="00000000" w:rsidRDefault="00000000" w:rsidRPr="00000000" w14:paraId="00000090">
      <w:pPr>
        <w:numPr>
          <w:ilvl w:val="0"/>
          <w:numId w:val="2"/>
        </w:numPr>
        <w:spacing w:after="240" w:before="240" w:lineRule="auto"/>
        <w:ind w:left="341" w:hanging="113.99999999999999"/>
      </w:pPr>
      <w:r w:rsidDel="00000000" w:rsidR="00000000" w:rsidRPr="00000000">
        <w:rPr>
          <w:sz w:val="18"/>
          <w:szCs w:val="18"/>
          <w:rtl w:val="0"/>
        </w:rPr>
        <w:t xml:space="preserve">H. Keuning, J. Jeuring, and B. Heeren, “A Systematic Literature Review of Automated Feedback Generation for Programming Exercises,” ACM Transactions on Computing Education, vol. 19, no. 1, Art. no. 3, 2018, doi: 10.1145/3231711.</w:t>
      </w:r>
    </w:p>
    <w:p w:rsidR="00000000" w:rsidDel="00000000" w:rsidP="00000000" w:rsidRDefault="00000000" w:rsidRPr="00000000" w14:paraId="00000091">
      <w:pPr>
        <w:numPr>
          <w:ilvl w:val="0"/>
          <w:numId w:val="2"/>
        </w:numPr>
        <w:spacing w:after="240" w:before="240" w:lineRule="auto"/>
        <w:ind w:left="341" w:hanging="113.99999999999999"/>
      </w:pPr>
      <w:r w:rsidDel="00000000" w:rsidR="00000000" w:rsidRPr="00000000">
        <w:rPr>
          <w:sz w:val="18"/>
          <w:szCs w:val="18"/>
          <w:rtl w:val="0"/>
        </w:rPr>
        <w:t xml:space="preserve">J. Kim, E. Cho, and D. Na, “Problem-Solving Guide: Predicting the Algorithm Tags and Difficulty for Competitive Programming Problems,” arXiv preprint arXiv:2310.05791, 2023, doi: 10.48550/arXiv.2310.05791. [Online]. Available: https://arxiv.org/pdf/2310.05791.pdf</w:t>
      </w:r>
    </w:p>
    <w:p w:rsidR="00000000" w:rsidDel="00000000" w:rsidP="00000000" w:rsidRDefault="00000000" w:rsidRPr="00000000" w14:paraId="00000092">
      <w:pPr>
        <w:numPr>
          <w:ilvl w:val="0"/>
          <w:numId w:val="2"/>
        </w:numPr>
        <w:spacing w:after="240" w:before="240" w:lineRule="auto"/>
        <w:ind w:left="341" w:hanging="113.99999999999999"/>
      </w:pPr>
      <w:r w:rsidDel="00000000" w:rsidR="00000000" w:rsidRPr="00000000">
        <w:rPr>
          <w:sz w:val="18"/>
          <w:szCs w:val="18"/>
          <w:rtl w:val="0"/>
        </w:rPr>
        <w:t xml:space="preserve">P. Sarthi, S. Abdullah, A. Tuli, S. Khanna, A. Goldie, and C. D. Manning, “RAPTOR: Recursive Abstractive Processing for Tree-Organized Retrieval,” arXiv preprint arXiv:2401.18059, 2024, doi: 10.48550/arXiv.2401.18059. [Online]. Available: https://arxiv.org/pdf/2401.18059.pdf</w:t>
      </w:r>
    </w:p>
    <w:p w:rsidR="00000000" w:rsidDel="00000000" w:rsidP="00000000" w:rsidRDefault="00000000" w:rsidRPr="00000000" w14:paraId="00000093">
      <w:pPr>
        <w:numPr>
          <w:ilvl w:val="0"/>
          <w:numId w:val="2"/>
        </w:numPr>
        <w:spacing w:after="240" w:before="240" w:lineRule="auto"/>
        <w:ind w:left="341" w:hanging="113.99999999999999"/>
      </w:pPr>
      <w:r w:rsidDel="00000000" w:rsidR="00000000" w:rsidRPr="00000000">
        <w:rPr>
          <w:sz w:val="18"/>
          <w:szCs w:val="18"/>
          <w:rtl w:val="0"/>
        </w:rPr>
        <w:t xml:space="preserve">N. Reimers and I. Gurevych, “Sentence-BERT: Sentence Embeddings using Siamese BERT-Networks,” in Proc. EMNLP-IJCNLP, pp. 3982–3992, 2019, doi: 10.18653/v1/D19-1410. [Online]. Available: https://arxiv.org/pdf/1908.10084.pdf</w:t>
      </w:r>
    </w:p>
    <w:p w:rsidR="00000000" w:rsidDel="00000000" w:rsidP="00000000" w:rsidRDefault="00000000" w:rsidRPr="00000000" w14:paraId="00000094">
      <w:pPr>
        <w:numPr>
          <w:ilvl w:val="0"/>
          <w:numId w:val="2"/>
        </w:numPr>
        <w:spacing w:after="240" w:before="240" w:lineRule="auto"/>
        <w:ind w:left="341" w:hanging="113.99999999999999"/>
      </w:pPr>
      <w:r w:rsidDel="00000000" w:rsidR="00000000" w:rsidRPr="00000000">
        <w:rPr>
          <w:sz w:val="18"/>
          <w:szCs w:val="18"/>
          <w:rtl w:val="0"/>
        </w:rPr>
        <w:t xml:space="preserve">V. Karpukhin et al., “Dense Passage Retrieval for Open-Domain Question Answering,” in Proc. EMNLP, pp. 6769–6781, 2020, doi: 10.18653/v1/2020.emnlp-main.550. [Online]. Available: https://arxiv.org/pdf/2004.04906.pdf</w:t>
      </w:r>
    </w:p>
    <w:p w:rsidR="00000000" w:rsidDel="00000000" w:rsidP="00000000" w:rsidRDefault="00000000" w:rsidRPr="00000000" w14:paraId="00000095">
      <w:pPr>
        <w:numPr>
          <w:ilvl w:val="0"/>
          <w:numId w:val="2"/>
        </w:numPr>
        <w:spacing w:after="240" w:before="240" w:lineRule="auto"/>
        <w:ind w:left="341" w:hanging="113.99999999999999"/>
      </w:pPr>
      <w:r w:rsidDel="00000000" w:rsidR="00000000" w:rsidRPr="00000000">
        <w:rPr>
          <w:sz w:val="18"/>
          <w:szCs w:val="18"/>
          <w:rtl w:val="0"/>
        </w:rPr>
        <w:t xml:space="preserve">N. Thakur, N. Reimers, A. Rücklé, A. Srivastava, and I. Gurevych, “BEIR: A Heterogeneous Benchmark for Zero-shot Evaluation of Information Retrieval Models,” in Proc. NeurIPS Datasets and Benchmarks Track, 2021, doi: 10.48550/arXiv.2104.08663. [Online]. Available: https://arxiv.org/pdf/2104.08663.pdf</w:t>
      </w:r>
    </w:p>
    <w:p w:rsidR="00000000" w:rsidDel="00000000" w:rsidP="00000000" w:rsidRDefault="00000000" w:rsidRPr="00000000" w14:paraId="00000096">
      <w:pPr>
        <w:numPr>
          <w:ilvl w:val="0"/>
          <w:numId w:val="2"/>
        </w:numPr>
        <w:spacing w:after="240" w:before="240" w:lineRule="auto"/>
        <w:ind w:left="341" w:hanging="113.99999999999999"/>
      </w:pPr>
      <w:r w:rsidDel="00000000" w:rsidR="00000000" w:rsidRPr="00000000">
        <w:rPr>
          <w:sz w:val="18"/>
          <w:szCs w:val="18"/>
          <w:rtl w:val="0"/>
        </w:rPr>
        <w:t xml:space="preserve">Python Software Foundation, “Python Documentation,” Python, 2025. [Online]. Available: https://docs.python.org/3/</w:t>
      </w:r>
    </w:p>
    <w:p w:rsidR="00000000" w:rsidDel="00000000" w:rsidP="00000000" w:rsidRDefault="00000000" w:rsidRPr="00000000" w14:paraId="00000097">
      <w:pPr>
        <w:numPr>
          <w:ilvl w:val="0"/>
          <w:numId w:val="2"/>
        </w:numPr>
        <w:spacing w:after="240" w:before="240" w:lineRule="auto"/>
        <w:ind w:left="341" w:hanging="113.99999999999999"/>
      </w:pPr>
      <w:r w:rsidDel="00000000" w:rsidR="00000000" w:rsidRPr="00000000">
        <w:rPr>
          <w:sz w:val="18"/>
          <w:szCs w:val="18"/>
          <w:rtl w:val="0"/>
        </w:rPr>
        <w:t xml:space="preserve">Chroma, “Chroma is the Open-Source Search and Retrieval Database for AI Applications,” Chroma, 2025. [Online]. Available: https://www.trychroma.com/</w:t>
      </w:r>
    </w:p>
    <w:p w:rsidR="00000000" w:rsidDel="00000000" w:rsidP="00000000" w:rsidRDefault="00000000" w:rsidRPr="00000000" w14:paraId="00000098">
      <w:pPr>
        <w:numPr>
          <w:ilvl w:val="0"/>
          <w:numId w:val="2"/>
        </w:numPr>
        <w:spacing w:after="240" w:before="240" w:lineRule="auto"/>
        <w:ind w:left="341" w:hanging="113.99999999999999"/>
      </w:pPr>
      <w:r w:rsidDel="00000000" w:rsidR="00000000" w:rsidRPr="00000000">
        <w:rPr>
          <w:sz w:val="18"/>
          <w:szCs w:val="18"/>
          <w:rtl w:val="0"/>
        </w:rPr>
        <w:t xml:space="preserve">LangChain, “Build Context-Aware Reasoning Applications,” LangChain, 2025. [Online]. Available: https://www.langchain.com/</w:t>
      </w:r>
    </w:p>
    <w:p w:rsidR="00000000" w:rsidDel="00000000" w:rsidP="00000000" w:rsidRDefault="00000000" w:rsidRPr="00000000" w14:paraId="00000099">
      <w:pPr>
        <w:numPr>
          <w:ilvl w:val="0"/>
          <w:numId w:val="2"/>
        </w:numPr>
        <w:spacing w:after="240" w:before="240" w:lineRule="auto"/>
        <w:ind w:left="341" w:hanging="113.99999999999999"/>
      </w:pPr>
      <w:r w:rsidDel="00000000" w:rsidR="00000000" w:rsidRPr="00000000">
        <w:rPr>
          <w:sz w:val="18"/>
          <w:szCs w:val="18"/>
          <w:rtl w:val="0"/>
        </w:rPr>
        <w:t xml:space="preserve">LangGraph, “LangGraph: Build Scalable Agent Graphs,” LangChain, 2025. [Online]. Available: </w:t>
      </w:r>
      <w:hyperlink r:id="rId7">
        <w:r w:rsidDel="00000000" w:rsidR="00000000" w:rsidRPr="00000000">
          <w:rPr>
            <w:color w:val="1155cc"/>
            <w:sz w:val="18"/>
            <w:szCs w:val="18"/>
            <w:u w:val="single"/>
            <w:rtl w:val="0"/>
          </w:rPr>
          <w:t xml:space="preserve">https://www.langchain.com/langgraph</w:t>
        </w:r>
      </w:hyperlink>
      <w:r w:rsidDel="00000000" w:rsidR="00000000" w:rsidRPr="00000000">
        <w:rPr>
          <w:rtl w:val="0"/>
        </w:rPr>
      </w:r>
    </w:p>
    <w:p w:rsidR="00000000" w:rsidDel="00000000" w:rsidP="00000000" w:rsidRDefault="00000000" w:rsidRPr="00000000" w14:paraId="0000009A">
      <w:pPr>
        <w:numPr>
          <w:ilvl w:val="0"/>
          <w:numId w:val="2"/>
        </w:numPr>
        <w:spacing w:after="240" w:before="240" w:lineRule="auto"/>
        <w:ind w:left="341" w:hanging="113.99999999999999"/>
        <w:rPr>
          <w:sz w:val="18"/>
          <w:szCs w:val="18"/>
          <w:u w:val="none"/>
        </w:rPr>
      </w:pPr>
      <w:r w:rsidDel="00000000" w:rsidR="00000000" w:rsidRPr="00000000">
        <w:rPr>
          <w:sz w:val="18"/>
          <w:szCs w:val="18"/>
          <w:rtl w:val="0"/>
        </w:rPr>
        <w:t xml:space="preserve">J. M. Moreno Cadavid and A. F. Pineda Corcho, “Competitive programming and gamification as strategy to engage students in computer science courses,” Revista ESPACIOS, vol. 39, no. 35, p. 11, 2018. [Online]. Available: https://www.revistaespacios.com/a18v39n35/a18v39n35p11.pdf</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2948" w:top="2948" w:left="2494" w:right="2494" w:header="2381" w:footer="23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tab/>
    </w:r>
    <w:r w:rsidDel="00000000" w:rsidR="00000000" w:rsidRPr="00000000">
      <w:rPr>
        <w:sz w:val="18"/>
        <w:szCs w:val="18"/>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Pacori</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237"/>
        <w:tab w:val="right" w:leader="none" w:pos="6917"/>
      </w:tabs>
      <w:spacing w:after="0" w:before="0" w:line="240" w:lineRule="auto"/>
      <w:ind w:left="0" w:right="0" w:firstLine="0"/>
      <w:jc w:val="left"/>
      <w:rPr>
        <w:sz w:val="18"/>
        <w:szCs w:val="18"/>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r>
    <w:r w:rsidDel="00000000" w:rsidR="00000000" w:rsidRPr="00000000">
      <w:rPr>
        <w:sz w:val="18"/>
        <w:szCs w:val="18"/>
        <w:rtl w:val="0"/>
      </w:rPr>
      <w:t xml:space="preserve">RAG jerárquico para programación competitiva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237"/>
        <w:tab w:val="right" w:leader="none" w:pos="691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lvl>
    <w:lvl w:ilvl="1">
      <w:start w:val="1"/>
      <w:numFmt w:val="decimal"/>
      <w:lvlText w:val="%1.%2"/>
      <w:lvlJc w:val="left"/>
      <w:pPr>
        <w:ind w:left="567" w:hanging="567"/>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decimal"/>
      <w:lvlText w:val="%1.%2.%3.%4.%5"/>
      <w:lvlJc w:val="left"/>
      <w:pPr>
        <w:ind w:left="964" w:hanging="964"/>
      </w:pPr>
      <w:rPr>
        <w:rFonts w:ascii="Times New Roman" w:cs="Times New Roman" w:eastAsia="Times New Roman" w:hAnsi="Times New Roman"/>
        <w:b w:val="0"/>
        <w:bCs w:val="0"/>
        <w:i w:val="1"/>
        <w:iCs w:val="1"/>
        <w:sz w:val="20"/>
        <w:szCs w:val="2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right"/>
      <w:pPr>
        <w:ind w:left="341" w:hanging="113.99999999999997"/>
      </w:pPr>
      <w:rPr/>
    </w:lvl>
    <w:lvl w:ilvl="1">
      <w:start w:val="1"/>
      <w:numFmt w:val="lowerLetter"/>
      <w:lvlText w:val="%2."/>
      <w:lvlJc w:val="left"/>
      <w:pPr>
        <w:ind w:left="1896" w:hanging="360"/>
      </w:pPr>
      <w:rPr/>
    </w:lvl>
    <w:lvl w:ilvl="2">
      <w:start w:val="1"/>
      <w:numFmt w:val="lowerRoman"/>
      <w:lvlText w:val="%3."/>
      <w:lvlJc w:val="right"/>
      <w:pPr>
        <w:ind w:left="2616" w:hanging="180"/>
      </w:pPr>
      <w:rPr/>
    </w:lvl>
    <w:lvl w:ilvl="3">
      <w:start w:val="1"/>
      <w:numFmt w:val="decimal"/>
      <w:lvlText w:val="%4."/>
      <w:lvlJc w:val="left"/>
      <w:pPr>
        <w:ind w:left="3336" w:hanging="360"/>
      </w:pPr>
      <w:rPr/>
    </w:lvl>
    <w:lvl w:ilvl="4">
      <w:start w:val="1"/>
      <w:numFmt w:val="lowerLetter"/>
      <w:lvlText w:val="%5."/>
      <w:lvlJc w:val="left"/>
      <w:pPr>
        <w:ind w:left="4056" w:hanging="360"/>
      </w:pPr>
      <w:rPr/>
    </w:lvl>
    <w:lvl w:ilvl="5">
      <w:start w:val="1"/>
      <w:numFmt w:val="lowerRoman"/>
      <w:lvlText w:val="%6."/>
      <w:lvlJc w:val="right"/>
      <w:pPr>
        <w:ind w:left="4776" w:hanging="180"/>
      </w:pPr>
      <w:rPr/>
    </w:lvl>
    <w:lvl w:ilvl="6">
      <w:start w:val="1"/>
      <w:numFmt w:val="decimal"/>
      <w:lvlText w:val="%7."/>
      <w:lvlJc w:val="left"/>
      <w:pPr>
        <w:ind w:left="5496" w:hanging="360"/>
      </w:pPr>
      <w:rPr/>
    </w:lvl>
    <w:lvl w:ilvl="7">
      <w:start w:val="1"/>
      <w:numFmt w:val="lowerLetter"/>
      <w:lvlText w:val="%8."/>
      <w:lvlJc w:val="left"/>
      <w:pPr>
        <w:ind w:left="6216" w:hanging="360"/>
      </w:pPr>
      <w:rPr/>
    </w:lvl>
    <w:lvl w:ilvl="8">
      <w:start w:val="1"/>
      <w:numFmt w:val="lowerRoman"/>
      <w:lvlText w:val="%9."/>
      <w:lvlJc w:val="right"/>
      <w:pPr>
        <w:ind w:left="6936"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567" w:hanging="567"/>
      <w:jc w:val="left"/>
    </w:pPr>
    <w:rPr>
      <w:b w:val="1"/>
      <w:bCs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bCs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angchain.com/langgraph"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Diseño y validación de una estrategia de recuperación híbrida jerárquica basada en PageIndex</dc:title>
  <cp:lastModifiedBy>python-docx</cp:lastModifiedBy>
  <cp:revision>1</cp:revision>
  <dcterms:modified xsi:type="dcterms:W3CDTF">2026-06-30T21:28:57Z</dcterms:modified>
  <dc:subject>Versión revisada: observaciones mayores O1-O5</dc:subject>
</cp:coreProperties>
</file>