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MaliciousFinder Release Notes</w:t>
      </w:r>
    </w:p>
    <w:p>
      <w:pPr>
        <w:spacing w:after="60"/>
      </w:pPr>
      <w:r>
        <w:rPr>
          <w:b/>
          <w:color w:val="008068"/>
          <w:sz w:val="26"/>
        </w:rPr>
        <w:t>Release Security library 1.3.1</w:t>
      </w:r>
    </w:p>
    <w:p>
      <w:pPr>
        <w:spacing w:after="240"/>
      </w:pPr>
      <w:r>
        <w:t>Roblox Studio automatic script review delivered through HE Utilities New</w:t>
      </w:r>
    </w:p>
    <w:p>
      <w:pPr>
        <w:pStyle w:val="Heading1"/>
      </w:pPr>
      <w:r>
        <w:t>Release summary</w:t>
      </w:r>
    </w:p>
    <w:p>
      <w:r>
        <w:t>MaliciousFinder is the script-review portion of the HE Utilities New Roblox Studio plugin. This release monitors new and changed Studio content, compares script source with a local security library, and presents review findings after a signature or keyword match. The default local library remains available when no production HTTPS library endpoint is configured.</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24"/>
            <w:vAlign w:val="center"/>
            <w:tcMar>
              <w:top w:w="110" w:type="dxa"/>
              <w:start w:w="110" w:type="dxa"/>
              <w:bottom w:w="110" w:type="dxa"/>
              <w:end w:w="110" w:type="dxa"/>
            </w:tcMar>
            <w:shd w:fill="233B4D"/>
          </w:tcPr>
          <w:p>
            <w:pPr>
              <w:spacing w:after="0"/>
            </w:pPr>
            <w:r>
              <w:rPr>
                <w:b/>
                <w:color w:val="FFFFFF"/>
                <w:sz w:val="18"/>
              </w:rPr>
              <w:t>Release item</w:t>
            </w:r>
          </w:p>
        </w:tc>
        <w:tc>
          <w:tcPr>
            <w:tcW w:type="dxa" w:w="6480"/>
            <w:vAlign w:val="center"/>
            <w:tcMar>
              <w:top w:w="110" w:type="dxa"/>
              <w:start w:w="110" w:type="dxa"/>
              <w:bottom w:w="110" w:type="dxa"/>
              <w:end w:w="110" w:type="dxa"/>
            </w:tcMar>
            <w:shd w:fill="233B4D"/>
          </w:tcPr>
          <w:p>
            <w:pPr>
              <w:spacing w:after="0"/>
            </w:pPr>
            <w:r>
              <w:rPr>
                <w:b/>
                <w:color w:val="FFFFFF"/>
                <w:sz w:val="18"/>
              </w:rPr>
              <w:t>Value</w:t>
            </w:r>
          </w:p>
        </w:tc>
      </w:tr>
      <w:tr>
        <w:tc>
          <w:tcPr>
            <w:tcW w:type="dxa" w:w="3024"/>
            <w:vAlign w:val="center"/>
            <w:tcMar>
              <w:top w:w="110" w:type="dxa"/>
              <w:start w:w="110" w:type="dxa"/>
              <w:bottom w:w="110" w:type="dxa"/>
              <w:end w:w="110" w:type="dxa"/>
            </w:tcMar>
          </w:tcPr>
          <w:p>
            <w:pPr>
              <w:spacing w:after="0"/>
            </w:pPr>
            <w:r>
              <w:rPr>
                <w:sz w:val="17"/>
              </w:rPr>
              <w:t>Security library version</w:t>
            </w:r>
          </w:p>
        </w:tc>
        <w:tc>
          <w:tcPr>
            <w:tcW w:type="dxa" w:w="6480"/>
            <w:vAlign w:val="center"/>
            <w:tcMar>
              <w:top w:w="110" w:type="dxa"/>
              <w:start w:w="110" w:type="dxa"/>
              <w:bottom w:w="110" w:type="dxa"/>
              <w:end w:w="110" w:type="dxa"/>
            </w:tcMar>
          </w:tcPr>
          <w:p>
            <w:pPr>
              <w:spacing w:after="0"/>
            </w:pPr>
            <w:r>
              <w:rPr>
                <w:sz w:val="17"/>
              </w:rPr>
              <w:t>1.3.1</w:t>
            </w:r>
          </w:p>
        </w:tc>
      </w:tr>
      <w:tr>
        <w:tc>
          <w:tcPr>
            <w:tcW w:type="dxa" w:w="3024"/>
            <w:vAlign w:val="center"/>
            <w:tcMar>
              <w:top w:w="110" w:type="dxa"/>
              <w:start w:w="110" w:type="dxa"/>
              <w:bottom w:w="110" w:type="dxa"/>
              <w:end w:w="110" w:type="dxa"/>
            </w:tcMar>
            <w:shd w:fill="F2F6F8"/>
          </w:tcPr>
          <w:p>
            <w:pPr>
              <w:spacing w:after="0"/>
            </w:pPr>
            <w:r>
              <w:rPr>
                <w:sz w:val="17"/>
              </w:rPr>
              <w:t>Release date</w:t>
            </w:r>
          </w:p>
        </w:tc>
        <w:tc>
          <w:tcPr>
            <w:tcW w:type="dxa" w:w="6480"/>
            <w:vAlign w:val="center"/>
            <w:tcMar>
              <w:top w:w="110" w:type="dxa"/>
              <w:start w:w="110" w:type="dxa"/>
              <w:bottom w:w="110" w:type="dxa"/>
              <w:end w:w="110" w:type="dxa"/>
            </w:tcMar>
            <w:shd w:fill="F2F6F8"/>
          </w:tcPr>
          <w:p>
            <w:pPr>
              <w:spacing w:after="0"/>
            </w:pPr>
            <w:r>
              <w:rPr>
                <w:sz w:val="17"/>
              </w:rPr>
              <w:t>8 October 2026</w:t>
            </w:r>
          </w:p>
        </w:tc>
      </w:tr>
      <w:tr>
        <w:tc>
          <w:tcPr>
            <w:tcW w:type="dxa" w:w="3024"/>
            <w:vAlign w:val="center"/>
            <w:tcMar>
              <w:top w:w="110" w:type="dxa"/>
              <w:start w:w="110" w:type="dxa"/>
              <w:bottom w:w="110" w:type="dxa"/>
              <w:end w:w="110" w:type="dxa"/>
            </w:tcMar>
          </w:tcPr>
          <w:p>
            <w:pPr>
              <w:spacing w:after="0"/>
            </w:pPr>
            <w:r>
              <w:rPr>
                <w:sz w:val="17"/>
              </w:rPr>
              <w:t>Plugin payload</w:t>
            </w:r>
          </w:p>
        </w:tc>
        <w:tc>
          <w:tcPr>
            <w:tcW w:type="dxa" w:w="6480"/>
            <w:vAlign w:val="center"/>
            <w:tcMar>
              <w:top w:w="110" w:type="dxa"/>
              <w:start w:w="110" w:type="dxa"/>
              <w:bottom w:w="110" w:type="dxa"/>
              <w:end w:w="110" w:type="dxa"/>
            </w:tcMar>
          </w:tcPr>
          <w:p>
            <w:pPr>
              <w:spacing w:after="0"/>
            </w:pPr>
            <w:r>
              <w:rPr>
                <w:sz w:val="17"/>
              </w:rPr>
              <w:t>HE-UtilitiesNew.rbxmx</w:t>
            </w:r>
          </w:p>
        </w:tc>
      </w:tr>
      <w:tr>
        <w:tc>
          <w:tcPr>
            <w:tcW w:type="dxa" w:w="3024"/>
            <w:vAlign w:val="center"/>
            <w:tcMar>
              <w:top w:w="110" w:type="dxa"/>
              <w:start w:w="110" w:type="dxa"/>
              <w:bottom w:w="110" w:type="dxa"/>
              <w:end w:w="110" w:type="dxa"/>
            </w:tcMar>
            <w:shd w:fill="F2F6F8"/>
          </w:tcPr>
          <w:p>
            <w:pPr>
              <w:spacing w:after="0"/>
            </w:pPr>
            <w:r>
              <w:rPr>
                <w:sz w:val="17"/>
              </w:rPr>
              <w:t>Exact signatures</w:t>
            </w:r>
          </w:p>
        </w:tc>
        <w:tc>
          <w:tcPr>
            <w:tcW w:type="dxa" w:w="6480"/>
            <w:vAlign w:val="center"/>
            <w:tcMar>
              <w:top w:w="110" w:type="dxa"/>
              <w:start w:w="110" w:type="dxa"/>
              <w:bottom w:w="110" w:type="dxa"/>
              <w:end w:w="110" w:type="dxa"/>
            </w:tcMar>
            <w:shd w:fill="F2F6F8"/>
          </w:tcPr>
          <w:p>
            <w:pPr>
              <w:spacing w:after="0"/>
            </w:pPr>
            <w:r>
              <w:rPr>
                <w:sz w:val="17"/>
              </w:rPr>
              <w:t>38</w:t>
            </w:r>
          </w:p>
        </w:tc>
      </w:tr>
      <w:tr>
        <w:tc>
          <w:tcPr>
            <w:tcW w:type="dxa" w:w="3024"/>
            <w:vAlign w:val="center"/>
            <w:tcMar>
              <w:top w:w="110" w:type="dxa"/>
              <w:start w:w="110" w:type="dxa"/>
              <w:bottom w:w="110" w:type="dxa"/>
              <w:end w:w="110" w:type="dxa"/>
            </w:tcMar>
          </w:tcPr>
          <w:p>
            <w:pPr>
              <w:spacing w:after="0"/>
            </w:pPr>
            <w:r>
              <w:rPr>
                <w:sz w:val="17"/>
              </w:rPr>
              <w:t>Review keywords</w:t>
            </w:r>
          </w:p>
        </w:tc>
        <w:tc>
          <w:tcPr>
            <w:tcW w:type="dxa" w:w="6480"/>
            <w:vAlign w:val="center"/>
            <w:tcMar>
              <w:top w:w="110" w:type="dxa"/>
              <w:start w:w="110" w:type="dxa"/>
              <w:bottom w:w="110" w:type="dxa"/>
              <w:end w:w="110" w:type="dxa"/>
            </w:tcMar>
          </w:tcPr>
          <w:p>
            <w:pPr>
              <w:spacing w:after="0"/>
            </w:pPr>
            <w:r>
              <w:rPr>
                <w:sz w:val="17"/>
              </w:rPr>
              <w:t>12</w:t>
            </w:r>
          </w:p>
        </w:tc>
      </w:tr>
      <w:tr>
        <w:tc>
          <w:tcPr>
            <w:tcW w:type="dxa" w:w="3024"/>
            <w:vAlign w:val="center"/>
            <w:tcMar>
              <w:top w:w="110" w:type="dxa"/>
              <w:start w:w="110" w:type="dxa"/>
              <w:bottom w:w="110" w:type="dxa"/>
              <w:end w:w="110" w:type="dxa"/>
            </w:tcMar>
            <w:shd w:fill="F2F6F8"/>
          </w:tcPr>
          <w:p>
            <w:pPr>
              <w:spacing w:after="0"/>
            </w:pPr>
            <w:r>
              <w:rPr>
                <w:sz w:val="17"/>
              </w:rPr>
              <w:t>Default library source</w:t>
            </w:r>
          </w:p>
        </w:tc>
        <w:tc>
          <w:tcPr>
            <w:tcW w:type="dxa" w:w="6480"/>
            <w:vAlign w:val="center"/>
            <w:tcMar>
              <w:top w:w="110" w:type="dxa"/>
              <w:start w:w="110" w:type="dxa"/>
              <w:bottom w:w="110" w:type="dxa"/>
              <w:end w:w="110" w:type="dxa"/>
            </w:tcMar>
            <w:shd w:fill="F2F6F8"/>
          </w:tcPr>
          <w:p>
            <w:pPr>
              <w:spacing w:after="0"/>
            </w:pPr>
            <w:r>
              <w:rPr>
                <w:sz w:val="17"/>
              </w:rPr>
              <w:t>Local fallback</w:t>
            </w:r>
          </w:p>
        </w:tc>
      </w:tr>
    </w:tbl>
    <w:p>
      <w:pPr>
        <w:spacing w:after="0"/>
      </w:pPr>
    </w:p>
    <w:p>
      <w:pPr>
        <w:pStyle w:val="Heading1"/>
      </w:pPr>
      <w:r>
        <w:t>Detection flow</w:t>
      </w:r>
    </w:p>
    <w:p>
      <w:pPr>
        <w:pStyle w:val="ListNumber"/>
        <w:spacing w:after="60"/>
      </w:pPr>
      <w:r>
        <w:t>Auto Scan observes new instances and source changes across the Studio game hierarchy.</w:t>
      </w:r>
    </w:p>
    <w:p>
      <w:pPr>
        <w:pStyle w:val="ListNumber"/>
        <w:spacing w:after="60"/>
      </w:pPr>
      <w:r>
        <w:t>Supported scripts are queued and inspected with literal, case-sensitive signature and keyword matching.</w:t>
      </w:r>
    </w:p>
    <w:p>
      <w:pPr>
        <w:pStyle w:val="ListNumber"/>
        <w:spacing w:after="60"/>
      </w:pPr>
      <w:r>
        <w:t>The scanner creates a finding with severity, confidence, category, description, and matched text.</w:t>
      </w:r>
    </w:p>
    <w:p>
      <w:pPr>
        <w:pStyle w:val="ListNumber"/>
        <w:spacing w:after="60"/>
      </w:pPr>
      <w:r>
        <w:t>The plugin displays the review notification only after matching is complete.</w:t>
      </w:r>
    </w:p>
    <w:p>
      <w:pPr>
        <w:pStyle w:val="ListNumber"/>
        <w:spacing w:after="60"/>
      </w:pPr>
      <w:r>
        <w:t>The reviewer opens the affected object and decides whether to dismiss, remove, or investigate it.</w:t>
      </w:r>
    </w:p>
    <w:p>
      <w:pPr>
        <w:pStyle w:val="Heading1"/>
      </w:pPr>
      <w:r>
        <w:t>Security library coverage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92"/>
            <w:vAlign w:val="center"/>
            <w:tcMar>
              <w:top w:w="110" w:type="dxa"/>
              <w:start w:w="110" w:type="dxa"/>
              <w:bottom w:w="110" w:type="dxa"/>
              <w:end w:w="110" w:type="dxa"/>
            </w:tcMar>
            <w:shd w:fill="233B4D"/>
          </w:tcPr>
          <w:p>
            <w:pPr>
              <w:spacing w:after="0"/>
            </w:pPr>
            <w:r>
              <w:rPr>
                <w:b/>
                <w:color w:val="FFFFFF"/>
                <w:sz w:val="18"/>
              </w:rPr>
              <w:t>Category</w:t>
            </w:r>
          </w:p>
        </w:tc>
        <w:tc>
          <w:tcPr>
            <w:tcW w:type="dxa" w:w="6912"/>
            <w:vAlign w:val="center"/>
            <w:tcMar>
              <w:top w:w="110" w:type="dxa"/>
              <w:start w:w="110" w:type="dxa"/>
              <w:bottom w:w="110" w:type="dxa"/>
              <w:end w:w="110" w:type="dxa"/>
            </w:tcMar>
            <w:shd w:fill="233B4D"/>
          </w:tcPr>
          <w:p>
            <w:pPr>
              <w:spacing w:after="0"/>
            </w:pPr>
            <w:r>
              <w:rPr>
                <w:b/>
                <w:color w:val="FFFFFF"/>
                <w:sz w:val="18"/>
              </w:rPr>
              <w:t>Examples covered</w:t>
            </w:r>
          </w:p>
        </w:tc>
      </w:tr>
      <w:tr>
        <w:tc>
          <w:tcPr>
            <w:tcW w:type="dxa" w:w="2592"/>
            <w:vAlign w:val="center"/>
            <w:tcMar>
              <w:top w:w="110" w:type="dxa"/>
              <w:start w:w="110" w:type="dxa"/>
              <w:bottom w:w="110" w:type="dxa"/>
              <w:end w:w="110" w:type="dxa"/>
            </w:tcMar>
          </w:tcPr>
          <w:p>
            <w:pPr>
              <w:spacing w:after="0"/>
            </w:pPr>
            <w:r>
              <w:rPr>
                <w:sz w:val="17"/>
              </w:rPr>
              <w:t>Remote code execution</w:t>
            </w:r>
          </w:p>
        </w:tc>
        <w:tc>
          <w:tcPr>
            <w:tcW w:type="dxa" w:w="6912"/>
            <w:vAlign w:val="center"/>
            <w:tcMar>
              <w:top w:w="110" w:type="dxa"/>
              <w:start w:w="110" w:type="dxa"/>
              <w:bottom w:w="110" w:type="dxa"/>
              <w:end w:w="110" w:type="dxa"/>
            </w:tcMar>
          </w:tcPr>
          <w:p>
            <w:pPr>
              <w:spacing w:after="0"/>
            </w:pPr>
            <w:r>
              <w:rPr>
                <w:sz w:val="17"/>
              </w:rPr>
              <w:t>loadstring with HttpGet or HttpService retrieval</w:t>
            </w:r>
          </w:p>
        </w:tc>
      </w:tr>
      <w:tr>
        <w:tc>
          <w:tcPr>
            <w:tcW w:type="dxa" w:w="2592"/>
            <w:vAlign w:val="center"/>
            <w:tcMar>
              <w:top w:w="110" w:type="dxa"/>
              <w:start w:w="110" w:type="dxa"/>
              <w:bottom w:w="110" w:type="dxa"/>
              <w:end w:w="110" w:type="dxa"/>
            </w:tcMar>
            <w:shd w:fill="F2F6F8"/>
          </w:tcPr>
          <w:p>
            <w:pPr>
              <w:spacing w:after="0"/>
            </w:pPr>
            <w:r>
              <w:rPr>
                <w:sz w:val="17"/>
              </w:rPr>
              <w:t>Exploit APIs</w:t>
            </w:r>
          </w:p>
        </w:tc>
        <w:tc>
          <w:tcPr>
            <w:tcW w:type="dxa" w:w="6912"/>
            <w:vAlign w:val="center"/>
            <w:tcMar>
              <w:top w:w="110" w:type="dxa"/>
              <w:start w:w="110" w:type="dxa"/>
              <w:bottom w:w="110" w:type="dxa"/>
              <w:end w:w="110" w:type="dxa"/>
            </w:tcMar>
            <w:shd w:fill="F2F6F8"/>
          </w:tcPr>
          <w:p>
            <w:pPr>
              <w:spacing w:after="0"/>
            </w:pPr>
            <w:r>
              <w:rPr>
                <w:sz w:val="17"/>
              </w:rPr>
              <w:t>Environment access, raw metatables, hooks, readonly bypass, and file writes</w:t>
            </w:r>
          </w:p>
        </w:tc>
      </w:tr>
      <w:tr>
        <w:tc>
          <w:tcPr>
            <w:tcW w:type="dxa" w:w="2592"/>
            <w:vAlign w:val="center"/>
            <w:tcMar>
              <w:top w:w="110" w:type="dxa"/>
              <w:start w:w="110" w:type="dxa"/>
              <w:bottom w:w="110" w:type="dxa"/>
              <w:end w:w="110" w:type="dxa"/>
            </w:tcMar>
          </w:tcPr>
          <w:p>
            <w:pPr>
              <w:spacing w:after="0"/>
            </w:pPr>
            <w:r>
              <w:rPr>
                <w:sz w:val="17"/>
              </w:rPr>
              <w:t>Remote payloads</w:t>
            </w:r>
          </w:p>
        </w:tc>
        <w:tc>
          <w:tcPr>
            <w:tcW w:type="dxa" w:w="6912"/>
            <w:vAlign w:val="center"/>
            <w:tcMar>
              <w:top w:w="110" w:type="dxa"/>
              <w:start w:w="110" w:type="dxa"/>
              <w:bottom w:w="110" w:type="dxa"/>
              <w:end w:w="110" w:type="dxa"/>
            </w:tcMar>
          </w:tcPr>
          <w:p>
            <w:pPr>
              <w:spacing w:after="0"/>
            </w:pPr>
            <w:r>
              <w:rPr>
                <w:sz w:val="17"/>
              </w:rPr>
              <w:t>Known raw-host and external module-loading patterns</w:t>
            </w:r>
          </w:p>
        </w:tc>
      </w:tr>
      <w:tr>
        <w:tc>
          <w:tcPr>
            <w:tcW w:type="dxa" w:w="2592"/>
            <w:vAlign w:val="center"/>
            <w:tcMar>
              <w:top w:w="110" w:type="dxa"/>
              <w:start w:w="110" w:type="dxa"/>
              <w:bottom w:w="110" w:type="dxa"/>
              <w:end w:w="110" w:type="dxa"/>
            </w:tcMar>
            <w:shd w:fill="F2F6F8"/>
          </w:tcPr>
          <w:p>
            <w:pPr>
              <w:spacing w:after="0"/>
            </w:pPr>
            <w:r>
              <w:rPr>
                <w:sz w:val="17"/>
              </w:rPr>
              <w:t>Known backdoors</w:t>
            </w:r>
          </w:p>
        </w:tc>
        <w:tc>
          <w:tcPr>
            <w:tcW w:type="dxa" w:w="6912"/>
            <w:vAlign w:val="center"/>
            <w:tcMar>
              <w:top w:w="110" w:type="dxa"/>
              <w:start w:w="110" w:type="dxa"/>
              <w:bottom w:w="110" w:type="dxa"/>
              <w:end w:w="110" w:type="dxa"/>
            </w:tcMar>
            <w:shd w:fill="F2F6F8"/>
          </w:tcPr>
          <w:p>
            <w:pPr>
              <w:spacing w:after="0"/>
            </w:pPr>
            <w:r>
              <w:rPr>
                <w:sz w:val="17"/>
              </w:rPr>
              <w:t>Historical PluginManager, RoSync, Stys, and supplied module IDs</w:t>
            </w:r>
          </w:p>
        </w:tc>
      </w:tr>
      <w:tr>
        <w:tc>
          <w:tcPr>
            <w:tcW w:type="dxa" w:w="2592"/>
            <w:vAlign w:val="center"/>
            <w:tcMar>
              <w:top w:w="110" w:type="dxa"/>
              <w:start w:w="110" w:type="dxa"/>
              <w:bottom w:w="110" w:type="dxa"/>
              <w:end w:w="110" w:type="dxa"/>
            </w:tcMar>
          </w:tcPr>
          <w:p>
            <w:pPr>
              <w:spacing w:after="0"/>
            </w:pPr>
            <w:r>
              <w:rPr>
                <w:sz w:val="17"/>
              </w:rPr>
              <w:t>Purchase prompt abuse</w:t>
            </w:r>
          </w:p>
        </w:tc>
        <w:tc>
          <w:tcPr>
            <w:tcW w:type="dxa" w:w="6912"/>
            <w:vAlign w:val="center"/>
            <w:tcMar>
              <w:top w:w="110" w:type="dxa"/>
              <w:start w:w="110" w:type="dxa"/>
              <w:bottom w:w="110" w:type="dxa"/>
              <w:end w:w="110" w:type="dxa"/>
            </w:tcMar>
          </w:tcPr>
          <w:p>
            <w:pPr>
              <w:spacing w:after="0"/>
            </w:pPr>
            <w:r>
              <w:rPr>
                <w:sz w:val="17"/>
              </w:rPr>
              <w:t>Repeated prompts and dynamic MarketplaceService action invocation</w:t>
            </w:r>
          </w:p>
        </w:tc>
      </w:tr>
      <w:tr>
        <w:tc>
          <w:tcPr>
            <w:tcW w:type="dxa" w:w="2592"/>
            <w:vAlign w:val="center"/>
            <w:tcMar>
              <w:top w:w="110" w:type="dxa"/>
              <w:start w:w="110" w:type="dxa"/>
              <w:bottom w:w="110" w:type="dxa"/>
              <w:end w:w="110" w:type="dxa"/>
            </w:tcMar>
            <w:shd w:fill="F2F6F8"/>
          </w:tcPr>
          <w:p>
            <w:pPr>
              <w:spacing w:after="0"/>
            </w:pPr>
            <w:r>
              <w:rPr>
                <w:sz w:val="17"/>
              </w:rPr>
              <w:t>Obfuscation</w:t>
            </w:r>
          </w:p>
        </w:tc>
        <w:tc>
          <w:tcPr>
            <w:tcW w:type="dxa" w:w="6912"/>
            <w:vAlign w:val="center"/>
            <w:tcMar>
              <w:top w:w="110" w:type="dxa"/>
              <w:start w:w="110" w:type="dxa"/>
              <w:bottom w:w="110" w:type="dxa"/>
              <w:end w:w="110" w:type="dxa"/>
            </w:tcMar>
            <w:shd w:fill="F2F6F8"/>
          </w:tcPr>
          <w:p>
            <w:pPr>
              <w:spacing w:after="0"/>
            </w:pPr>
            <w:r>
              <w:rPr>
                <w:sz w:val="17"/>
              </w:rPr>
              <w:t>Constructed require text, reversed strings, and known encoded hashes</w:t>
            </w:r>
          </w:p>
        </w:tc>
      </w:tr>
      <w:tr>
        <w:tc>
          <w:tcPr>
            <w:tcW w:type="dxa" w:w="2592"/>
            <w:vAlign w:val="center"/>
            <w:tcMar>
              <w:top w:w="110" w:type="dxa"/>
              <w:start w:w="110" w:type="dxa"/>
              <w:bottom w:w="110" w:type="dxa"/>
              <w:end w:w="110" w:type="dxa"/>
            </w:tcMar>
          </w:tcPr>
          <w:p>
            <w:pPr>
              <w:spacing w:after="0"/>
            </w:pPr>
            <w:r>
              <w:rPr>
                <w:sz w:val="17"/>
              </w:rPr>
              <w:t>Asset theft</w:t>
            </w:r>
          </w:p>
        </w:tc>
        <w:tc>
          <w:tcPr>
            <w:tcW w:type="dxa" w:w="6912"/>
            <w:vAlign w:val="center"/>
            <w:tcMar>
              <w:top w:w="110" w:type="dxa"/>
              <w:start w:w="110" w:type="dxa"/>
              <w:bottom w:w="110" w:type="dxa"/>
              <w:end w:w="110" w:type="dxa"/>
            </w:tcMar>
          </w:tcPr>
          <w:p>
            <w:pPr>
              <w:spacing w:after="0"/>
            </w:pPr>
            <w:r>
              <w:rPr>
                <w:sz w:val="17"/>
              </w:rPr>
              <w:t>Known save-instance artifacts</w:t>
            </w:r>
          </w:p>
        </w:tc>
      </w:tr>
      <w:tr>
        <w:tc>
          <w:tcPr>
            <w:tcW w:type="dxa" w:w="2592"/>
            <w:vAlign w:val="center"/>
            <w:tcMar>
              <w:top w:w="110" w:type="dxa"/>
              <w:start w:w="110" w:type="dxa"/>
              <w:bottom w:w="110" w:type="dxa"/>
              <w:end w:w="110" w:type="dxa"/>
            </w:tcMar>
            <w:shd w:fill="F2F6F8"/>
          </w:tcPr>
          <w:p>
            <w:pPr>
              <w:spacing w:after="0"/>
            </w:pPr>
            <w:r>
              <w:rPr>
                <w:sz w:val="17"/>
              </w:rPr>
              <w:t>Configuration patterns</w:t>
            </w:r>
          </w:p>
        </w:tc>
        <w:tc>
          <w:tcPr>
            <w:tcW w:type="dxa" w:w="6912"/>
            <w:vAlign w:val="center"/>
            <w:tcMar>
              <w:top w:w="110" w:type="dxa"/>
              <w:start w:w="110" w:type="dxa"/>
              <w:bottom w:w="110" w:type="dxa"/>
              <w:end w:w="110" w:type="dxa"/>
            </w:tcMar>
            <w:shd w:fill="F2F6F8"/>
          </w:tcPr>
          <w:p>
            <w:pPr>
              <w:spacing w:after="0"/>
            </w:pPr>
            <w:r>
              <w:rPr>
                <w:sz w:val="17"/>
              </w:rPr>
              <w:t>Complete historical loader lines supplied for review</w:t>
            </w:r>
          </w:p>
        </w:tc>
      </w:tr>
    </w:tbl>
    <w:p>
      <w:pPr>
        <w:spacing w:after="0"/>
      </w:pPr>
    </w:p>
    <w:p>
      <w:pPr>
        <w:pStyle w:val="Heading1"/>
      </w:pPr>
      <w:r>
        <w:t>Changes in security library 1.3.1</w:t>
      </w:r>
    </w:p>
    <w:p>
      <w:pPr>
        <w:pStyle w:val="ListBullet"/>
        <w:spacing w:after="60"/>
      </w:pPr>
      <w:r>
        <w:t>Added an exact Critical signature for a dynamic MarketplaceService method call made for LocalPlayer with an iterated ID.</w:t>
      </w:r>
    </w:p>
    <w:p>
      <w:pPr>
        <w:pStyle w:val="ListBullet"/>
        <w:spacing w:after="60"/>
      </w:pPr>
      <w:r>
        <w:t>Added a second exact signature for the escaped document form of the same line.</w:t>
      </w:r>
    </w:p>
    <w:p>
      <w:pPr>
        <w:pStyle w:val="ListBullet"/>
        <w:spacing w:after="60"/>
      </w:pPr>
      <w:r>
        <w:t>Kept the JSON source library and embedded plugin library aligned.</w:t>
      </w:r>
    </w:p>
    <w:p>
      <w:pPr>
        <w:pStyle w:val="ListBullet"/>
        <w:spacing w:after="60"/>
      </w:pPr>
      <w:r>
        <w:t>Retained focused exact-line signatures instead of broad terms such as require, Service, Admin, or Text that would create excessive false positives.</w:t>
      </w:r>
    </w:p>
    <w:p>
      <w:pPr>
        <w:pStyle w:val="Heading1"/>
      </w:pPr>
      <w:r>
        <w:t>Automatic scanning and queue safety</w:t>
      </w:r>
    </w:p>
    <w:p>
      <w:r>
        <w:t>Auto Scan watches new assets and script changes. Existing content can be scanned when the service starts, while newly inserted content is queued as it appears. If the queue becomes too large, protection pauses and tells the user to toggle Auto Scan off and on before resuming. This prevents an unbounded scanning backlog from consuming Studio resources.</w:t>
      </w:r>
    </w:p>
    <w:p>
      <w:pPr>
        <w:pStyle w:val="Heading1"/>
      </w:pPr>
      <w:r>
        <w:t>Installation and update</w:t>
      </w:r>
    </w:p>
    <w:p>
      <w:pPr>
        <w:pStyle w:val="ListNumber"/>
        <w:spacing w:after="60"/>
      </w:pPr>
      <w:r>
        <w:t>Close every Roblox Studio window.</w:t>
      </w:r>
    </w:p>
    <w:p>
      <w:pPr>
        <w:pStyle w:val="ListNumber"/>
        <w:spacing w:after="60"/>
      </w:pPr>
      <w:r>
        <w:t>Copy HE-UtilitiesNew.rbxmx into the local Roblox Plugins folder, replacing the previous file of the same name.</w:t>
      </w:r>
    </w:p>
    <w:p>
      <w:pPr>
        <w:pStyle w:val="ListNumber"/>
        <w:spacing w:after="60"/>
      </w:pPr>
      <w:r>
        <w:t>Remove or disable unintended older HE Utilities copies if duplicate toolbars or output messages appear.</w:t>
      </w:r>
    </w:p>
    <w:p>
      <w:pPr>
        <w:pStyle w:val="ListNumber"/>
        <w:spacing w:after="60"/>
      </w:pPr>
      <w:r>
        <w:t>Restart Studio and confirm Auto Scan ON, Protection Active, and library version 1.3.1.</w:t>
      </w:r>
    </w:p>
    <w:p>
      <w:pPr>
        <w:pStyle w:val="ListNumber"/>
        <w:spacing w:after="60"/>
      </w:pPr>
      <w:r>
        <w:t>Test with an unrequired ModuleScript in ServerStorage so sample source is scanned without execution.</w:t>
      </w:r>
    </w:p>
    <w:p>
      <w:pPr>
        <w:pStyle w:val="Heading1"/>
      </w:pPr>
      <w:r>
        <w:t>Interpretation of findings</w:t>
      </w:r>
    </w:p>
    <w:p>
      <w:r>
        <w:t>A signature match identifies source that resembles a known risky or malicious pattern; it is not proof of intent by itself. Keyword findings are lower-confidence review prompts. Reviewers should inspect the complete script, its parent model, external asset IDs, network destinations, and the behavior that occurs when the script runs.</w:t>
      </w:r>
    </w:p>
    <w:p>
      <w:pPr>
        <w:pStyle w:val="Heading1"/>
      </w:pPr>
      <w:r>
        <w:t>Known limitations</w:t>
      </w:r>
    </w:p>
    <w:p>
      <w:pPr>
        <w:pStyle w:val="ListBullet"/>
        <w:spacing w:after="60"/>
      </w:pPr>
      <w:r>
        <w:t>Matching is literal and case-sensitive. Different whitespace, quote styles, variable names, or multiline formatting can bypass an exact signature unless another rule covers the variation.</w:t>
      </w:r>
    </w:p>
    <w:p>
      <w:pPr>
        <w:pStyle w:val="ListBullet"/>
        <w:spacing w:after="60"/>
      </w:pPr>
      <w:r>
        <w:t>The scanner does not execute source or prove whether a remote module is currently malicious.</w:t>
      </w:r>
    </w:p>
    <w:p>
      <w:pPr>
        <w:pStyle w:val="ListBullet"/>
        <w:spacing w:after="60"/>
      </w:pPr>
      <w:r>
        <w:t>An imported asset can contain non-script objects that affect Studio performance; signature scanning focuses on inspectable source and supported text objects.</w:t>
      </w:r>
    </w:p>
    <w:p>
      <w:pPr>
        <w:pStyle w:val="ListBullet"/>
        <w:spacing w:after="60"/>
      </w:pPr>
      <w:r>
        <w:t>The remote security-library and reporting URLs remain blank until trusted production HTTPS services are configured.</w:t>
      </w:r>
    </w:p>
    <w:p>
      <w:pPr>
        <w:pStyle w:val="ListBullet"/>
        <w:spacing w:after="60"/>
      </w:pPr>
      <w:r>
        <w:t>Auto Scan reduces review delay but does not replace manual investigation of high-risk findings.</w:t>
      </w:r>
    </w:p>
    <w:p>
      <w:pPr>
        <w:pStyle w:val="Heading1"/>
      </w:pPr>
      <w:r>
        <w:t>Release verification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680"/>
            <w:vAlign w:val="center"/>
            <w:tcMar>
              <w:top w:w="110" w:type="dxa"/>
              <w:start w:w="110" w:type="dxa"/>
              <w:bottom w:w="110" w:type="dxa"/>
              <w:end w:w="110" w:type="dxa"/>
            </w:tcMar>
            <w:shd w:fill="233B4D"/>
          </w:tcPr>
          <w:p>
            <w:pPr>
              <w:spacing w:after="0"/>
            </w:pPr>
            <w:r>
              <w:rPr>
                <w:b/>
                <w:color w:val="FFFFFF"/>
                <w:sz w:val="18"/>
              </w:rPr>
              <w:t>Check</w:t>
            </w:r>
          </w:p>
        </w:tc>
        <w:tc>
          <w:tcPr>
            <w:tcW w:type="dxa" w:w="4824"/>
            <w:vAlign w:val="center"/>
            <w:tcMar>
              <w:top w:w="110" w:type="dxa"/>
              <w:start w:w="110" w:type="dxa"/>
              <w:bottom w:w="110" w:type="dxa"/>
              <w:end w:w="110" w:type="dxa"/>
            </w:tcMar>
            <w:shd w:fill="233B4D"/>
          </w:tcPr>
          <w:p>
            <w:pPr>
              <w:spacing w:after="0"/>
            </w:pPr>
            <w:r>
              <w:rPr>
                <w:b/>
                <w:color w:val="FFFFFF"/>
                <w:sz w:val="18"/>
              </w:rPr>
              <w:t>Result</w:t>
            </w:r>
          </w:p>
        </w:tc>
      </w:tr>
      <w:tr>
        <w:tc>
          <w:tcPr>
            <w:tcW w:type="dxa" w:w="4680"/>
            <w:vAlign w:val="center"/>
            <w:tcMar>
              <w:top w:w="110" w:type="dxa"/>
              <w:start w:w="110" w:type="dxa"/>
              <w:bottom w:w="110" w:type="dxa"/>
              <w:end w:w="110" w:type="dxa"/>
            </w:tcMar>
          </w:tcPr>
          <w:p>
            <w:pPr>
              <w:spacing w:after="0"/>
            </w:pPr>
            <w:r>
              <w:rPr>
                <w:sz w:val="17"/>
              </w:rPr>
              <w:t>JSON library parses</w:t>
            </w:r>
          </w:p>
        </w:tc>
        <w:tc>
          <w:tcPr>
            <w:tcW w:type="dxa" w:w="4824"/>
            <w:vAlign w:val="center"/>
            <w:tcMar>
              <w:top w:w="110" w:type="dxa"/>
              <w:start w:w="110" w:type="dxa"/>
              <w:bottom w:w="110" w:type="dxa"/>
              <w:end w:w="110" w:type="dxa"/>
            </w:tcMar>
          </w:tcPr>
          <w:p>
            <w:pPr>
              <w:spacing w:after="0"/>
            </w:pPr>
            <w:r>
              <w:rPr>
                <w:sz w:val="17"/>
              </w:rPr>
              <w:t>Pass</w:t>
            </w:r>
          </w:p>
        </w:tc>
      </w:tr>
      <w:tr>
        <w:tc>
          <w:tcPr>
            <w:tcW w:type="dxa" w:w="4680"/>
            <w:vAlign w:val="center"/>
            <w:tcMar>
              <w:top w:w="110" w:type="dxa"/>
              <w:start w:w="110" w:type="dxa"/>
              <w:bottom w:w="110" w:type="dxa"/>
              <w:end w:w="110" w:type="dxa"/>
            </w:tcMar>
            <w:shd w:fill="F2F6F8"/>
          </w:tcPr>
          <w:p>
            <w:pPr>
              <w:spacing w:after="0"/>
            </w:pPr>
            <w:r>
              <w:rPr>
                <w:sz w:val="17"/>
              </w:rPr>
              <w:t>Plugin XML parses</w:t>
            </w:r>
          </w:p>
        </w:tc>
        <w:tc>
          <w:tcPr>
            <w:tcW w:type="dxa" w:w="4824"/>
            <w:vAlign w:val="center"/>
            <w:tcMar>
              <w:top w:w="110" w:type="dxa"/>
              <w:start w:w="110" w:type="dxa"/>
              <w:bottom w:w="110" w:type="dxa"/>
              <w:end w:w="110" w:type="dxa"/>
            </w:tcMar>
            <w:shd w:fill="F2F6F8"/>
          </w:tcPr>
          <w:p>
            <w:pPr>
              <w:spacing w:after="0"/>
            </w:pPr>
            <w:r>
              <w:rPr>
                <w:sz w:val="17"/>
              </w:rPr>
              <w:t>Pass</w:t>
            </w:r>
          </w:p>
        </w:tc>
      </w:tr>
      <w:tr>
        <w:tc>
          <w:tcPr>
            <w:tcW w:type="dxa" w:w="4680"/>
            <w:vAlign w:val="center"/>
            <w:tcMar>
              <w:top w:w="110" w:type="dxa"/>
              <w:start w:w="110" w:type="dxa"/>
              <w:bottom w:w="110" w:type="dxa"/>
              <w:end w:w="110" w:type="dxa"/>
            </w:tcMar>
          </w:tcPr>
          <w:p>
            <w:pPr>
              <w:spacing w:after="0"/>
            </w:pPr>
            <w:r>
              <w:rPr>
                <w:sz w:val="17"/>
              </w:rPr>
              <w:t>Embedded library version</w:t>
            </w:r>
          </w:p>
        </w:tc>
        <w:tc>
          <w:tcPr>
            <w:tcW w:type="dxa" w:w="4824"/>
            <w:vAlign w:val="center"/>
            <w:tcMar>
              <w:top w:w="110" w:type="dxa"/>
              <w:start w:w="110" w:type="dxa"/>
              <w:bottom w:w="110" w:type="dxa"/>
              <w:end w:w="110" w:type="dxa"/>
            </w:tcMar>
          </w:tcPr>
          <w:p>
            <w:pPr>
              <w:spacing w:after="0"/>
            </w:pPr>
            <w:r>
              <w:rPr>
                <w:sz w:val="17"/>
              </w:rPr>
              <w:t>1.3.1</w:t>
            </w:r>
          </w:p>
        </w:tc>
      </w:tr>
      <w:tr>
        <w:tc>
          <w:tcPr>
            <w:tcW w:type="dxa" w:w="4680"/>
            <w:vAlign w:val="center"/>
            <w:tcMar>
              <w:top w:w="110" w:type="dxa"/>
              <w:start w:w="110" w:type="dxa"/>
              <w:bottom w:w="110" w:type="dxa"/>
              <w:end w:w="110" w:type="dxa"/>
            </w:tcMar>
            <w:shd w:fill="F2F6F8"/>
          </w:tcPr>
          <w:p>
            <w:pPr>
              <w:spacing w:after="0"/>
            </w:pPr>
            <w:r>
              <w:rPr>
                <w:sz w:val="17"/>
              </w:rPr>
              <w:t>Normal dynamic MarketplaceService sample</w:t>
            </w:r>
          </w:p>
        </w:tc>
        <w:tc>
          <w:tcPr>
            <w:tcW w:type="dxa" w:w="4824"/>
            <w:vAlign w:val="center"/>
            <w:tcMar>
              <w:top w:w="110" w:type="dxa"/>
              <w:start w:w="110" w:type="dxa"/>
              <w:bottom w:w="110" w:type="dxa"/>
              <w:end w:w="110" w:type="dxa"/>
            </w:tcMar>
            <w:shd w:fill="F2F6F8"/>
          </w:tcPr>
          <w:p>
            <w:pPr>
              <w:spacing w:after="0"/>
            </w:pPr>
            <w:r>
              <w:rPr>
                <w:sz w:val="17"/>
              </w:rPr>
              <w:t>SIG-PURCHASE-002 matched</w:t>
            </w:r>
          </w:p>
        </w:tc>
      </w:tr>
      <w:tr>
        <w:tc>
          <w:tcPr>
            <w:tcW w:type="dxa" w:w="4680"/>
            <w:vAlign w:val="center"/>
            <w:tcMar>
              <w:top w:w="110" w:type="dxa"/>
              <w:start w:w="110" w:type="dxa"/>
              <w:bottom w:w="110" w:type="dxa"/>
              <w:end w:w="110" w:type="dxa"/>
            </w:tcMar>
          </w:tcPr>
          <w:p>
            <w:pPr>
              <w:spacing w:after="0"/>
            </w:pPr>
            <w:r>
              <w:rPr>
                <w:sz w:val="17"/>
              </w:rPr>
              <w:t>Escaped MarketplaceService sample</w:t>
            </w:r>
          </w:p>
        </w:tc>
        <w:tc>
          <w:tcPr>
            <w:tcW w:type="dxa" w:w="4824"/>
            <w:vAlign w:val="center"/>
            <w:tcMar>
              <w:top w:w="110" w:type="dxa"/>
              <w:start w:w="110" w:type="dxa"/>
              <w:bottom w:w="110" w:type="dxa"/>
              <w:end w:w="110" w:type="dxa"/>
            </w:tcMar>
          </w:tcPr>
          <w:p>
            <w:pPr>
              <w:spacing w:after="0"/>
            </w:pPr>
            <w:r>
              <w:rPr>
                <w:sz w:val="17"/>
              </w:rPr>
              <w:t>SIG-PURCHASE-003 matched</w:t>
            </w:r>
          </w:p>
        </w:tc>
      </w:tr>
      <w:tr>
        <w:tc>
          <w:tcPr>
            <w:tcW w:type="dxa" w:w="4680"/>
            <w:vAlign w:val="center"/>
            <w:tcMar>
              <w:top w:w="110" w:type="dxa"/>
              <w:start w:w="110" w:type="dxa"/>
              <w:bottom w:w="110" w:type="dxa"/>
              <w:end w:w="110" w:type="dxa"/>
            </w:tcMar>
            <w:shd w:fill="F2F6F8"/>
          </w:tcPr>
          <w:p>
            <w:pPr>
              <w:spacing w:after="0"/>
            </w:pPr>
            <w:r>
              <w:rPr>
                <w:sz w:val="17"/>
              </w:rPr>
              <w:t>Installed project plugin synchronized during testing</w:t>
            </w:r>
          </w:p>
        </w:tc>
        <w:tc>
          <w:tcPr>
            <w:tcW w:type="dxa" w:w="4824"/>
            <w:vAlign w:val="center"/>
            <w:tcMar>
              <w:top w:w="110" w:type="dxa"/>
              <w:start w:w="110" w:type="dxa"/>
              <w:bottom w:w="110" w:type="dxa"/>
              <w:end w:w="110" w:type="dxa"/>
            </w:tcMar>
            <w:shd w:fill="F2F6F8"/>
          </w:tcPr>
          <w:p>
            <w:pPr>
              <w:spacing w:after="0"/>
            </w:pPr>
            <w:r>
              <w:rPr>
                <w:sz w:val="17"/>
              </w:rPr>
              <w:t>Pass</w:t>
            </w:r>
          </w:p>
        </w:tc>
      </w:tr>
    </w:tbl>
    <w:p>
      <w:pPr>
        <w:spacing w:after="0"/>
      </w:pP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86E"/>
        <w:sz w:val="16"/>
      </w:rPr>
      <w:t>MaliciousFinder Security Library 1.3.1  |  Release date 8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